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533A23C" w14:textId="77777777" w:rsidR="000D384B"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01460C55" w:rsidR="00D526C8" w:rsidRPr="00E968AE"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0D384B">
            <w:rPr>
              <w:rFonts w:ascii="Times New Roman" w:hAnsi="Times New Roman" w:cs="Times New Roman"/>
              <w:b/>
              <w:bCs/>
              <w:sz w:val="24"/>
              <w:szCs w:val="24"/>
            </w:rPr>
            <w:t>POPIERIAUS IR KARTONO ATLIEKŲ PRESAVIMO IR TVARKYMO PASLAUGOS</w:t>
          </w:r>
          <w:r w:rsidR="00E968AE" w:rsidRPr="00E968AE">
            <w:rPr>
              <w:rFonts w:ascii="Times New Roman" w:eastAsia="Times New Roman" w:hAnsi="Times New Roman" w:cs="Times New Roman"/>
              <w:b/>
              <w:sz w:val="28"/>
              <w:szCs w:val="28"/>
            </w:rPr>
            <w:t xml:space="preserve"> </w:t>
          </w:r>
          <w:r w:rsidR="00E968AE" w:rsidRPr="00E968AE">
            <w:rPr>
              <w:rFonts w:ascii="Times New Roman" w:eastAsia="Times New Roman" w:hAnsi="Times New Roman" w:cs="Times New Roman"/>
              <w:b/>
              <w:sz w:val="24"/>
              <w:szCs w:val="24"/>
            </w:rPr>
            <w:t>PB GV (RĮAC)“</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2878F1"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A6B53D0" w14:textId="3F3C66EC" w:rsidR="00B728DE" w:rsidRPr="00B57274" w:rsidRDefault="00B57274" w:rsidP="00B728DE">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0D384B" w:rsidRPr="000D384B">
        <w:rPr>
          <w:rFonts w:ascii="Times New Roman" w:hAnsi="Times New Roman" w:cs="Times New Roman"/>
          <w:sz w:val="22"/>
          <w:szCs w:val="22"/>
        </w:rPr>
        <w:t>Pirkimui taikomi žaliojo pirkimo reikalavimai. Perkamos paslaugos atitinka Aplinkos apsaugos kriterijų taikymo 4.4.1. punktą – paslaugos patenka į orientacinį aplinkosauginių ir aplinkai palankių prekių bei paslaugų sąrašą („Nepavojingų ir pavojingų atliekų surinkimo, tvarkymo ir šalinimo paslaugos“) pagal 2015 m. lapkričio 24 d. Komisijos įgyvendinimo reglamentą (ES) 2015/2174 dėl orientacinio aplinkosauginių ir aplinkai palankių prekių bei paslaugų rinkinio.</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7A3DC772"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w:t>
      </w:r>
      <w:r w:rsidR="00E968AE">
        <w:rPr>
          <w:rFonts w:ascii="Times New Roman" w:eastAsia="Times New Roman" w:hAnsi="Times New Roman" w:cs="Times New Roman"/>
          <w:sz w:val="22"/>
          <w:szCs w:val="22"/>
        </w:rPr>
        <w:t xml:space="preserve"> ir paslaugų pirkimo specialistas Saulius Jogminas</w:t>
      </w:r>
      <w:r w:rsidR="00DF43C5">
        <w:rPr>
          <w:rFonts w:ascii="Times New Roman" w:eastAsia="Times New Roman" w:hAnsi="Times New Roman" w:cs="Times New Roman"/>
          <w:sz w:val="22"/>
          <w:szCs w:val="22"/>
        </w:rPr>
        <w:t xml:space="preserve">, tel. </w:t>
      </w:r>
      <w:r w:rsidR="00E968AE" w:rsidRPr="00E968AE">
        <w:rPr>
          <w:rFonts w:ascii="Times New Roman" w:eastAsia="Times New Roman" w:hAnsi="Times New Roman" w:cs="Times New Roman"/>
          <w:sz w:val="22"/>
          <w:szCs w:val="22"/>
        </w:rPr>
        <w:t>+370 680 66088</w:t>
      </w:r>
      <w:r w:rsidR="00E968AE">
        <w:rPr>
          <w:rFonts w:ascii="Times New Roman" w:eastAsia="Times New Roman" w:hAnsi="Times New Roman" w:cs="Times New Roman"/>
          <w:sz w:val="22"/>
          <w:szCs w:val="22"/>
        </w:rPr>
        <w:t>, el. p. saulius.jogminas</w:t>
      </w:r>
      <w:r w:rsidR="00DF43C5" w:rsidRPr="00001918">
        <w:rPr>
          <w:rFonts w:ascii="Times New Roman" w:eastAsia="Times New Roman" w:hAnsi="Times New Roman" w:cs="Times New Roman"/>
          <w:sz w:val="22"/>
          <w:szCs w:val="22"/>
        </w:rPr>
        <w:t>@mil.lt</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5AA94F5E"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0D384B">
        <w:rPr>
          <w:rFonts w:ascii="Times New Roman" w:eastAsia="Calibri" w:hAnsi="Times New Roman" w:cs="Times New Roman"/>
          <w:color w:val="000000" w:themeColor="text1"/>
          <w:sz w:val="22"/>
          <w:szCs w:val="22"/>
        </w:rPr>
        <w:t>popieriaus ir kartono atliekų presavimo ir tvarkymo paslaugas</w:t>
      </w:r>
      <w:r w:rsidR="00A30400" w:rsidRPr="003D2881">
        <w:rPr>
          <w:rFonts w:ascii="Times New Roman" w:eastAsia="Times New Roman" w:hAnsi="Times New Roman" w:cs="Times New Roman"/>
          <w:b/>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w:t>
      </w:r>
      <w:r w:rsidR="000D384B">
        <w:rPr>
          <w:rFonts w:ascii="Times New Roman" w:eastAsia="Times New Roman" w:hAnsi="Times New Roman" w:cs="Times New Roman"/>
          <w:sz w:val="22"/>
          <w:szCs w:val="22"/>
          <w:lang w:eastAsia="en-US"/>
        </w:rPr>
        <w:t>aslaugos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3D2881">
        <w:rPr>
          <w:rFonts w:ascii="Times New Roman" w:hAnsi="Times New Roman" w:cs="Times New Roman"/>
          <w:sz w:val="22"/>
          <w:szCs w:val="22"/>
        </w:rPr>
        <w:t xml:space="preserve">priede </w:t>
      </w:r>
      <w:r w:rsidR="0046493F" w:rsidRPr="0046493F">
        <w:rPr>
          <w:rFonts w:ascii="Times New Roman" w:hAnsi="Times New Roman" w:cs="Times New Roman"/>
          <w:sz w:val="22"/>
          <w:szCs w:val="22"/>
        </w:rPr>
        <w:t>,,Lietuvos kariuomenės Logistikos valdybos Įgulų aptarnavimo tarnybos Ruklos įgulos aptarnavimo centro popieriaus ir kartono atliekų presavimo ir tvarkymo techninė specifikacija“</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5EBFC1E4" w14:textId="7AD435AC" w:rsidR="00E968AE" w:rsidRDefault="00C81E2F" w:rsidP="00E968AE">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46493F">
        <w:rPr>
          <w:rFonts w:ascii="Times New Roman" w:hAnsi="Times New Roman" w:cs="Times New Roman"/>
          <w:sz w:val="22"/>
          <w:szCs w:val="22"/>
        </w:rPr>
        <w:t xml:space="preserve">Paslaugų teikimo adresas - </w:t>
      </w:r>
      <w:r w:rsidR="00E968AE" w:rsidRPr="00E968AE">
        <w:rPr>
          <w:rFonts w:ascii="Times New Roman" w:hAnsi="Times New Roman" w:cs="Times New Roman"/>
          <w:sz w:val="22"/>
          <w:szCs w:val="22"/>
        </w:rPr>
        <w:t>Karaliaus Mindaugo g.11, Jonavos r. sav., Rukla</w:t>
      </w:r>
      <w:r w:rsidR="00103557">
        <w:rPr>
          <w:rFonts w:ascii="Times New Roman" w:hAnsi="Times New Roman" w:cs="Times New Roman"/>
          <w:sz w:val="22"/>
          <w:szCs w:val="22"/>
        </w:rPr>
        <w:t>, Jonavos r.</w:t>
      </w:r>
      <w:bookmarkStart w:id="10" w:name="_GoBack"/>
      <w:bookmarkEnd w:id="10"/>
      <w:r w:rsidR="00E968AE" w:rsidRPr="00E968AE">
        <w:rPr>
          <w:rFonts w:ascii="Times New Roman" w:hAnsi="Times New Roman" w:cs="Times New Roman"/>
          <w:sz w:val="22"/>
          <w:szCs w:val="22"/>
        </w:rPr>
        <w:t xml:space="preserve"> </w:t>
      </w:r>
    </w:p>
    <w:p w14:paraId="1BB2E57F" w14:textId="4C1F1043" w:rsidR="00530343" w:rsidRPr="003D2881" w:rsidRDefault="00C81E2F" w:rsidP="00E968AE">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46493F">
        <w:rPr>
          <w:rFonts w:ascii="Times New Roman" w:hAnsi="Times New Roman" w:cs="Times New Roman"/>
          <w:sz w:val="22"/>
          <w:szCs w:val="22"/>
        </w:rPr>
        <w:t>Sutarčiai taikoma fiksuoto įkainio</w:t>
      </w:r>
      <w:r w:rsidR="00530343" w:rsidRPr="00865E25">
        <w:rPr>
          <w:rFonts w:ascii="Times New Roman" w:hAnsi="Times New Roman" w:cs="Times New Roman"/>
          <w:sz w:val="22"/>
          <w:szCs w:val="22"/>
        </w:rPr>
        <w:t xml:space="preserve"> kainodara.</w:t>
      </w:r>
    </w:p>
    <w:p w14:paraId="148D12F6" w14:textId="5F40D5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46493F">
        <w:rPr>
          <w:rFonts w:ascii="Times New Roman" w:hAnsi="Times New Roman" w:cs="Times New Roman"/>
          <w:sz w:val="22"/>
          <w:szCs w:val="22"/>
        </w:rPr>
        <w:t>5</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392E1FFE"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46493F">
        <w:rPr>
          <w:rFonts w:ascii="Times New Roman" w:hAnsi="Times New Roman" w:cs="Times New Roman"/>
          <w:sz w:val="22"/>
          <w:szCs w:val="22"/>
        </w:rPr>
        <w:t>6</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17F417"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46493F">
        <w:rPr>
          <w:rFonts w:ascii="Times New Roman" w:hAnsi="Times New Roman" w:cs="Times New Roman"/>
          <w:sz w:val="22"/>
          <w:szCs w:val="22"/>
        </w:rPr>
        <w:t>7</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lastRenderedPageBreak/>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80FC9BC" w14:textId="09B85C72" w:rsidR="007851CB" w:rsidRPr="00001918" w:rsidRDefault="007851CB" w:rsidP="007851CB">
      <w:pPr>
        <w:spacing w:line="240" w:lineRule="auto"/>
        <w:rPr>
          <w:rFonts w:ascii="Calibri" w:eastAsia="Calibri" w:hAnsi="Calibri" w:cs="Calibri"/>
          <w:sz w:val="22"/>
          <w:szCs w:val="22"/>
          <w:lang w:eastAsia="en-US"/>
        </w:rPr>
      </w:pPr>
      <w:bookmarkStart w:id="11"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r>
        <w:rPr>
          <w:rFonts w:ascii="Times New Roman" w:eastAsia="Calibri" w:hAnsi="Times New Roman" w:cs="Times New Roman"/>
          <w:sz w:val="22"/>
          <w:szCs w:val="22"/>
          <w:lang w:eastAsia="en-US"/>
        </w:rPr>
        <w:t>Tiekėjas turi pateikti užpildytą deklaraciją. Deklaracijos forma pateikta priede ,,Tiekėjo deklaracija dėl pašalinimo pagrindų“.</w:t>
      </w:r>
    </w:p>
    <w:p w14:paraId="60BAE0A6" w14:textId="012C2F42" w:rsidR="007851CB" w:rsidRDefault="007851CB" w:rsidP="007851C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Pr="00801733">
        <w:rPr>
          <w:rFonts w:ascii="Times New Roman" w:eastAsia="Calibri" w:hAnsi="Times New Roman" w:cs="Times New Roman"/>
          <w:sz w:val="22"/>
          <w:szCs w:val="22"/>
          <w:lang w:eastAsia="en-US"/>
        </w:rPr>
        <w:t>Tiekėjams nustatomi kvalifikacijos reikalavimai</w:t>
      </w:r>
      <w:r>
        <w:rPr>
          <w:rFonts w:ascii="Times New Roman" w:eastAsia="Calibri" w:hAnsi="Times New Roman" w:cs="Times New Roman"/>
          <w:sz w:val="22"/>
          <w:szCs w:val="22"/>
          <w:lang w:eastAsia="en-US"/>
        </w:rPr>
        <w:t xml:space="preserve">. </w:t>
      </w:r>
      <w:r w:rsidRPr="00801733">
        <w:rPr>
          <w:rFonts w:ascii="Times New Roman" w:eastAsia="Calibri" w:hAnsi="Times New Roman" w:cs="Times New Roman"/>
          <w:sz w:val="22"/>
          <w:szCs w:val="22"/>
          <w:lang w:eastAsia="en-US"/>
        </w:rPr>
        <w:t>Jų atitiktį patvirtinantys dokumentai nurodyti pirkimo sąlygų  priede ,,Kvalifikacijos reikalavimai</w:t>
      </w:r>
      <w:r>
        <w:rPr>
          <w:rFonts w:ascii="Times New Roman" w:eastAsia="Calibri" w:hAnsi="Times New Roman" w:cs="Times New Roman"/>
          <w:sz w:val="22"/>
          <w:szCs w:val="22"/>
          <w:lang w:eastAsia="en-US"/>
        </w:rPr>
        <w:t xml:space="preserve">“.  </w:t>
      </w:r>
    </w:p>
    <w:p w14:paraId="7C4938B6" w14:textId="77777777" w:rsidR="007851CB" w:rsidRDefault="007851CB" w:rsidP="007851CB">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21D1568A" w14:textId="20119A5A" w:rsidR="00DA32B4" w:rsidRDefault="007851CB" w:rsidP="007851CB">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1"/>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5A28E41B"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F7257A">
        <w:rPr>
          <w:rFonts w:ascii="Times New Roman" w:hAnsi="Times New Roman" w:cs="Times New Roman"/>
          <w:sz w:val="22"/>
          <w:szCs w:val="22"/>
        </w:rPr>
        <w:t>,,</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w:t>
      </w:r>
      <w:r w:rsidR="00F7257A">
        <w:rPr>
          <w:rFonts w:ascii="Times New Roman" w:hAnsi="Times New Roman" w:cs="Times New Roman"/>
          <w:sz w:val="22"/>
          <w:szCs w:val="22"/>
        </w:rPr>
        <w:t>“</w:t>
      </w:r>
      <w:r w:rsidR="00D1773A">
        <w:rPr>
          <w:rFonts w:ascii="Times New Roman" w:hAnsi="Times New Roman" w:cs="Times New Roman"/>
          <w:sz w:val="22"/>
          <w:szCs w:val="22"/>
        </w:rPr>
        <w:t xml:space="preserve">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077CCB4A" w14:textId="381B2DFC" w:rsidR="00F7257A"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xml:space="preserve">. </w:t>
      </w:r>
      <w:r w:rsidR="00F7257A">
        <w:rPr>
          <w:rFonts w:ascii="Times New Roman" w:hAnsi="Times New Roman" w:cs="Times New Roman"/>
          <w:sz w:val="22"/>
          <w:szCs w:val="22"/>
        </w:rPr>
        <w:t>,,</w:t>
      </w:r>
      <w:r w:rsidR="00F7257A" w:rsidRPr="00F7257A">
        <w:rPr>
          <w:rFonts w:ascii="Times New Roman" w:hAnsi="Times New Roman" w:cs="Times New Roman"/>
          <w:sz w:val="22"/>
          <w:szCs w:val="22"/>
        </w:rPr>
        <w:t>Tiekėjo deklaracija dėl pašalinimo pagrindų“.</w:t>
      </w:r>
    </w:p>
    <w:p w14:paraId="28048155" w14:textId="11DCD264" w:rsidR="00D1773A" w:rsidRPr="00D17245" w:rsidRDefault="00F7257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5.1.4. </w:t>
      </w:r>
      <w:r w:rsidR="00D1773A" w:rsidRPr="00D17245">
        <w:rPr>
          <w:rFonts w:ascii="Times New Roman" w:hAnsi="Times New Roman" w:cs="Times New Roman"/>
          <w:sz w:val="22"/>
          <w:szCs w:val="22"/>
        </w:rPr>
        <w:t>kitus</w:t>
      </w:r>
      <w:r>
        <w:rPr>
          <w:rFonts w:ascii="Times New Roman" w:hAnsi="Times New Roman" w:cs="Times New Roman"/>
          <w:sz w:val="22"/>
          <w:szCs w:val="22"/>
        </w:rPr>
        <w:t>, reikalaujamus  dokumentus.</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lastRenderedPageBreak/>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6F399F7"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3337932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01497" w14:textId="77777777" w:rsidR="002878F1" w:rsidRDefault="002878F1" w:rsidP="00D05666">
      <w:r>
        <w:separator/>
      </w:r>
    </w:p>
  </w:endnote>
  <w:endnote w:type="continuationSeparator" w:id="0">
    <w:p w14:paraId="7ED04866" w14:textId="77777777" w:rsidR="002878F1" w:rsidRDefault="002878F1" w:rsidP="00D05666">
      <w:r>
        <w:continuationSeparator/>
      </w:r>
    </w:p>
  </w:endnote>
  <w:endnote w:type="continuationNotice" w:id="1">
    <w:p w14:paraId="37C6ACFF" w14:textId="77777777" w:rsidR="002878F1" w:rsidRDefault="002878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4AA8D" w14:textId="77777777" w:rsidR="002878F1" w:rsidRDefault="002878F1" w:rsidP="00D05666">
      <w:r>
        <w:separator/>
      </w:r>
    </w:p>
  </w:footnote>
  <w:footnote w:type="continuationSeparator" w:id="0">
    <w:p w14:paraId="4592B90E" w14:textId="77777777" w:rsidR="002878F1" w:rsidRDefault="002878F1" w:rsidP="00D05666">
      <w:r>
        <w:continuationSeparator/>
      </w:r>
    </w:p>
  </w:footnote>
  <w:footnote w:type="continuationNotice" w:id="1">
    <w:p w14:paraId="239CE664" w14:textId="77777777" w:rsidR="002878F1" w:rsidRDefault="002878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2A70A34" w:rsidR="0067176D" w:rsidRDefault="0067176D">
        <w:pPr>
          <w:pStyle w:val="Header"/>
          <w:jc w:val="center"/>
        </w:pPr>
        <w:r>
          <w:fldChar w:fldCharType="begin"/>
        </w:r>
        <w:r>
          <w:instrText>PAGE   \* MERGEFORMAT</w:instrText>
        </w:r>
        <w:r>
          <w:fldChar w:fldCharType="separate"/>
        </w:r>
        <w:r w:rsidR="00DB4BEE">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4B"/>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557"/>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6C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B53"/>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8F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3F"/>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84"/>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1CB"/>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57C"/>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3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3EA"/>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BEE"/>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8AE"/>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57A"/>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11EB4"/>
    <w:rsid w:val="000203BA"/>
    <w:rsid w:val="00032346"/>
    <w:rsid w:val="000855FF"/>
    <w:rsid w:val="00092531"/>
    <w:rsid w:val="000B4D49"/>
    <w:rsid w:val="000E3D5E"/>
    <w:rsid w:val="000E62D1"/>
    <w:rsid w:val="000F41BD"/>
    <w:rsid w:val="001251FC"/>
    <w:rsid w:val="00127A9E"/>
    <w:rsid w:val="00131C6B"/>
    <w:rsid w:val="00155DA7"/>
    <w:rsid w:val="00171BEF"/>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402FF"/>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2264"/>
    <w:rsid w:val="00AF5B8A"/>
    <w:rsid w:val="00B02DFF"/>
    <w:rsid w:val="00B031BD"/>
    <w:rsid w:val="00B604DE"/>
    <w:rsid w:val="00B70DD9"/>
    <w:rsid w:val="00BB0E02"/>
    <w:rsid w:val="00C4287B"/>
    <w:rsid w:val="00C64F5A"/>
    <w:rsid w:val="00CD27B6"/>
    <w:rsid w:val="00CE3AC5"/>
    <w:rsid w:val="00CF1903"/>
    <w:rsid w:val="00CF4CEB"/>
    <w:rsid w:val="00D1288B"/>
    <w:rsid w:val="00DC126E"/>
    <w:rsid w:val="00DD1C97"/>
    <w:rsid w:val="00DE23D8"/>
    <w:rsid w:val="00E464CE"/>
    <w:rsid w:val="00E50762"/>
    <w:rsid w:val="00E65DB9"/>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4C1EAA23-285D-4508-91A0-02680E60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1437</Words>
  <Characters>8193</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Saulius Jogminas</cp:lastModifiedBy>
  <cp:revision>4</cp:revision>
  <dcterms:created xsi:type="dcterms:W3CDTF">2025-05-27T06:23:00Z</dcterms:created>
  <dcterms:modified xsi:type="dcterms:W3CDTF">2025-05-27T07:53:00Z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