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25099" w14:textId="7E521995" w:rsidR="00850336" w:rsidRDefault="00850336" w:rsidP="0085033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VšĮ Šeškinės poliklinikos planuojamo pirkimo „</w:t>
      </w:r>
      <w:r w:rsidRPr="00850336">
        <w:rPr>
          <w:rFonts w:ascii="Times New Roman" w:hAnsi="Times New Roman" w:cs="Times New Roman"/>
          <w:b/>
          <w:bCs/>
          <w:sz w:val="24"/>
          <w:szCs w:val="24"/>
        </w:rPr>
        <w:t>ŠP-71906 Reagentai ir papildomos priemonės C-reaktyvinio baltymo (CRB) nustatymo tyrimams atlikti su įrangos įsigijimu panaudos būdu</w:t>
      </w:r>
      <w:r>
        <w:rPr>
          <w:rFonts w:ascii="Times New Roman" w:hAnsi="Times New Roman" w:cs="Times New Roman"/>
          <w:b/>
          <w:bCs/>
          <w:sz w:val="24"/>
          <w:szCs w:val="24"/>
        </w:rPr>
        <w:t xml:space="preserve">“ techninės specifikacijos projektas (CVP IS ID </w:t>
      </w:r>
      <w:r w:rsidRPr="00850336">
        <w:rPr>
          <w:rFonts w:ascii="Times New Roman" w:hAnsi="Times New Roman" w:cs="Times New Roman"/>
          <w:b/>
          <w:bCs/>
          <w:sz w:val="24"/>
          <w:szCs w:val="24"/>
        </w:rPr>
        <w:t>2269323</w:t>
      </w:r>
      <w:r>
        <w:rPr>
          <w:rFonts w:ascii="Times New Roman" w:hAnsi="Times New Roman" w:cs="Times New Roman"/>
          <w:b/>
          <w:bCs/>
          <w:sz w:val="24"/>
          <w:szCs w:val="24"/>
        </w:rPr>
        <w:t>)</w:t>
      </w:r>
    </w:p>
    <w:p w14:paraId="1E6AC7B0" w14:textId="77777777" w:rsidR="00850336" w:rsidRDefault="00850336" w:rsidP="00850336">
      <w:pPr>
        <w:spacing w:after="0" w:line="240" w:lineRule="auto"/>
        <w:jc w:val="center"/>
        <w:rPr>
          <w:rFonts w:ascii="Times New Roman" w:hAnsi="Times New Roman" w:cs="Times New Roman"/>
          <w:b/>
          <w:bCs/>
          <w:sz w:val="24"/>
          <w:szCs w:val="24"/>
        </w:rPr>
      </w:pPr>
    </w:p>
    <w:p w14:paraId="017B7712" w14:textId="77777777" w:rsidR="00850336" w:rsidRDefault="00850336" w:rsidP="00850336"/>
    <w:p w14:paraId="78938FA1" w14:textId="77777777" w:rsidR="00850336" w:rsidRPr="005125FB" w:rsidRDefault="00850336" w:rsidP="00850336">
      <w:pPr>
        <w:spacing w:after="0"/>
        <w:ind w:firstLine="284"/>
        <w:jc w:val="both"/>
        <w:rPr>
          <w:rFonts w:ascii="Times New Roman" w:hAnsi="Times New Roman" w:cs="Times New Roman"/>
          <w:sz w:val="24"/>
          <w:szCs w:val="24"/>
        </w:rPr>
      </w:pPr>
      <w:r w:rsidRPr="005125FB">
        <w:rPr>
          <w:rFonts w:ascii="Times New Roman" w:hAnsi="Times New Roman" w:cs="Times New Roman"/>
          <w:b/>
          <w:bCs/>
          <w:sz w:val="24"/>
          <w:szCs w:val="24"/>
        </w:rPr>
        <w:t xml:space="preserve">Gauti tiekėjų pasiūlymai / klausimai / pastabos dėl planuojamo pirkimo </w:t>
      </w:r>
      <w:r>
        <w:rPr>
          <w:rFonts w:ascii="Times New Roman" w:hAnsi="Times New Roman" w:cs="Times New Roman"/>
          <w:b/>
          <w:bCs/>
          <w:sz w:val="24"/>
          <w:szCs w:val="24"/>
        </w:rPr>
        <w:t xml:space="preserve">techninės specifikacijos </w:t>
      </w:r>
      <w:r w:rsidRPr="005125FB">
        <w:rPr>
          <w:rFonts w:ascii="Times New Roman" w:hAnsi="Times New Roman" w:cs="Times New Roman"/>
          <w:b/>
          <w:bCs/>
          <w:sz w:val="24"/>
          <w:szCs w:val="24"/>
        </w:rPr>
        <w:t>projekto</w:t>
      </w:r>
      <w:r>
        <w:rPr>
          <w:rFonts w:ascii="Times New Roman" w:hAnsi="Times New Roman" w:cs="Times New Roman"/>
          <w:b/>
          <w:bCs/>
          <w:sz w:val="24"/>
          <w:szCs w:val="24"/>
        </w:rPr>
        <w:t xml:space="preserve">. </w:t>
      </w:r>
      <w:r w:rsidRPr="005125FB">
        <w:rPr>
          <w:rFonts w:ascii="Times New Roman" w:hAnsi="Times New Roman" w:cs="Times New Roman"/>
          <w:sz w:val="24"/>
          <w:szCs w:val="24"/>
        </w:rPr>
        <w:t xml:space="preserve">Žemiau atskirai pasisakome dėl visų rinkos konsultacijos metu gautų tiekėjų rekomendacijų koreguoti </w:t>
      </w:r>
      <w:r>
        <w:rPr>
          <w:rFonts w:ascii="Times New Roman" w:hAnsi="Times New Roman" w:cs="Times New Roman"/>
          <w:sz w:val="24"/>
          <w:szCs w:val="24"/>
        </w:rPr>
        <w:t>techninės specifikacijos</w:t>
      </w:r>
      <w:r w:rsidRPr="005125FB">
        <w:rPr>
          <w:rFonts w:ascii="Times New Roman" w:hAnsi="Times New Roman" w:cs="Times New Roman"/>
          <w:sz w:val="24"/>
          <w:szCs w:val="24"/>
        </w:rPr>
        <w:t xml:space="preserve"> reikalavimus</w:t>
      </w:r>
      <w:r>
        <w:rPr>
          <w:rFonts w:ascii="Times New Roman" w:hAnsi="Times New Roman" w:cs="Times New Roman"/>
          <w:sz w:val="24"/>
          <w:szCs w:val="24"/>
        </w:rPr>
        <w:t>:</w:t>
      </w:r>
    </w:p>
    <w:p w14:paraId="4FFA0621" w14:textId="77777777" w:rsidR="00850336" w:rsidRDefault="00850336" w:rsidP="00850336">
      <w:pPr>
        <w:spacing w:after="0" w:line="240" w:lineRule="auto"/>
        <w:jc w:val="both"/>
        <w:rPr>
          <w:rFonts w:ascii="Times New Roman" w:hAnsi="Times New Roman" w:cs="Times New Roman"/>
          <w:b/>
          <w:bCs/>
          <w:sz w:val="24"/>
          <w:szCs w:val="24"/>
        </w:rPr>
      </w:pPr>
    </w:p>
    <w:p w14:paraId="66F81423" w14:textId="77777777" w:rsidR="00850336" w:rsidRPr="00850336" w:rsidRDefault="00850336" w:rsidP="00850336">
      <w:pPr>
        <w:jc w:val="right"/>
        <w:rPr>
          <w:rFonts w:ascii="Times New Roman" w:hAnsi="Times New Roman" w:cs="Times New Roman"/>
          <w:b/>
          <w:bCs/>
        </w:rPr>
      </w:pPr>
      <w:r w:rsidRPr="00850336">
        <w:rPr>
          <w:rFonts w:ascii="Times New Roman" w:hAnsi="Times New Roman" w:cs="Times New Roman"/>
          <w:b/>
          <w:bCs/>
        </w:rPr>
        <w:t>2 priedas</w:t>
      </w:r>
    </w:p>
    <w:p w14:paraId="56297AD3" w14:textId="77777777" w:rsidR="00850336" w:rsidRPr="00850336" w:rsidRDefault="00850336" w:rsidP="00850336">
      <w:pPr>
        <w:tabs>
          <w:tab w:val="left" w:pos="284"/>
        </w:tabs>
        <w:jc w:val="center"/>
        <w:rPr>
          <w:rFonts w:ascii="Times New Roman" w:hAnsi="Times New Roman" w:cs="Times New Roman"/>
          <w:b/>
          <w:bCs/>
        </w:rPr>
      </w:pPr>
      <w:bookmarkStart w:id="0" w:name="_Hlk171353987"/>
    </w:p>
    <w:p w14:paraId="1059D103" w14:textId="77777777" w:rsidR="00850336" w:rsidRPr="00850336" w:rsidRDefault="00850336" w:rsidP="00850336">
      <w:pPr>
        <w:tabs>
          <w:tab w:val="left" w:pos="284"/>
        </w:tabs>
        <w:jc w:val="center"/>
        <w:rPr>
          <w:rFonts w:ascii="Times New Roman" w:hAnsi="Times New Roman" w:cs="Times New Roman"/>
          <w:b/>
          <w:bCs/>
          <w:color w:val="000000"/>
          <w:lang w:eastAsia="lt-LT"/>
        </w:rPr>
      </w:pPr>
      <w:r w:rsidRPr="00850336">
        <w:rPr>
          <w:rFonts w:ascii="Times New Roman" w:hAnsi="Times New Roman" w:cs="Times New Roman"/>
          <w:b/>
          <w:bCs/>
          <w:color w:val="000000"/>
          <w:lang w:eastAsia="lt-LT"/>
        </w:rPr>
        <w:t xml:space="preserve">REAGENTŲ IR PAPILDOMŲ PRIEMONIŲ C-REAKTYVINIO BALTYMO (CRB) NUSTATYMO TYRIMAMS ATLIKTI SU ANALIZATORIAUS PANAUDA </w:t>
      </w:r>
    </w:p>
    <w:p w14:paraId="60B42A31" w14:textId="77777777" w:rsidR="00850336" w:rsidRPr="00850336" w:rsidRDefault="00850336" w:rsidP="00850336">
      <w:pPr>
        <w:tabs>
          <w:tab w:val="left" w:pos="284"/>
        </w:tabs>
        <w:jc w:val="center"/>
        <w:rPr>
          <w:rFonts w:ascii="Times New Roman" w:hAnsi="Times New Roman" w:cs="Times New Roman"/>
          <w:b/>
          <w:bCs/>
          <w:color w:val="000000"/>
        </w:rPr>
      </w:pPr>
      <w:r w:rsidRPr="00850336">
        <w:rPr>
          <w:rFonts w:ascii="Times New Roman" w:hAnsi="Times New Roman" w:cs="Times New Roman"/>
          <w:b/>
          <w:bCs/>
        </w:rPr>
        <w:t xml:space="preserve">TECHNINĖ SPECIFIKACIJA </w:t>
      </w:r>
      <w:bookmarkEnd w:id="0"/>
    </w:p>
    <w:p w14:paraId="7AC38C4A" w14:textId="6D18D5A7" w:rsidR="00850336" w:rsidRPr="00850336" w:rsidRDefault="00850336" w:rsidP="00850336">
      <w:pPr>
        <w:tabs>
          <w:tab w:val="left" w:pos="1350"/>
          <w:tab w:val="left" w:pos="1440"/>
        </w:tabs>
        <w:suppressAutoHyphens/>
        <w:ind w:left="450" w:hanging="90"/>
        <w:jc w:val="right"/>
        <w:rPr>
          <w:rFonts w:ascii="Times New Roman" w:hAnsi="Times New Roman" w:cs="Times New Roman"/>
          <w:b/>
          <w:bCs/>
          <w:lang w:eastAsia="ar-SA"/>
        </w:rPr>
      </w:pPr>
    </w:p>
    <w:tbl>
      <w:tblPr>
        <w:tblStyle w:val="Lentelstinklelis"/>
        <w:tblW w:w="15176" w:type="dxa"/>
        <w:tblInd w:w="-431" w:type="dxa"/>
        <w:tblLayout w:type="fixed"/>
        <w:tblLook w:val="04A0" w:firstRow="1" w:lastRow="0" w:firstColumn="1" w:lastColumn="0" w:noHBand="0" w:noVBand="1"/>
      </w:tblPr>
      <w:tblGrid>
        <w:gridCol w:w="710"/>
        <w:gridCol w:w="2410"/>
        <w:gridCol w:w="3118"/>
        <w:gridCol w:w="5297"/>
        <w:gridCol w:w="3641"/>
      </w:tblGrid>
      <w:tr w:rsidR="00850336" w:rsidRPr="00850336" w14:paraId="6704F25A" w14:textId="77777777" w:rsidTr="002C1D92">
        <w:tc>
          <w:tcPr>
            <w:tcW w:w="710" w:type="dxa"/>
            <w:vAlign w:val="center"/>
          </w:tcPr>
          <w:p w14:paraId="3AE9E1B4" w14:textId="77777777" w:rsidR="00850336" w:rsidRPr="00850336" w:rsidRDefault="00850336" w:rsidP="007D7AF0">
            <w:pPr>
              <w:jc w:val="center"/>
              <w:rPr>
                <w:rFonts w:eastAsia="Calibri"/>
                <w:b/>
              </w:rPr>
            </w:pPr>
            <w:r w:rsidRPr="00850336">
              <w:rPr>
                <w:rFonts w:eastAsia="Calibri"/>
                <w:b/>
              </w:rPr>
              <w:t>Eil.</w:t>
            </w:r>
          </w:p>
          <w:p w14:paraId="398482BE" w14:textId="77777777" w:rsidR="00850336" w:rsidRPr="00850336" w:rsidRDefault="00850336" w:rsidP="007D7AF0">
            <w:pPr>
              <w:jc w:val="center"/>
            </w:pPr>
            <w:r w:rsidRPr="00850336">
              <w:rPr>
                <w:rFonts w:eastAsia="Calibri"/>
                <w:b/>
              </w:rPr>
              <w:t>Nr.</w:t>
            </w:r>
          </w:p>
        </w:tc>
        <w:tc>
          <w:tcPr>
            <w:tcW w:w="2410" w:type="dxa"/>
            <w:vAlign w:val="center"/>
          </w:tcPr>
          <w:p w14:paraId="2B989063" w14:textId="77777777" w:rsidR="00850336" w:rsidRPr="00850336" w:rsidRDefault="00850336" w:rsidP="007D7AF0">
            <w:pPr>
              <w:jc w:val="center"/>
              <w:rPr>
                <w:b/>
              </w:rPr>
            </w:pPr>
            <w:r w:rsidRPr="00850336">
              <w:rPr>
                <w:b/>
              </w:rPr>
              <w:t>Techniniai parametrai arba reikalavimai</w:t>
            </w:r>
          </w:p>
        </w:tc>
        <w:tc>
          <w:tcPr>
            <w:tcW w:w="3118" w:type="dxa"/>
            <w:vAlign w:val="center"/>
          </w:tcPr>
          <w:p w14:paraId="16E7E5E2" w14:textId="77777777" w:rsidR="00850336" w:rsidRPr="00850336" w:rsidRDefault="00850336" w:rsidP="007D7AF0">
            <w:pPr>
              <w:jc w:val="center"/>
              <w:rPr>
                <w:b/>
              </w:rPr>
            </w:pPr>
            <w:r w:rsidRPr="00850336">
              <w:rPr>
                <w:b/>
                <w:lang w:val="es-419"/>
              </w:rPr>
              <w:t>Techninio parametro reikšmė arba reikalavimų aprašymas</w:t>
            </w:r>
          </w:p>
        </w:tc>
        <w:tc>
          <w:tcPr>
            <w:tcW w:w="5297" w:type="dxa"/>
          </w:tcPr>
          <w:p w14:paraId="6F5E5D72" w14:textId="5483C039" w:rsidR="00850336" w:rsidRPr="00850336" w:rsidRDefault="00850336" w:rsidP="007D7AF0">
            <w:pPr>
              <w:jc w:val="center"/>
              <w:rPr>
                <w:b/>
                <w:bCs/>
                <w:color w:val="000000"/>
              </w:rPr>
            </w:pPr>
            <w:r>
              <w:rPr>
                <w:b/>
                <w:bCs/>
                <w:color w:val="000000"/>
              </w:rPr>
              <w:t>Tiekėjų pastabos / siūlymai</w:t>
            </w:r>
          </w:p>
        </w:tc>
        <w:tc>
          <w:tcPr>
            <w:tcW w:w="3641" w:type="dxa"/>
          </w:tcPr>
          <w:p w14:paraId="1233C478" w14:textId="44AD2237" w:rsidR="00850336" w:rsidRPr="00850336" w:rsidRDefault="00850336" w:rsidP="007D7AF0">
            <w:pPr>
              <w:jc w:val="center"/>
              <w:rPr>
                <w:b/>
                <w:bCs/>
                <w:color w:val="000000"/>
              </w:rPr>
            </w:pPr>
            <w:r>
              <w:rPr>
                <w:b/>
                <w:bCs/>
                <w:color w:val="000000"/>
              </w:rPr>
              <w:t>Perkančiosios organizacijos atsakymas</w:t>
            </w:r>
          </w:p>
        </w:tc>
      </w:tr>
      <w:tr w:rsidR="00850336" w:rsidRPr="00850336" w14:paraId="5AFCFD88" w14:textId="77777777" w:rsidTr="002C1D92">
        <w:tc>
          <w:tcPr>
            <w:tcW w:w="710" w:type="dxa"/>
          </w:tcPr>
          <w:p w14:paraId="1A31DFFF" w14:textId="77777777" w:rsidR="00850336" w:rsidRPr="00850336" w:rsidRDefault="00850336" w:rsidP="007D7AF0">
            <w:pPr>
              <w:jc w:val="center"/>
            </w:pPr>
            <w:r w:rsidRPr="00850336">
              <w:t>3.</w:t>
            </w:r>
          </w:p>
        </w:tc>
        <w:tc>
          <w:tcPr>
            <w:tcW w:w="2410" w:type="dxa"/>
          </w:tcPr>
          <w:p w14:paraId="066B08C4" w14:textId="77777777" w:rsidR="00850336" w:rsidRPr="00850336" w:rsidRDefault="00850336" w:rsidP="007D7AF0">
            <w:pPr>
              <w:rPr>
                <w:rFonts w:eastAsia="Calibri"/>
              </w:rPr>
            </w:pPr>
            <w:r w:rsidRPr="00850336">
              <w:rPr>
                <w:rFonts w:eastAsia="Calibri"/>
              </w:rPr>
              <w:t>Analizatorių kiekis</w:t>
            </w:r>
          </w:p>
        </w:tc>
        <w:tc>
          <w:tcPr>
            <w:tcW w:w="3118" w:type="dxa"/>
          </w:tcPr>
          <w:p w14:paraId="533BF37C" w14:textId="77777777" w:rsidR="00850336" w:rsidRPr="00850336" w:rsidRDefault="00850336" w:rsidP="007D7AF0">
            <w:pPr>
              <w:jc w:val="both"/>
              <w:rPr>
                <w:color w:val="000000"/>
              </w:rPr>
            </w:pPr>
            <w:r w:rsidRPr="00850336">
              <w:rPr>
                <w:color w:val="000000"/>
              </w:rPr>
              <w:t>Panaudai siūlyti vieną arba du analizatorius siekiant užtikrinti reikalaujamą techninį parametrą našumui</w:t>
            </w:r>
          </w:p>
        </w:tc>
        <w:tc>
          <w:tcPr>
            <w:tcW w:w="5297" w:type="dxa"/>
          </w:tcPr>
          <w:p w14:paraId="49784C90" w14:textId="77777777" w:rsidR="00850336" w:rsidRDefault="0046223C" w:rsidP="00FF1DF5">
            <w:pPr>
              <w:pStyle w:val="Sraopastraipa"/>
              <w:numPr>
                <w:ilvl w:val="0"/>
                <w:numId w:val="2"/>
              </w:numPr>
              <w:jc w:val="both"/>
              <w:rPr>
                <w:lang w:val="es-419"/>
              </w:rPr>
            </w:pPr>
            <w:r w:rsidRPr="00FF1DF5">
              <w:rPr>
                <w:lang w:val="es-419"/>
              </w:rPr>
              <w:t>Tiekėjas pastebėjo prieštaravimą su bendrųjų reikalavimų panaudai siūlomai įrangai 1 punktu, kuriame prašoma panaudai pateikti vieną pilnai automatizuotą analizatorių (įrangą). Prašoma suvienodinti reikalavimus.</w:t>
            </w:r>
          </w:p>
          <w:p w14:paraId="3DF8C34C" w14:textId="7D84B1B2" w:rsidR="00FF1DF5" w:rsidRPr="00FF1DF5" w:rsidRDefault="00FF1DF5" w:rsidP="00FF1DF5">
            <w:pPr>
              <w:pStyle w:val="Sraopastraipa"/>
              <w:numPr>
                <w:ilvl w:val="0"/>
                <w:numId w:val="2"/>
              </w:numPr>
              <w:jc w:val="both"/>
              <w:rPr>
                <w:lang w:val="es-419"/>
              </w:rPr>
            </w:pPr>
            <w:r>
              <w:rPr>
                <w:lang w:val="es-419"/>
              </w:rPr>
              <w:t>Tiekėjas prašo suvienodinti reikalavimą: Bendrieji reikalavimai 1 punktas: “</w:t>
            </w:r>
            <w:r w:rsidRPr="00E660F0">
              <w:rPr>
                <w:color w:val="000000"/>
              </w:rPr>
              <w:t xml:space="preserve">Panaudai turi būti </w:t>
            </w:r>
            <w:r w:rsidRPr="00EB71CD">
              <w:rPr>
                <w:color w:val="000000"/>
              </w:rPr>
              <w:t xml:space="preserve">pateiktas </w:t>
            </w:r>
            <w:r w:rsidRPr="00723F5D">
              <w:rPr>
                <w:color w:val="000000"/>
                <w:highlight w:val="yellow"/>
              </w:rPr>
              <w:t>vienas pilnai automatizuotas</w:t>
            </w:r>
            <w:r w:rsidRPr="00EB71CD">
              <w:rPr>
                <w:color w:val="000000"/>
              </w:rPr>
              <w:t xml:space="preserve"> analizatorius (įranga)</w:t>
            </w:r>
            <w:r>
              <w:rPr>
                <w:color w:val="000000"/>
              </w:rPr>
              <w:t>“</w:t>
            </w:r>
          </w:p>
        </w:tc>
        <w:tc>
          <w:tcPr>
            <w:tcW w:w="3641" w:type="dxa"/>
          </w:tcPr>
          <w:p w14:paraId="3DFCFC4C" w14:textId="77777777" w:rsidR="002C1D92" w:rsidRPr="00403716" w:rsidRDefault="002C1D92" w:rsidP="0070205B">
            <w:pPr>
              <w:spacing w:before="100" w:beforeAutospacing="1" w:after="100" w:afterAutospacing="1" w:line="240" w:lineRule="auto"/>
              <w:jc w:val="both"/>
            </w:pPr>
            <w:r w:rsidRPr="00403716">
              <w:t xml:space="preserve">Perkančioji organizacija (PO) informuoja, kad bendrųjų reikalavimų 1 punkte taiso techninę klaidą ir </w:t>
            </w:r>
            <w:r w:rsidRPr="00403716">
              <w:rPr>
                <w:b/>
                <w:bCs/>
              </w:rPr>
              <w:t>palieka techninės specifikacijos</w:t>
            </w:r>
            <w:r w:rsidRPr="00403716">
              <w:t xml:space="preserve"> </w:t>
            </w:r>
            <w:r w:rsidRPr="00403716">
              <w:rPr>
                <w:b/>
                <w:bCs/>
              </w:rPr>
              <w:t xml:space="preserve">3 punkto </w:t>
            </w:r>
            <w:r w:rsidRPr="00403716">
              <w:rPr>
                <w:b/>
                <w:bCs/>
                <w:color w:val="000000"/>
              </w:rPr>
              <w:t>reikalavimą nepakeistą:</w:t>
            </w:r>
            <w:r w:rsidRPr="00403716">
              <w:rPr>
                <w:color w:val="000000"/>
              </w:rPr>
              <w:t xml:space="preserve"> </w:t>
            </w:r>
            <w:r w:rsidRPr="00403716">
              <w:t>„</w:t>
            </w:r>
            <w:r w:rsidRPr="00403716">
              <w:rPr>
                <w:i/>
                <w:iCs/>
              </w:rPr>
              <w:t>Panaudai siūlyti vieną arba du analizatorius siekiant užtikrinti reikalaujamą techninį parametrą našumui</w:t>
            </w:r>
            <w:r w:rsidRPr="00403716">
              <w:t>“.</w:t>
            </w:r>
          </w:p>
          <w:p w14:paraId="0B691FFE" w14:textId="77777777" w:rsidR="00850336" w:rsidRPr="00403716" w:rsidRDefault="00850336" w:rsidP="007D7AF0"/>
        </w:tc>
      </w:tr>
      <w:tr w:rsidR="00850336" w:rsidRPr="00850336" w14:paraId="7AE6DFB8" w14:textId="77777777" w:rsidTr="002C1D92">
        <w:tc>
          <w:tcPr>
            <w:tcW w:w="710" w:type="dxa"/>
          </w:tcPr>
          <w:p w14:paraId="608A2FFC" w14:textId="77777777" w:rsidR="00850336" w:rsidRPr="00850336" w:rsidRDefault="00850336" w:rsidP="007D7AF0">
            <w:pPr>
              <w:jc w:val="center"/>
            </w:pPr>
            <w:r w:rsidRPr="00850336">
              <w:t>7.</w:t>
            </w:r>
          </w:p>
        </w:tc>
        <w:tc>
          <w:tcPr>
            <w:tcW w:w="2410" w:type="dxa"/>
          </w:tcPr>
          <w:p w14:paraId="305FB5B5" w14:textId="77777777" w:rsidR="00850336" w:rsidRPr="00850336" w:rsidRDefault="00850336" w:rsidP="007D7AF0">
            <w:pPr>
              <w:rPr>
                <w:rFonts w:eastAsia="Calibri"/>
              </w:rPr>
            </w:pPr>
            <w:r w:rsidRPr="00850336">
              <w:rPr>
                <w:color w:val="000000"/>
              </w:rPr>
              <w:t>Mėginio tipas</w:t>
            </w:r>
          </w:p>
        </w:tc>
        <w:tc>
          <w:tcPr>
            <w:tcW w:w="3118" w:type="dxa"/>
          </w:tcPr>
          <w:p w14:paraId="62CAAE74" w14:textId="77777777" w:rsidR="00850336" w:rsidRPr="00850336" w:rsidRDefault="00850336" w:rsidP="007D7AF0">
            <w:pPr>
              <w:jc w:val="both"/>
              <w:rPr>
                <w:color w:val="000000"/>
              </w:rPr>
            </w:pPr>
            <w:r w:rsidRPr="00850336">
              <w:rPr>
                <w:lang w:val="pt-BR"/>
              </w:rPr>
              <w:t>Tyrimas atliekamas iš kapiliarinio bei veninio kraujo su EDTA, serumo ir plazmos.</w:t>
            </w:r>
          </w:p>
        </w:tc>
        <w:tc>
          <w:tcPr>
            <w:tcW w:w="5297" w:type="dxa"/>
          </w:tcPr>
          <w:p w14:paraId="1AD9AA6A" w14:textId="1591FF60" w:rsidR="0046223C" w:rsidRPr="006C60F3" w:rsidRDefault="0046223C" w:rsidP="0046223C">
            <w:pPr>
              <w:jc w:val="both"/>
            </w:pPr>
            <w:r>
              <w:rPr>
                <w:lang w:val="es-419"/>
              </w:rPr>
              <w:t xml:space="preserve">Tiekėjas siūlo koreguoti punktą </w:t>
            </w:r>
            <w:r w:rsidRPr="001C1BE4">
              <w:rPr>
                <w:i/>
                <w:iCs/>
              </w:rPr>
              <w:t>Nr. 7.</w:t>
            </w:r>
            <w:r w:rsidRPr="001C1BE4">
              <w:rPr>
                <w:i/>
                <w:iCs/>
                <w:color w:val="000000"/>
              </w:rPr>
              <w:t xml:space="preserve"> </w:t>
            </w:r>
            <w:r>
              <w:rPr>
                <w:i/>
                <w:iCs/>
                <w:color w:val="000000"/>
              </w:rPr>
              <w:t>„</w:t>
            </w:r>
            <w:r w:rsidRPr="001C1BE4">
              <w:rPr>
                <w:i/>
                <w:iCs/>
                <w:color w:val="000000"/>
              </w:rPr>
              <w:t>Mėginio tipas</w:t>
            </w:r>
            <w:r>
              <w:rPr>
                <w:i/>
                <w:iCs/>
                <w:color w:val="000000"/>
              </w:rPr>
              <w:t>:</w:t>
            </w:r>
            <w:r w:rsidRPr="001C1BE4">
              <w:rPr>
                <w:i/>
                <w:iCs/>
                <w:color w:val="000000"/>
              </w:rPr>
              <w:t xml:space="preserve"> </w:t>
            </w:r>
            <w:r w:rsidRPr="006C60F3">
              <w:rPr>
                <w:i/>
                <w:iCs/>
              </w:rPr>
              <w:t>Tyrimas atliekamas iš kapiliarinio bei veninio kraujo su EDTA, serumo ir plazmos</w:t>
            </w:r>
            <w:r>
              <w:rPr>
                <w:i/>
                <w:iCs/>
              </w:rPr>
              <w:t>“</w:t>
            </w:r>
            <w:r w:rsidRPr="006C60F3">
              <w:rPr>
                <w:i/>
                <w:iCs/>
              </w:rPr>
              <w:t xml:space="preserve"> </w:t>
            </w:r>
            <w:r w:rsidRPr="006C60F3">
              <w:t xml:space="preserve">ir </w:t>
            </w:r>
            <w:r w:rsidRPr="0046223C">
              <w:rPr>
                <w:u w:val="single"/>
              </w:rPr>
              <w:t>palikti tik kapiliarinio ir veninio kraujo mėginius</w:t>
            </w:r>
            <w:r w:rsidRPr="006C60F3">
              <w:t xml:space="preserve"> tam, kad daugiau tiekėjų galėtų sudalyvauti pirkime taip skatinant konkurenciją tarp įmonių, siūlančių įrangą. </w:t>
            </w:r>
          </w:p>
          <w:p w14:paraId="14937FD8" w14:textId="2B6B531D" w:rsidR="00850336" w:rsidRPr="0046223C" w:rsidRDefault="00850336" w:rsidP="007D7AF0"/>
        </w:tc>
        <w:tc>
          <w:tcPr>
            <w:tcW w:w="3641" w:type="dxa"/>
          </w:tcPr>
          <w:p w14:paraId="799C43ED" w14:textId="0951D3EA" w:rsidR="00850336" w:rsidRPr="00850336" w:rsidRDefault="002C1D92" w:rsidP="00403716">
            <w:pPr>
              <w:jc w:val="both"/>
              <w:rPr>
                <w:lang w:val="es-419"/>
              </w:rPr>
            </w:pPr>
            <w:r w:rsidRPr="00403716">
              <w:lastRenderedPageBreak/>
              <w:t>Perkančioji organizacija (PO) informuoja, kad skelbia techninės specifikacijos reikalavimus siekiant įvykdyti PO keliamus tikslus ir užduotis – tirti visų amžiaus grupių pacientus atsižvelgiant į maksimalų</w:t>
            </w:r>
            <w:r w:rsidRPr="0024630D">
              <w:t xml:space="preserve"> </w:t>
            </w:r>
            <w:r w:rsidRPr="00403716">
              <w:lastRenderedPageBreak/>
              <w:t xml:space="preserve">pacientų komfortą ir maksimaliai prioretizuodama tyrimų tikslumą bei jų atlikimą per įmanomai trumpiausią laiką, todėl neišskiria nei kapiliarinio, nei veninio kraujo, nei serumo, nei plazmos mėginių, taip išplėsdama CRB tyrimo ištyrimo galimybę iš bet kokio kraujo mėginio. </w:t>
            </w:r>
            <w:r w:rsidRPr="00403716">
              <w:rPr>
                <w:b/>
                <w:bCs/>
              </w:rPr>
              <w:t>Reikalavimas nekeičiamas.</w:t>
            </w:r>
          </w:p>
        </w:tc>
      </w:tr>
      <w:tr w:rsidR="00850336" w:rsidRPr="00850336" w14:paraId="7EC3A90E" w14:textId="77777777" w:rsidTr="002C1D92">
        <w:tc>
          <w:tcPr>
            <w:tcW w:w="710" w:type="dxa"/>
          </w:tcPr>
          <w:p w14:paraId="0621832B" w14:textId="77777777" w:rsidR="00850336" w:rsidRPr="00850336" w:rsidRDefault="00850336" w:rsidP="007D7AF0">
            <w:pPr>
              <w:jc w:val="center"/>
            </w:pPr>
            <w:r w:rsidRPr="00850336">
              <w:lastRenderedPageBreak/>
              <w:t>8.</w:t>
            </w:r>
          </w:p>
        </w:tc>
        <w:tc>
          <w:tcPr>
            <w:tcW w:w="2410" w:type="dxa"/>
          </w:tcPr>
          <w:p w14:paraId="4EB1BCB2" w14:textId="77777777" w:rsidR="00850336" w:rsidRPr="00850336" w:rsidRDefault="00850336" w:rsidP="007D7AF0">
            <w:pPr>
              <w:rPr>
                <w:rFonts w:eastAsia="Calibri"/>
              </w:rPr>
            </w:pPr>
            <w:r w:rsidRPr="00850336">
              <w:rPr>
                <w:rFonts w:eastAsia="Calibri"/>
              </w:rPr>
              <w:t>Mėginio tūris</w:t>
            </w:r>
          </w:p>
        </w:tc>
        <w:tc>
          <w:tcPr>
            <w:tcW w:w="3118" w:type="dxa"/>
          </w:tcPr>
          <w:p w14:paraId="13A0DBB9" w14:textId="77777777" w:rsidR="00850336" w:rsidRPr="00850336" w:rsidRDefault="00850336" w:rsidP="007D7AF0">
            <w:pPr>
              <w:jc w:val="both"/>
              <w:rPr>
                <w:color w:val="000000"/>
              </w:rPr>
            </w:pPr>
            <w:r w:rsidRPr="00850336">
              <w:t>Tyrimui atlikti pakankamas mėginio tūris: ≤ 20 µl.</w:t>
            </w:r>
          </w:p>
        </w:tc>
        <w:tc>
          <w:tcPr>
            <w:tcW w:w="5297" w:type="dxa"/>
          </w:tcPr>
          <w:p w14:paraId="2BFEEF06" w14:textId="4C7F5A2F" w:rsidR="00FF1DF5" w:rsidRPr="00FF1DF5" w:rsidRDefault="00FF1DF5" w:rsidP="00FF1DF5">
            <w:pPr>
              <w:pStyle w:val="Sraopastraipa"/>
              <w:numPr>
                <w:ilvl w:val="0"/>
                <w:numId w:val="6"/>
              </w:numPr>
              <w:jc w:val="both"/>
              <w:rPr>
                <w:rFonts w:eastAsia="Calibri"/>
              </w:rPr>
            </w:pPr>
            <w:r w:rsidRPr="00FF1DF5">
              <w:rPr>
                <w:lang w:val="es-419"/>
              </w:rPr>
              <w:t xml:space="preserve">Tiekėjas prašo </w:t>
            </w:r>
            <w:r w:rsidRPr="00FF1DF5">
              <w:rPr>
                <w:rFonts w:eastAsia="Calibri"/>
              </w:rPr>
              <w:t>patikslinti techninį parametrą ir koreguoti sekančiai:</w:t>
            </w:r>
          </w:p>
          <w:p w14:paraId="6E2493C4" w14:textId="6D84DF47" w:rsidR="00FF1DF5" w:rsidRPr="00932CB9" w:rsidRDefault="00FF1DF5" w:rsidP="00FF1DF5">
            <w:pPr>
              <w:jc w:val="both"/>
            </w:pPr>
            <w:r>
              <w:t>„</w:t>
            </w:r>
            <w:r w:rsidRPr="00932CB9">
              <w:t xml:space="preserve">iš kapiliarinio kraujo - ne daugiau kaip 25 </w:t>
            </w:r>
            <w:r w:rsidRPr="00932CB9">
              <w:sym w:font="Symbol" w:char="F06D"/>
            </w:r>
            <w:r w:rsidRPr="00932CB9">
              <w:t>l;</w:t>
            </w:r>
          </w:p>
          <w:p w14:paraId="0C45B733" w14:textId="0E8D0A7E" w:rsidR="00FF1DF5" w:rsidRPr="00932CB9" w:rsidRDefault="00FF1DF5" w:rsidP="00FF1DF5">
            <w:pPr>
              <w:jc w:val="both"/>
            </w:pPr>
            <w:r w:rsidRPr="00932CB9">
              <w:t xml:space="preserve">iš veninio kraujo, serumo, plazmos - ne daugiau kaip 100 </w:t>
            </w:r>
            <w:r w:rsidRPr="00932CB9">
              <w:sym w:font="Symbol" w:char="F06D"/>
            </w:r>
            <w:r w:rsidRPr="00932CB9">
              <w:t>l.</w:t>
            </w:r>
            <w:r>
              <w:t>“</w:t>
            </w:r>
          </w:p>
          <w:p w14:paraId="277A7AF7" w14:textId="77777777" w:rsidR="00850336" w:rsidRDefault="00FF1DF5" w:rsidP="00FF1DF5">
            <w:pPr>
              <w:jc w:val="both"/>
              <w:rPr>
                <w:rFonts w:eastAsia="Calibri"/>
                <w:kern w:val="2"/>
                <w:lang w:eastAsia="en-US"/>
                <w14:ligatures w14:val="standardContextual"/>
              </w:rPr>
            </w:pPr>
            <w:r w:rsidRPr="00932CB9">
              <w:rPr>
                <w:rFonts w:eastAsia="Calibri"/>
                <w:kern w:val="2"/>
                <w:lang w:eastAsia="en-US"/>
                <w14:ligatures w14:val="standardContextual"/>
              </w:rPr>
              <w:t>Lankstesnis mėginio kiekio reikalavimas (iki 100 µl) užtikrins didesnę konkurenciją tarp tiekėjų, o tai savo ruožtu gali padėti pasiūlyti sprendimus su optimaliu kainos ir kokybės santykiu. Tai leistų Perkančiajai organizacijai efektyviau panaudoti pirkimui skirtas lėšas ir gauti rinkoje siūlomus geriausius sprendimus.</w:t>
            </w:r>
          </w:p>
          <w:p w14:paraId="7E727CDA" w14:textId="5B9E2B88" w:rsidR="00FF1DF5" w:rsidRPr="00FF1DF5" w:rsidRDefault="00FF1DF5" w:rsidP="00FF1DF5">
            <w:pPr>
              <w:pStyle w:val="Sraopastraipa"/>
              <w:numPr>
                <w:ilvl w:val="0"/>
                <w:numId w:val="6"/>
              </w:numPr>
              <w:jc w:val="both"/>
            </w:pPr>
            <w:r w:rsidRPr="00FF1DF5">
              <w:rPr>
                <w:lang w:val="es-419"/>
              </w:rPr>
              <w:t xml:space="preserve">Tiekėjas prašo </w:t>
            </w:r>
            <w:r w:rsidRPr="00FF1DF5">
              <w:t>pakoreguoti mėginio tūrį į ≤ 50 µl, taip užtikrinant konkurencingų tiekėjų dalyvavimą.</w:t>
            </w:r>
          </w:p>
          <w:p w14:paraId="37D02A0D" w14:textId="1BBB0406" w:rsidR="00FF1DF5" w:rsidRPr="00FF1DF5" w:rsidRDefault="00FF1DF5" w:rsidP="00FF1DF5">
            <w:pPr>
              <w:jc w:val="both"/>
            </w:pPr>
            <w:r w:rsidRPr="00FF1DF5">
              <w:t xml:space="preserve">Maži mėginio tūriai yra jautresni pipetavimo ar mėginio paėmimo klaidoms – net 1–2 µL paklaida tampa reikšminga. Didesnis mėginio tūris užtikriną stabilesnį ir patikimesnį rezultatą. </w:t>
            </w:r>
          </w:p>
          <w:p w14:paraId="47EA1442" w14:textId="77777777" w:rsidR="00FF1DF5" w:rsidRPr="00FF1DF5" w:rsidRDefault="00FF1DF5" w:rsidP="00FF1DF5">
            <w:pPr>
              <w:jc w:val="both"/>
            </w:pPr>
            <w:r w:rsidRPr="00FF1DF5">
              <w:t>Mažesni tūriai gali lemti didelius rezultatų svyravimus tarp bandymų. 50 µL mėginį lengviau paimti tiksliai. Tai sumažina žmogiškųjų klaidų tikimybę kasdieninėje praktikoje.</w:t>
            </w:r>
          </w:p>
          <w:p w14:paraId="7A17F227" w14:textId="77777777" w:rsidR="00FF1DF5" w:rsidRPr="00FF1DF5" w:rsidRDefault="00FF1DF5" w:rsidP="00FF1DF5">
            <w:pPr>
              <w:jc w:val="both"/>
            </w:pPr>
          </w:p>
          <w:p w14:paraId="03B1BBA1" w14:textId="77777777" w:rsidR="00FF1DF5" w:rsidRPr="00FF1DF5" w:rsidRDefault="00FF1DF5" w:rsidP="00FF1DF5">
            <w:pPr>
              <w:jc w:val="both"/>
            </w:pPr>
            <w:r w:rsidRPr="00FF1DF5">
              <w:t xml:space="preserve">Didesnis mėginio tūris palieka galimybę pakartotiniams tyrimams. Nustatant mažą mėginio tūrį, apribojimas </w:t>
            </w:r>
            <w:r w:rsidRPr="00FF1DF5">
              <w:lastRenderedPageBreak/>
              <w:t>tiekėjų rinka, nes ne visos sistemos geba užtikrinti tikslų tyrimą su tokiu mažu mėginiu.</w:t>
            </w:r>
          </w:p>
          <w:p w14:paraId="1D1A00A1" w14:textId="2BCA989B" w:rsidR="00FF1DF5" w:rsidRPr="00FF1DF5" w:rsidRDefault="00FF1DF5" w:rsidP="00FF1DF5">
            <w:pPr>
              <w:jc w:val="both"/>
              <w:rPr>
                <w:color w:val="FF0000"/>
              </w:rPr>
            </w:pPr>
          </w:p>
        </w:tc>
        <w:tc>
          <w:tcPr>
            <w:tcW w:w="3641" w:type="dxa"/>
          </w:tcPr>
          <w:p w14:paraId="3B8B8920" w14:textId="77777777" w:rsidR="0070205B" w:rsidRPr="00403716" w:rsidRDefault="0070205B" w:rsidP="0070205B">
            <w:pPr>
              <w:jc w:val="both"/>
            </w:pPr>
            <w:r w:rsidRPr="00403716">
              <w:lastRenderedPageBreak/>
              <w:t xml:space="preserve">Perkančioji organizacija (PO) informuoja, kad mažesnis mėginio kiekis kapiliariniam kraujui (≤ 20 µl) yra ypač svarbus vaikams ir pagyvenusiems pacientams, kuriems sunku paimti didesnį kraujo kiekį mėginį, būtent dėl to nustatytas ≤ 20µl tūrio reikalavimas. </w:t>
            </w:r>
            <w:r w:rsidRPr="00403716">
              <w:rPr>
                <w:b/>
                <w:bCs/>
              </w:rPr>
              <w:t>Reikalavimas nekeičiamas.</w:t>
            </w:r>
          </w:p>
          <w:p w14:paraId="0996F1B7" w14:textId="77777777" w:rsidR="00850336" w:rsidRPr="00850336" w:rsidRDefault="00850336" w:rsidP="007D7AF0">
            <w:pPr>
              <w:rPr>
                <w:lang w:val="es-419"/>
              </w:rPr>
            </w:pPr>
          </w:p>
        </w:tc>
      </w:tr>
      <w:tr w:rsidR="00850336" w:rsidRPr="00850336" w14:paraId="22088DA9" w14:textId="77777777" w:rsidTr="002C1D92">
        <w:tc>
          <w:tcPr>
            <w:tcW w:w="710" w:type="dxa"/>
          </w:tcPr>
          <w:p w14:paraId="2B7A5E51" w14:textId="77777777" w:rsidR="00850336" w:rsidRPr="00850336" w:rsidRDefault="00850336" w:rsidP="007D7AF0">
            <w:pPr>
              <w:jc w:val="center"/>
            </w:pPr>
            <w:r w:rsidRPr="00850336">
              <w:t>10.</w:t>
            </w:r>
          </w:p>
        </w:tc>
        <w:tc>
          <w:tcPr>
            <w:tcW w:w="2410" w:type="dxa"/>
          </w:tcPr>
          <w:p w14:paraId="108120D5" w14:textId="77777777" w:rsidR="00850336" w:rsidRPr="00850336" w:rsidRDefault="00850336" w:rsidP="007D7AF0">
            <w:pPr>
              <w:rPr>
                <w:rFonts w:eastAsia="Calibri"/>
              </w:rPr>
            </w:pPr>
            <w:r w:rsidRPr="00850336">
              <w:t>Tyrimo atlikimas</w:t>
            </w:r>
          </w:p>
        </w:tc>
        <w:tc>
          <w:tcPr>
            <w:tcW w:w="3118" w:type="dxa"/>
          </w:tcPr>
          <w:p w14:paraId="44D54D94" w14:textId="77777777" w:rsidR="00850336" w:rsidRPr="00850336" w:rsidRDefault="00850336" w:rsidP="007D7AF0">
            <w:pPr>
              <w:jc w:val="both"/>
              <w:rPr>
                <w:color w:val="000000"/>
              </w:rPr>
            </w:pPr>
            <w:r w:rsidRPr="00850336">
              <w:rPr>
                <w:lang w:val="pt-BR"/>
              </w:rPr>
              <w:t>Nereikalingas mėginio paruošimas ar papildomi operatoriaus veiksmai tyrimo procedūros atlikimo metu (po mėginio įdėjimo).</w:t>
            </w:r>
          </w:p>
        </w:tc>
        <w:tc>
          <w:tcPr>
            <w:tcW w:w="5297" w:type="dxa"/>
          </w:tcPr>
          <w:p w14:paraId="460DFFD1" w14:textId="69F2348A" w:rsidR="00850336" w:rsidRPr="00850336" w:rsidRDefault="00FF1DF5" w:rsidP="00FF1DF5">
            <w:pPr>
              <w:jc w:val="both"/>
              <w:rPr>
                <w:lang w:val="es-419"/>
              </w:rPr>
            </w:pPr>
            <w:r>
              <w:t xml:space="preserve">Tiekėjas prašo patikslinti, ar </w:t>
            </w:r>
            <w:r w:rsidRPr="00723F5D">
              <w:t xml:space="preserve">teisingai supranta, kad šis reikalavimas apima tik veiksmus, atliekamus po mėginio įdėjimo į analizatorių? </w:t>
            </w:r>
            <w:r w:rsidRPr="00723F5D">
              <w:rPr>
                <w:b/>
                <w:bCs/>
              </w:rPr>
              <w:t>Prašome patikslinti</w:t>
            </w:r>
            <w:r w:rsidRPr="00723F5D">
              <w:t>, ar papildomi veiksmai, tokie kaip tyrimo kasetės įdėjimas į analizatorių prieš mėginio įdėjimą, yra laikomi papildomais operatoriaus veiksmais, kurie gali turėti įtakos reikalavimo atitikčiai.</w:t>
            </w:r>
          </w:p>
        </w:tc>
        <w:tc>
          <w:tcPr>
            <w:tcW w:w="3641" w:type="dxa"/>
          </w:tcPr>
          <w:p w14:paraId="113F77F4" w14:textId="1FF63BFE" w:rsidR="00F2507F" w:rsidRPr="00F2507F" w:rsidRDefault="00772CEC" w:rsidP="00F2507F">
            <w:pPr>
              <w:jc w:val="both"/>
              <w:rPr>
                <w:b/>
                <w:bCs/>
                <w:i/>
                <w:iCs/>
              </w:rPr>
            </w:pPr>
            <w:r>
              <w:t xml:space="preserve">Paaiškiname, kad </w:t>
            </w:r>
            <w:r w:rsidR="00F2507F" w:rsidRPr="00F2507F">
              <w:t>automatizuotas CRB tyrimo atlikimas turi būti tiesiogiai suprantamas kaip parašyta (Priedas Nr. 2) 10 punkto reikalavime: „</w:t>
            </w:r>
            <w:r w:rsidR="00F2507F" w:rsidRPr="00F2507F">
              <w:rPr>
                <w:i/>
                <w:iCs/>
              </w:rPr>
              <w:t>Nereikalingas mėginio paruošimas ar papildomi operatoriaus veiksmai tyrimo procedūros atlikimo metu (po mėginio įdėjimo)</w:t>
            </w:r>
            <w:r w:rsidR="00F2507F" w:rsidRPr="00F2507F">
              <w:t>.”, t.</w:t>
            </w:r>
            <w:r w:rsidR="00207784">
              <w:t xml:space="preserve"> </w:t>
            </w:r>
            <w:r w:rsidR="00F2507F" w:rsidRPr="00F2507F">
              <w:t xml:space="preserve">y. </w:t>
            </w:r>
            <w:r w:rsidR="00F2507F" w:rsidRPr="00F2507F">
              <w:rPr>
                <w:b/>
                <w:bCs/>
                <w:i/>
                <w:iCs/>
              </w:rPr>
              <w:t>paties mėginio/ėminio (kraujo, serumo, plazmos) nebereikia ruošti: skiesti ar į ėminį pridėti papildomų reagentų (buferio),</w:t>
            </w:r>
            <w:r w:rsidR="00F2507F" w:rsidRPr="00F2507F">
              <w:t xml:space="preserve"> </w:t>
            </w:r>
            <w:r w:rsidR="00F2507F" w:rsidRPr="00F2507F">
              <w:rPr>
                <w:b/>
                <w:bCs/>
                <w:i/>
                <w:iCs/>
              </w:rPr>
              <w:t>(pastaba: mėginio/ėminio perkėlimas nelaikomas paruošimu), o įdėjus į analizatorių pradedamas (paleidžiamas) matavimas ir kuris be operatoriaus įsikišimo vyksta iki atsakymo pateikimo.</w:t>
            </w:r>
          </w:p>
          <w:p w14:paraId="221BDD61" w14:textId="654CA1E0" w:rsidR="00850336" w:rsidRPr="00F2507F" w:rsidRDefault="00F2507F" w:rsidP="00651B82">
            <w:pPr>
              <w:jc w:val="both"/>
            </w:pPr>
            <w:r w:rsidRPr="00F2507F">
              <w:t xml:space="preserve">Pažymime, kad </w:t>
            </w:r>
            <w:r w:rsidR="00235117">
              <w:t xml:space="preserve">techninės specifikacijos </w:t>
            </w:r>
            <w:r w:rsidRPr="00F2507F">
              <w:t>reikalavimai nesukuria kliūčių tiekėjui siūlyti pilnai automatizuotą analizatorių, jei jis atitinka nustatytus techninius kriterijus. Pasiūlymas dėl pilnai automatizuoto CRB tyrimo atlikimo bus vertinamas pagal visus keliamus reikalavimus.</w:t>
            </w:r>
          </w:p>
        </w:tc>
      </w:tr>
      <w:tr w:rsidR="00850336" w:rsidRPr="00850336" w14:paraId="2DF7577E" w14:textId="77777777" w:rsidTr="002C1D92">
        <w:tc>
          <w:tcPr>
            <w:tcW w:w="710" w:type="dxa"/>
          </w:tcPr>
          <w:p w14:paraId="3D2F4172" w14:textId="77777777" w:rsidR="00850336" w:rsidRPr="00850336" w:rsidRDefault="00850336" w:rsidP="007D7AF0">
            <w:pPr>
              <w:jc w:val="center"/>
            </w:pPr>
            <w:r w:rsidRPr="00850336">
              <w:t>11.</w:t>
            </w:r>
          </w:p>
        </w:tc>
        <w:tc>
          <w:tcPr>
            <w:tcW w:w="2410" w:type="dxa"/>
          </w:tcPr>
          <w:p w14:paraId="58EE7CF7" w14:textId="77777777" w:rsidR="00850336" w:rsidRPr="00850336" w:rsidRDefault="00850336" w:rsidP="007D7AF0">
            <w:pPr>
              <w:rPr>
                <w:rFonts w:eastAsia="Calibri"/>
              </w:rPr>
            </w:pPr>
            <w:r w:rsidRPr="00850336">
              <w:t>Analizatorius automatiškai kompensuoja hematokritą</w:t>
            </w:r>
          </w:p>
        </w:tc>
        <w:tc>
          <w:tcPr>
            <w:tcW w:w="3118" w:type="dxa"/>
          </w:tcPr>
          <w:p w14:paraId="503D05AB" w14:textId="77777777" w:rsidR="00850336" w:rsidRPr="00850336" w:rsidRDefault="00850336" w:rsidP="007D7AF0">
            <w:pPr>
              <w:jc w:val="both"/>
              <w:rPr>
                <w:color w:val="000000"/>
              </w:rPr>
            </w:pPr>
            <w:r w:rsidRPr="00850336">
              <w:rPr>
                <w:color w:val="000000"/>
              </w:rPr>
              <w:t>Būtina.</w:t>
            </w:r>
          </w:p>
        </w:tc>
        <w:tc>
          <w:tcPr>
            <w:tcW w:w="5297" w:type="dxa"/>
          </w:tcPr>
          <w:p w14:paraId="396522CE" w14:textId="77777777" w:rsidR="00FF1DF5" w:rsidRPr="00FF1DF5" w:rsidRDefault="0046223C" w:rsidP="00FF1DF5">
            <w:pPr>
              <w:pStyle w:val="Sraopastraipa"/>
              <w:numPr>
                <w:ilvl w:val="0"/>
                <w:numId w:val="3"/>
              </w:numPr>
              <w:jc w:val="both"/>
              <w:rPr>
                <w:lang w:val="es-419"/>
              </w:rPr>
            </w:pPr>
            <w:r w:rsidRPr="00FF1DF5">
              <w:rPr>
                <w:lang w:val="es-419"/>
              </w:rPr>
              <w:t>Tiekėjas prašo nurodyti HCT ribas, pavyzdžiui, 15-75</w:t>
            </w:r>
            <w:r w:rsidRPr="00FF1DF5">
              <w:t>% ribose.</w:t>
            </w:r>
            <w:r w:rsidR="00FF1DF5">
              <w:t xml:space="preserve"> </w:t>
            </w:r>
            <w:r w:rsidRPr="0046223C">
              <w:t xml:space="preserve">Nenurodžius, galimos tiekėjų interpretacijos ir dviprasmiški supratimai, pavyzdžiui, esant mėginio HCT 40% ir analizatoriaus kalibracijai šiai HCT vertei (40%), </w:t>
            </w:r>
            <w:r w:rsidRPr="0046223C">
              <w:lastRenderedPageBreak/>
              <w:t>bus laikoma, kad HCT jau yra kompensuotas ir jo kompensuoti nereikia ir pan.</w:t>
            </w:r>
          </w:p>
          <w:p w14:paraId="7E11DA60" w14:textId="3011E403" w:rsidR="00FF1DF5" w:rsidRPr="00FF1DF5" w:rsidRDefault="00FF1DF5" w:rsidP="00FF1DF5">
            <w:pPr>
              <w:pStyle w:val="Sraopastraipa"/>
              <w:numPr>
                <w:ilvl w:val="0"/>
                <w:numId w:val="3"/>
              </w:numPr>
              <w:jc w:val="both"/>
              <w:rPr>
                <w:lang w:val="es-419"/>
              </w:rPr>
            </w:pPr>
            <w:r w:rsidRPr="002C1D92">
              <w:t>Tiekėjas prašo</w:t>
            </w:r>
            <w:r w:rsidRPr="00FF1DF5">
              <w:t xml:space="preserve"> reikalavimą nurodyti kaip „Pageidautina“. Reikalavimas yra nepagrįstas ir ribojantis konkurenciją, galimai pritaikytas vienam tiekėjui, kadangi šio techninės specifikacijos keliamo reikalavimo neatitinka bent 3 realiu gamintojų įranga ir toks reikalavimas užkerta veiksmingą konkurenciją tarp tiekėjų. </w:t>
            </w:r>
          </w:p>
          <w:p w14:paraId="0DF396E1" w14:textId="77777777" w:rsidR="00FF1DF5" w:rsidRPr="00723F5D" w:rsidRDefault="00FF1DF5" w:rsidP="00FF1DF5">
            <w:pPr>
              <w:tabs>
                <w:tab w:val="left" w:pos="436"/>
              </w:tabs>
              <w:ind w:left="38" w:right="130"/>
              <w:jc w:val="both"/>
            </w:pPr>
            <w:r w:rsidRPr="00723F5D">
              <w:t xml:space="preserve"> Jei Perkančioji organizacija nuspręstu nekoreguoti techninio parametro prašome:</w:t>
            </w:r>
          </w:p>
          <w:p w14:paraId="54EFEEE8" w14:textId="157EA578" w:rsidR="00FF1DF5" w:rsidRPr="00FF1DF5" w:rsidRDefault="00FF1DF5" w:rsidP="00FF1DF5">
            <w:pPr>
              <w:pStyle w:val="Sraopastraipa"/>
              <w:numPr>
                <w:ilvl w:val="0"/>
                <w:numId w:val="5"/>
              </w:numPr>
              <w:tabs>
                <w:tab w:val="left" w:pos="436"/>
              </w:tabs>
              <w:spacing w:line="240" w:lineRule="auto"/>
              <w:jc w:val="both"/>
              <w:rPr>
                <w:rFonts w:eastAsia="Calibri"/>
              </w:rPr>
            </w:pPr>
            <w:r w:rsidRPr="00FF1DF5">
              <w:t xml:space="preserve">leisti siūlyti lygiavertį sprendimą, siūlant analizatorių su papildoma programine įranga, kuri per laboratorijos informacinės sistemos (LIS) įrankius automatiškai atliks CRB rezultatų korekciją pagal žinomas paciento hematokrito, amžiaus, lyties reikšmes, užtikrindama tikslų ir patikimą tyrimo rezultatą. </w:t>
            </w:r>
            <w:r w:rsidRPr="00FF1DF5">
              <w:rPr>
                <w:rFonts w:eastAsia="Calibri"/>
              </w:rPr>
              <w:t>Koreguoti CRB tyrimo rezultatai bus automatiškai išsaugomi ir bus prieinami per LIS ar kitą pasirinktą duomenų valdymo platformą. Koreguoti duomenys bus pateikiami realiu laiku, taip užtikrinant greitą ir efektyvų tyrimų rezultatų interpretavimą.</w:t>
            </w:r>
          </w:p>
          <w:p w14:paraId="13AD2AD4" w14:textId="77777777" w:rsidR="00FF1DF5" w:rsidRPr="00723F5D" w:rsidRDefault="00FF1DF5" w:rsidP="00FF1DF5">
            <w:pPr>
              <w:tabs>
                <w:tab w:val="left" w:pos="436"/>
              </w:tabs>
              <w:ind w:left="38" w:right="130"/>
              <w:jc w:val="both"/>
            </w:pPr>
          </w:p>
          <w:p w14:paraId="7550B3BF" w14:textId="77777777" w:rsidR="00FF1DF5" w:rsidRPr="00723F5D" w:rsidRDefault="00FF1DF5" w:rsidP="00FF1DF5">
            <w:pPr>
              <w:tabs>
                <w:tab w:val="left" w:pos="436"/>
              </w:tabs>
              <w:ind w:left="38" w:right="130"/>
              <w:jc w:val="both"/>
            </w:pPr>
            <w:r w:rsidRPr="00723F5D">
              <w:t>ir/arba</w:t>
            </w:r>
          </w:p>
          <w:p w14:paraId="340C9116" w14:textId="77777777" w:rsidR="00FF1DF5" w:rsidRPr="00723F5D" w:rsidRDefault="00FF1DF5" w:rsidP="00FF1DF5">
            <w:pPr>
              <w:tabs>
                <w:tab w:val="left" w:pos="436"/>
              </w:tabs>
              <w:ind w:left="38" w:right="130"/>
              <w:jc w:val="both"/>
            </w:pPr>
          </w:p>
          <w:p w14:paraId="500F4737" w14:textId="465368CA" w:rsidR="00FF1DF5" w:rsidRPr="00FF1DF5" w:rsidRDefault="00FF1DF5" w:rsidP="00FF1DF5">
            <w:pPr>
              <w:pStyle w:val="Sraopastraipa"/>
              <w:numPr>
                <w:ilvl w:val="0"/>
                <w:numId w:val="5"/>
              </w:numPr>
              <w:jc w:val="both"/>
              <w:rPr>
                <w:lang w:val="es-419"/>
              </w:rPr>
            </w:pPr>
            <w:r w:rsidRPr="00FF1DF5">
              <w:rPr>
                <w:rFonts w:eastAsia="Calibri"/>
                <w:lang w:eastAsia="en-US"/>
              </w:rPr>
              <w:t>įtraukti kaip kokybės vertinimo kriterijų, pagal kurį būtų skiriami ekonominio naudingumo balai, tačiau jis nebūtų privalomas.</w:t>
            </w:r>
          </w:p>
        </w:tc>
        <w:tc>
          <w:tcPr>
            <w:tcW w:w="3641" w:type="dxa"/>
          </w:tcPr>
          <w:p w14:paraId="6F3097D0" w14:textId="49160327" w:rsidR="00850336" w:rsidRPr="00D440D1" w:rsidRDefault="002C1D92" w:rsidP="00FC749D">
            <w:pPr>
              <w:pStyle w:val="Sraopastraipa"/>
              <w:numPr>
                <w:ilvl w:val="0"/>
                <w:numId w:val="9"/>
              </w:numPr>
              <w:tabs>
                <w:tab w:val="left" w:pos="430"/>
              </w:tabs>
              <w:ind w:left="0" w:firstLine="120"/>
              <w:jc w:val="both"/>
              <w:rPr>
                <w:color w:val="FF0000"/>
              </w:rPr>
            </w:pPr>
            <w:r w:rsidRPr="00FC749D">
              <w:rPr>
                <w:lang w:val="es-419"/>
              </w:rPr>
              <w:lastRenderedPageBreak/>
              <w:t xml:space="preserve">Atsižvelgiant į tiekėjų pastabas, tikslinamas 11 punkto reikalavimas: </w:t>
            </w:r>
            <w:r w:rsidRPr="00FC749D">
              <w:t>„</w:t>
            </w:r>
            <w:r w:rsidRPr="00FC749D">
              <w:rPr>
                <w:i/>
                <w:iCs/>
              </w:rPr>
              <w:t xml:space="preserve">Analizatorius automatiškai kompensuoja hematokritą </w:t>
            </w:r>
            <w:r w:rsidRPr="00D440D1">
              <w:rPr>
                <w:b/>
                <w:bCs/>
                <w:i/>
                <w:iCs/>
                <w:color w:val="FF0000"/>
              </w:rPr>
              <w:t>ne siauresnėse kaip 20-70% HCT ribose</w:t>
            </w:r>
            <w:r w:rsidRPr="00D440D1">
              <w:rPr>
                <w:color w:val="FF0000"/>
              </w:rPr>
              <w:t>“.</w:t>
            </w:r>
          </w:p>
          <w:p w14:paraId="2D6419BD" w14:textId="03FDE796" w:rsidR="00196D8A" w:rsidRDefault="00FC749D" w:rsidP="00FC749D">
            <w:pPr>
              <w:pStyle w:val="Sraopastraipa"/>
              <w:numPr>
                <w:ilvl w:val="0"/>
                <w:numId w:val="9"/>
              </w:numPr>
              <w:tabs>
                <w:tab w:val="left" w:pos="430"/>
              </w:tabs>
              <w:ind w:left="0" w:firstLine="120"/>
              <w:jc w:val="both"/>
            </w:pPr>
            <w:r>
              <w:lastRenderedPageBreak/>
              <w:t>H</w:t>
            </w:r>
            <w:r w:rsidRPr="00FC749D">
              <w:t xml:space="preserve">ematokrito korekcija yra esminė CRB tyrimo tikslumo užtikrinimo dalis, nes šis parametras turi reikšmingą įtaką CRB matavimo rezultatams. </w:t>
            </w:r>
            <w:r w:rsidR="00320B27">
              <w:t>R</w:t>
            </w:r>
            <w:r w:rsidRPr="00FC749D">
              <w:t>eikalavimas</w:t>
            </w:r>
            <w:r w:rsidR="00D11935">
              <w:t xml:space="preserve"> dėl automatinio hematokrito kompensavimo</w:t>
            </w:r>
            <w:r w:rsidRPr="00FC749D">
              <w:t xml:space="preserve"> nėra perteklinis, bet būtinas, kad būtų užtikrintas teisingas tyrimų rezultatų interpretavimas.</w:t>
            </w:r>
            <w:r w:rsidR="00563E0D">
              <w:t xml:space="preserve"> </w:t>
            </w:r>
            <w:r w:rsidR="00B90971">
              <w:t xml:space="preserve">Perkančioji organizacija </w:t>
            </w:r>
            <w:r w:rsidR="00B90971" w:rsidRPr="009234A0">
              <w:rPr>
                <w:b/>
                <w:bCs/>
              </w:rPr>
              <w:t xml:space="preserve">reikalavimo dėl analizatoriaus </w:t>
            </w:r>
            <w:r w:rsidR="009234A0">
              <w:rPr>
                <w:b/>
                <w:bCs/>
              </w:rPr>
              <w:t>būtinos funkcijos</w:t>
            </w:r>
            <w:r w:rsidR="00B52826" w:rsidRPr="009234A0">
              <w:rPr>
                <w:b/>
                <w:bCs/>
              </w:rPr>
              <w:t xml:space="preserve"> </w:t>
            </w:r>
            <w:r w:rsidR="00B90971" w:rsidRPr="009234A0">
              <w:rPr>
                <w:b/>
                <w:bCs/>
              </w:rPr>
              <w:t>automati</w:t>
            </w:r>
            <w:r w:rsidR="00B52826" w:rsidRPr="009234A0">
              <w:rPr>
                <w:b/>
                <w:bCs/>
              </w:rPr>
              <w:t>škai kompensuoti hematokritą nekeis</w:t>
            </w:r>
            <w:r w:rsidR="00B52826">
              <w:t>.</w:t>
            </w:r>
            <w:r w:rsidR="00B90971">
              <w:t xml:space="preserve"> </w:t>
            </w:r>
            <w:r w:rsidRPr="00FC749D">
              <w:t xml:space="preserve"> </w:t>
            </w:r>
            <w:r w:rsidR="00FF779B" w:rsidRPr="00196D8A">
              <w:t>Pažymėtina, kad perkančioji organizacija nepriims tiekėjų pasiūlymų, kurie nesiūlo reikalavimo atlikti hematokrito korekciją automatiškai. Tiekėjai gali siūlyti lygiaverčius sprendimus, kurie atitiktų šį reikalavimą, tačiau jis lieka būtinas.</w:t>
            </w:r>
          </w:p>
          <w:p w14:paraId="7CE7CE0E" w14:textId="1E75D384" w:rsidR="00FC749D" w:rsidRPr="00196D8A" w:rsidRDefault="00196D8A" w:rsidP="00196D8A">
            <w:pPr>
              <w:tabs>
                <w:tab w:val="left" w:pos="430"/>
              </w:tabs>
              <w:jc w:val="both"/>
            </w:pPr>
            <w:r>
              <w:t xml:space="preserve">Perkančioji organizacija pasisako dėl </w:t>
            </w:r>
            <w:r w:rsidR="00845BB8">
              <w:t>l</w:t>
            </w:r>
            <w:r w:rsidR="00927BCB" w:rsidRPr="00FF1DF5">
              <w:t>ygiaver</w:t>
            </w:r>
            <w:r w:rsidR="00845BB8">
              <w:t>čio</w:t>
            </w:r>
            <w:r w:rsidR="00927BCB" w:rsidRPr="00FF1DF5">
              <w:t xml:space="preserve"> sprendim</w:t>
            </w:r>
            <w:r w:rsidR="00845BB8">
              <w:t>o</w:t>
            </w:r>
            <w:r w:rsidR="00927BCB" w:rsidRPr="00FF1DF5">
              <w:t>, siūlant analizatorių su papildoma programine įranga, kuri per laboratorijos informacinės sistemos (LIS) įrankius automatiškai atlik</w:t>
            </w:r>
            <w:r w:rsidR="00A07A4D">
              <w:t>tų</w:t>
            </w:r>
            <w:r w:rsidR="00927BCB" w:rsidRPr="00FF1DF5">
              <w:t xml:space="preserve"> CRB rezultatų korekciją pagal žinomas paciento hematokrito, amžiaus, lyties reikšmes, užtikrindama tikslų ir patikimą tyrimo rezultat</w:t>
            </w:r>
            <w:r w:rsidR="00A07A4D">
              <w:t xml:space="preserve">ą. </w:t>
            </w:r>
            <w:r w:rsidR="00D64441" w:rsidRPr="00196D8A">
              <w:t>At</w:t>
            </w:r>
            <w:r w:rsidR="009772C3" w:rsidRPr="00196D8A">
              <w:t>sižvelgiant į tai, kad</w:t>
            </w:r>
            <w:r w:rsidR="00FC749D" w:rsidRPr="00196D8A">
              <w:t xml:space="preserve"> </w:t>
            </w:r>
            <w:r w:rsidR="00FC749D" w:rsidRPr="00974AD4">
              <w:rPr>
                <w:b/>
                <w:bCs/>
              </w:rPr>
              <w:t xml:space="preserve">atliekant CRB matavimą ne visada atliekamas bendras kraujo tyrimas, </w:t>
            </w:r>
            <w:r w:rsidR="003E0CC5" w:rsidRPr="00974AD4">
              <w:rPr>
                <w:b/>
                <w:bCs/>
              </w:rPr>
              <w:t>hematokrito</w:t>
            </w:r>
            <w:r w:rsidR="00FC749D" w:rsidRPr="00974AD4">
              <w:rPr>
                <w:b/>
                <w:bCs/>
              </w:rPr>
              <w:t xml:space="preserve"> korekcija per LIS </w:t>
            </w:r>
            <w:r w:rsidR="00906E2C">
              <w:rPr>
                <w:b/>
                <w:bCs/>
              </w:rPr>
              <w:t xml:space="preserve">perkančiajai organizacijai yra </w:t>
            </w:r>
            <w:r w:rsidR="00FC749D" w:rsidRPr="00974AD4">
              <w:rPr>
                <w:b/>
                <w:bCs/>
              </w:rPr>
              <w:t>netinka</w:t>
            </w:r>
            <w:r w:rsidR="00906E2C">
              <w:rPr>
                <w:b/>
                <w:bCs/>
              </w:rPr>
              <w:t>ma</w:t>
            </w:r>
            <w:r w:rsidR="00FC749D" w:rsidRPr="00974AD4">
              <w:rPr>
                <w:b/>
                <w:bCs/>
              </w:rPr>
              <w:t>.</w:t>
            </w:r>
            <w:r w:rsidR="00906E2C">
              <w:rPr>
                <w:b/>
                <w:bCs/>
              </w:rPr>
              <w:t xml:space="preserve"> </w:t>
            </w:r>
          </w:p>
          <w:p w14:paraId="752BD781" w14:textId="02054702" w:rsidR="0070205B" w:rsidRPr="00327D4F" w:rsidRDefault="0070205B" w:rsidP="0070205B">
            <w:pPr>
              <w:jc w:val="both"/>
              <w:rPr>
                <w:lang w:val="es-419"/>
              </w:rPr>
            </w:pPr>
          </w:p>
        </w:tc>
      </w:tr>
      <w:tr w:rsidR="00850336" w:rsidRPr="00850336" w14:paraId="323464F7" w14:textId="77777777" w:rsidTr="002C1D92">
        <w:tc>
          <w:tcPr>
            <w:tcW w:w="710" w:type="dxa"/>
          </w:tcPr>
          <w:p w14:paraId="42175590" w14:textId="77777777" w:rsidR="00850336" w:rsidRPr="00850336" w:rsidRDefault="00850336" w:rsidP="007D7AF0">
            <w:pPr>
              <w:jc w:val="center"/>
            </w:pPr>
            <w:r w:rsidRPr="00850336">
              <w:lastRenderedPageBreak/>
              <w:t>15.</w:t>
            </w:r>
          </w:p>
        </w:tc>
        <w:tc>
          <w:tcPr>
            <w:tcW w:w="2410" w:type="dxa"/>
          </w:tcPr>
          <w:p w14:paraId="143A420B" w14:textId="77777777" w:rsidR="00850336" w:rsidRPr="00850336" w:rsidRDefault="00850336" w:rsidP="007D7AF0">
            <w:pPr>
              <w:rPr>
                <w:rFonts w:eastAsia="Calibri"/>
              </w:rPr>
            </w:pPr>
            <w:r w:rsidRPr="00850336">
              <w:rPr>
                <w:color w:val="000000"/>
              </w:rPr>
              <w:t>Analizatorius turi</w:t>
            </w:r>
            <w:r w:rsidRPr="00850336">
              <w:t xml:space="preserve"> užtikrinti galimybę perduoti tyrimų rezultatus automatiškai realiuoju laiku  į LIS</w:t>
            </w:r>
          </w:p>
        </w:tc>
        <w:tc>
          <w:tcPr>
            <w:tcW w:w="3118" w:type="dxa"/>
          </w:tcPr>
          <w:p w14:paraId="1A045379" w14:textId="77777777" w:rsidR="00850336" w:rsidRPr="00850336" w:rsidRDefault="00850336" w:rsidP="007D7AF0">
            <w:pPr>
              <w:jc w:val="both"/>
              <w:rPr>
                <w:color w:val="000000"/>
              </w:rPr>
            </w:pPr>
            <w:r w:rsidRPr="00850336">
              <w:rPr>
                <w:rFonts w:eastAsia="Calibri"/>
              </w:rPr>
              <w:t>Tiekėjas privalo užtikrinti, kad siūloma įranga turėtų technines galimybes būti prijungta prie laboratorinės informacinės sistemos OpenLims, Stapro s. r. o., Čekija. Tiekėjas įsipareigoja pateikti visą reikiamą informaciją analizatorių tinkamam pajungimui į LIS dvikrypčiu ryšiu (į analizatorių ateina užsakymas su paciento duomenimis (vardas, pavardė, gimimo data, lytis ir atsakymas grįžta į LIS) ir patvirtina, kad jo siūlomi analizatoriai visiškai suderinami su įstaigos naudojama LIS, bei užtikrina, jog, jungiant siūlomus analizatorius prie LIS, tarpininkaus siekiant, kad nekiltų techninių kliūčių pajungimui.</w:t>
            </w:r>
          </w:p>
        </w:tc>
        <w:tc>
          <w:tcPr>
            <w:tcW w:w="5297" w:type="dxa"/>
          </w:tcPr>
          <w:p w14:paraId="0322CC46" w14:textId="7D33C3D8" w:rsidR="00FF1DF5" w:rsidRPr="00FF1DF5" w:rsidRDefault="00FF1DF5" w:rsidP="00FF1DF5">
            <w:pPr>
              <w:jc w:val="both"/>
              <w:rPr>
                <w:lang w:val="es-419"/>
              </w:rPr>
            </w:pPr>
            <w:r w:rsidRPr="00FF1DF5">
              <w:rPr>
                <w:lang w:val="es-419"/>
              </w:rPr>
              <w:t>Tiekėjas prašo pakeisti šį reikalavimą į vienkryptį ryšį.</w:t>
            </w:r>
          </w:p>
          <w:p w14:paraId="690343B0" w14:textId="77777777" w:rsidR="00FF1DF5" w:rsidRPr="00FF1DF5" w:rsidRDefault="00FF1DF5" w:rsidP="00FF1DF5">
            <w:pPr>
              <w:jc w:val="both"/>
              <w:rPr>
                <w:lang w:val="es-419"/>
              </w:rPr>
            </w:pPr>
          </w:p>
          <w:p w14:paraId="3D48A1DD" w14:textId="77777777" w:rsidR="00FF1DF5" w:rsidRPr="00FF1DF5" w:rsidRDefault="00FF1DF5" w:rsidP="00FF1DF5">
            <w:pPr>
              <w:jc w:val="both"/>
              <w:rPr>
                <w:lang w:val="es-419"/>
              </w:rPr>
            </w:pPr>
            <w:r w:rsidRPr="00FF1DF5">
              <w:rPr>
                <w:lang w:val="es-419"/>
              </w:rPr>
              <w:t>Vienkryptis ryšys pilnai atitinka laboratorinės praktikos poreikius – duomenys iš analizatoriaus yra perduodami į LIS sistemą, o valdymas iš LIS nėra būtinas analizatoriaus veikimui.</w:t>
            </w:r>
          </w:p>
          <w:p w14:paraId="26766D7C" w14:textId="77777777" w:rsidR="00FF1DF5" w:rsidRPr="00FF1DF5" w:rsidRDefault="00FF1DF5" w:rsidP="00FF1DF5">
            <w:pPr>
              <w:jc w:val="both"/>
              <w:rPr>
                <w:lang w:val="es-419"/>
              </w:rPr>
            </w:pPr>
            <w:r w:rsidRPr="00FF1DF5">
              <w:rPr>
                <w:lang w:val="es-419"/>
              </w:rPr>
              <w:t>Vienkryptis ryšys yra saugesnis, nes LIS negali siųsti jokių komandų analizatoriui, taip išvengiant netyčinio duomenų keitimo ar sistemos veikimo sutrikdymo. Tuo pačiu, jis yra efektyvesnis, nes užtikrina sklandų ir operatyvų įrenginio prijungimą bei sumažina papildomas licencijavimo ir diegimo sąnaudas.</w:t>
            </w:r>
          </w:p>
          <w:p w14:paraId="2852EB7D" w14:textId="77777777" w:rsidR="00FF1DF5" w:rsidRPr="00FF1DF5" w:rsidRDefault="00FF1DF5" w:rsidP="00FF1DF5">
            <w:pPr>
              <w:jc w:val="both"/>
              <w:rPr>
                <w:lang w:val="es-419"/>
              </w:rPr>
            </w:pPr>
          </w:p>
          <w:p w14:paraId="1020F228" w14:textId="77777777" w:rsidR="00FF1DF5" w:rsidRPr="00FF1DF5" w:rsidRDefault="00FF1DF5" w:rsidP="00FF1DF5">
            <w:pPr>
              <w:jc w:val="both"/>
              <w:rPr>
                <w:lang w:val="es-419"/>
              </w:rPr>
            </w:pPr>
            <w:r w:rsidRPr="00FF1DF5">
              <w:rPr>
                <w:lang w:val="es-419"/>
              </w:rPr>
              <w:t>Kalbant apie dvikryptį ryšį, jis gali būti realizuotas tik per specifines programines sąsajas (API), kurios nėra prieinamos visiems tiekėjams, riboja konkurenciją ir yra perteklinis.</w:t>
            </w:r>
          </w:p>
          <w:p w14:paraId="5AF6908B" w14:textId="77777777" w:rsidR="00FF1DF5" w:rsidRPr="00FF1DF5" w:rsidRDefault="00FF1DF5" w:rsidP="00FF1DF5">
            <w:pPr>
              <w:jc w:val="both"/>
              <w:rPr>
                <w:lang w:val="es-419"/>
              </w:rPr>
            </w:pPr>
          </w:p>
          <w:p w14:paraId="4013FE30" w14:textId="77777777" w:rsidR="00FF1DF5" w:rsidRPr="00FF1DF5" w:rsidRDefault="00FF1DF5" w:rsidP="00FF1DF5">
            <w:pPr>
              <w:jc w:val="both"/>
              <w:rPr>
                <w:lang w:val="es-419"/>
              </w:rPr>
            </w:pPr>
            <w:r w:rsidRPr="00FF1DF5">
              <w:rPr>
                <w:lang w:val="es-419"/>
              </w:rPr>
              <w:t>Atsižvelgiant į tai, prašome pakeisti reikalavimą į:</w:t>
            </w:r>
          </w:p>
          <w:p w14:paraId="5A0B3B2C" w14:textId="77777777" w:rsidR="00FF1DF5" w:rsidRPr="00FF1DF5" w:rsidRDefault="00FF1DF5" w:rsidP="00FF1DF5">
            <w:pPr>
              <w:jc w:val="both"/>
              <w:rPr>
                <w:lang w:val="es-419"/>
              </w:rPr>
            </w:pPr>
          </w:p>
          <w:p w14:paraId="7BE9E89D" w14:textId="77777777" w:rsidR="00FF1DF5" w:rsidRPr="00FF1DF5" w:rsidRDefault="00FF1DF5" w:rsidP="00FF1DF5">
            <w:pPr>
              <w:jc w:val="both"/>
              <w:rPr>
                <w:lang w:val="es-419"/>
              </w:rPr>
            </w:pPr>
            <w:r w:rsidRPr="00FF1DF5">
              <w:rPr>
                <w:lang w:val="es-419"/>
              </w:rPr>
              <w:t>„Prietaisas turi turėti bent vienkryptį duomenų perdavimo ryšį su LIS sistema.“</w:t>
            </w:r>
          </w:p>
          <w:p w14:paraId="33031AA1" w14:textId="578DC2E0" w:rsidR="00850336" w:rsidRPr="00850336" w:rsidRDefault="00850336" w:rsidP="007D7AF0">
            <w:pPr>
              <w:rPr>
                <w:lang w:val="es-419"/>
              </w:rPr>
            </w:pPr>
          </w:p>
        </w:tc>
        <w:tc>
          <w:tcPr>
            <w:tcW w:w="3641" w:type="dxa"/>
          </w:tcPr>
          <w:p w14:paraId="74AE524F" w14:textId="77777777" w:rsidR="0070205B" w:rsidRPr="00327D4F" w:rsidRDefault="0070205B" w:rsidP="0070205B">
            <w:pPr>
              <w:jc w:val="both"/>
              <w:rPr>
                <w:lang w:val="es-419"/>
              </w:rPr>
            </w:pPr>
            <w:r w:rsidRPr="00327D4F">
              <w:t xml:space="preserve">Perkančioji organizacija (PO) </w:t>
            </w:r>
            <w:r w:rsidRPr="00327D4F">
              <w:rPr>
                <w:lang w:val="es-419"/>
              </w:rPr>
              <w:t xml:space="preserve">nustatė </w:t>
            </w:r>
            <w:r w:rsidRPr="00327D4F">
              <w:t>techninės specifikacijos</w:t>
            </w:r>
            <w:r w:rsidRPr="00327D4F">
              <w:rPr>
                <w:lang w:val="es-419"/>
              </w:rPr>
              <w:t xml:space="preserve"> reikalavimą dvikrypčiui ryšiui atliepdama savo pačios poreikius pilnai naudoti esamas technologijas laborartorijos darbo efektyvumui didinti ir galimų klaidų eliminavimui. </w:t>
            </w:r>
            <w:r w:rsidRPr="00327D4F">
              <w:rPr>
                <w:b/>
                <w:bCs/>
              </w:rPr>
              <w:t>Reikalavimas nekeičiamas.</w:t>
            </w:r>
          </w:p>
          <w:p w14:paraId="19216BE1" w14:textId="77777777" w:rsidR="00850336" w:rsidRPr="00850336" w:rsidRDefault="00850336" w:rsidP="007D7AF0">
            <w:pPr>
              <w:rPr>
                <w:lang w:val="es-419"/>
              </w:rPr>
            </w:pPr>
          </w:p>
        </w:tc>
      </w:tr>
    </w:tbl>
    <w:p w14:paraId="1F12237C" w14:textId="77777777" w:rsidR="00850336" w:rsidRPr="00850336" w:rsidRDefault="00850336" w:rsidP="00850336">
      <w:pPr>
        <w:tabs>
          <w:tab w:val="left" w:pos="284"/>
        </w:tabs>
        <w:jc w:val="both"/>
        <w:rPr>
          <w:rFonts w:ascii="Times New Roman" w:hAnsi="Times New Roman" w:cs="Times New Roman"/>
          <w:b/>
          <w:bCs/>
          <w:color w:val="000000"/>
        </w:rPr>
      </w:pPr>
    </w:p>
    <w:p w14:paraId="0484A186" w14:textId="5AD6576E" w:rsidR="002C1D92" w:rsidRPr="002C1D92" w:rsidRDefault="002C1D92" w:rsidP="00850336">
      <w:pPr>
        <w:tabs>
          <w:tab w:val="left" w:pos="284"/>
        </w:tabs>
        <w:jc w:val="both"/>
        <w:rPr>
          <w:rFonts w:ascii="Times New Roman" w:hAnsi="Times New Roman" w:cs="Times New Roman"/>
          <w:b/>
          <w:bCs/>
          <w:color w:val="000000"/>
        </w:rPr>
      </w:pPr>
      <w:r w:rsidRPr="002C1D92">
        <w:rPr>
          <w:rFonts w:ascii="Times New Roman" w:hAnsi="Times New Roman" w:cs="Times New Roman"/>
          <w:b/>
          <w:bCs/>
          <w:color w:val="000000"/>
        </w:rPr>
        <w:t>Pastabos / siūlymai dėl bendrųjų reikalavimų panaudai siūlomai įrangai:</w:t>
      </w:r>
    </w:p>
    <w:tbl>
      <w:tblPr>
        <w:tblStyle w:val="Lentelstinklelis"/>
        <w:tblW w:w="15176" w:type="dxa"/>
        <w:tblInd w:w="-431" w:type="dxa"/>
        <w:tblLayout w:type="fixed"/>
        <w:tblLook w:val="04A0" w:firstRow="1" w:lastRow="0" w:firstColumn="1" w:lastColumn="0" w:noHBand="0" w:noVBand="1"/>
      </w:tblPr>
      <w:tblGrid>
        <w:gridCol w:w="987"/>
        <w:gridCol w:w="3351"/>
        <w:gridCol w:w="6110"/>
        <w:gridCol w:w="4728"/>
      </w:tblGrid>
      <w:tr w:rsidR="002C1D92" w:rsidRPr="00850336" w14:paraId="6A76DF38" w14:textId="77777777" w:rsidTr="007D7AF0">
        <w:tc>
          <w:tcPr>
            <w:tcW w:w="710" w:type="dxa"/>
          </w:tcPr>
          <w:p w14:paraId="3E4C55AE" w14:textId="77777777" w:rsidR="002C1D92" w:rsidRPr="00850336" w:rsidRDefault="002C1D92" w:rsidP="007D7AF0">
            <w:pPr>
              <w:jc w:val="center"/>
              <w:rPr>
                <w:rFonts w:eastAsia="Calibri"/>
                <w:b/>
              </w:rPr>
            </w:pPr>
            <w:r w:rsidRPr="00850336">
              <w:rPr>
                <w:rFonts w:eastAsia="Calibri"/>
                <w:b/>
              </w:rPr>
              <w:t>Eil.</w:t>
            </w:r>
          </w:p>
          <w:p w14:paraId="117FD6F8" w14:textId="77777777" w:rsidR="002C1D92" w:rsidRPr="00850336" w:rsidRDefault="002C1D92" w:rsidP="007D7AF0">
            <w:pPr>
              <w:jc w:val="center"/>
            </w:pPr>
            <w:r w:rsidRPr="00850336">
              <w:rPr>
                <w:rFonts w:eastAsia="Calibri"/>
                <w:b/>
              </w:rPr>
              <w:t>Nr.</w:t>
            </w:r>
          </w:p>
        </w:tc>
        <w:tc>
          <w:tcPr>
            <w:tcW w:w="2410" w:type="dxa"/>
          </w:tcPr>
          <w:p w14:paraId="7066AB01" w14:textId="77777777" w:rsidR="002C1D92" w:rsidRPr="00850336" w:rsidRDefault="002C1D92" w:rsidP="007D7AF0">
            <w:pPr>
              <w:rPr>
                <w:color w:val="000000"/>
              </w:rPr>
            </w:pPr>
            <w:r w:rsidRPr="00850336">
              <w:rPr>
                <w:b/>
                <w:bCs/>
                <w:color w:val="000000"/>
              </w:rPr>
              <w:t>Bendrieji reikalavimai panaudai siūlomai įrangai</w:t>
            </w:r>
          </w:p>
        </w:tc>
        <w:tc>
          <w:tcPr>
            <w:tcW w:w="4394" w:type="dxa"/>
          </w:tcPr>
          <w:p w14:paraId="2DBB2712" w14:textId="77777777" w:rsidR="002C1D92" w:rsidRPr="00850336" w:rsidRDefault="002C1D92" w:rsidP="00327D4F">
            <w:pPr>
              <w:jc w:val="both"/>
              <w:rPr>
                <w:lang w:val="es-419"/>
              </w:rPr>
            </w:pPr>
            <w:r>
              <w:rPr>
                <w:b/>
                <w:bCs/>
                <w:color w:val="000000"/>
              </w:rPr>
              <w:t>Tiekėjų pastabos / siūlymai</w:t>
            </w:r>
          </w:p>
        </w:tc>
        <w:tc>
          <w:tcPr>
            <w:tcW w:w="3400" w:type="dxa"/>
          </w:tcPr>
          <w:p w14:paraId="7FD6B1FB" w14:textId="77777777" w:rsidR="002C1D92" w:rsidRPr="00327D4F" w:rsidRDefault="002C1D92" w:rsidP="007D7AF0">
            <w:pPr>
              <w:rPr>
                <w:lang w:val="es-419"/>
              </w:rPr>
            </w:pPr>
            <w:r w:rsidRPr="00327D4F">
              <w:rPr>
                <w:b/>
                <w:bCs/>
                <w:color w:val="000000"/>
              </w:rPr>
              <w:t>Perkančiosios organizacijos atsakymas</w:t>
            </w:r>
          </w:p>
        </w:tc>
      </w:tr>
      <w:tr w:rsidR="002C1D92" w:rsidRPr="00850336" w14:paraId="7A27381D" w14:textId="77777777" w:rsidTr="007D7AF0">
        <w:tc>
          <w:tcPr>
            <w:tcW w:w="710" w:type="dxa"/>
          </w:tcPr>
          <w:p w14:paraId="6D5E5D0E" w14:textId="77777777" w:rsidR="002C1D92" w:rsidRPr="00850336" w:rsidRDefault="002C1D92" w:rsidP="007D7AF0">
            <w:pPr>
              <w:jc w:val="center"/>
            </w:pPr>
            <w:r>
              <w:t>1.</w:t>
            </w:r>
          </w:p>
        </w:tc>
        <w:tc>
          <w:tcPr>
            <w:tcW w:w="2410" w:type="dxa"/>
          </w:tcPr>
          <w:p w14:paraId="5824C9A3" w14:textId="77777777" w:rsidR="002C1D92" w:rsidRPr="00850336" w:rsidRDefault="002C1D92" w:rsidP="007D7AF0">
            <w:pPr>
              <w:rPr>
                <w:color w:val="000000"/>
              </w:rPr>
            </w:pPr>
            <w:r w:rsidRPr="00E660F0">
              <w:rPr>
                <w:color w:val="000000"/>
              </w:rPr>
              <w:t xml:space="preserve">1. Panaudai turi būti </w:t>
            </w:r>
            <w:r w:rsidRPr="00EB71CD">
              <w:rPr>
                <w:color w:val="000000"/>
              </w:rPr>
              <w:t xml:space="preserve">pateiktas </w:t>
            </w:r>
            <w:r w:rsidRPr="0046223C">
              <w:t xml:space="preserve">vienas </w:t>
            </w:r>
            <w:r w:rsidRPr="00EB71CD">
              <w:rPr>
                <w:color w:val="000000"/>
              </w:rPr>
              <w:t>pilnai automatizuotas analizatorius (įranga), skirtas atlikti automatizuotą C-reaktyvaus baltymo (CRB) nustatymo tyrimą.</w:t>
            </w:r>
          </w:p>
        </w:tc>
        <w:tc>
          <w:tcPr>
            <w:tcW w:w="4394" w:type="dxa"/>
          </w:tcPr>
          <w:p w14:paraId="16584D41" w14:textId="77777777" w:rsidR="002C1D92" w:rsidRPr="00850336" w:rsidRDefault="002C1D92" w:rsidP="00327D4F">
            <w:pPr>
              <w:jc w:val="both"/>
              <w:rPr>
                <w:lang w:val="es-419"/>
              </w:rPr>
            </w:pPr>
            <w:r>
              <w:rPr>
                <w:lang w:val="es-419"/>
              </w:rPr>
              <w:t>Tiekėjas prašo suvienodinti su techninių parametrų 3 punkto reikalavimu.</w:t>
            </w:r>
          </w:p>
        </w:tc>
        <w:tc>
          <w:tcPr>
            <w:tcW w:w="3400" w:type="dxa"/>
          </w:tcPr>
          <w:p w14:paraId="549884B0" w14:textId="32CCCDEB" w:rsidR="002C1D92" w:rsidRPr="00327D4F" w:rsidRDefault="002C1D92" w:rsidP="00490C88">
            <w:pPr>
              <w:tabs>
                <w:tab w:val="left" w:pos="284"/>
              </w:tabs>
              <w:spacing w:line="240" w:lineRule="auto"/>
              <w:jc w:val="both"/>
              <w:rPr>
                <w:lang w:val="es-419"/>
              </w:rPr>
            </w:pPr>
            <w:r w:rsidRPr="00327D4F">
              <w:t xml:space="preserve">Perkančioji organizacija (PO) informuoja, kad bendrųjų reikalavimų </w:t>
            </w:r>
            <w:r w:rsidRPr="00FA231F">
              <w:rPr>
                <w:b/>
                <w:bCs/>
              </w:rPr>
              <w:t>1 punkte taiso techninę klaidą</w:t>
            </w:r>
            <w:r w:rsidRPr="00327D4F">
              <w:t xml:space="preserve"> ir </w:t>
            </w:r>
            <w:r w:rsidRPr="00FA231F">
              <w:t>palieka techninės specifikacijos</w:t>
            </w:r>
            <w:r w:rsidRPr="00327D4F">
              <w:t xml:space="preserve"> 3 punkto </w:t>
            </w:r>
            <w:r w:rsidRPr="00FA231F">
              <w:t xml:space="preserve">reikalavimą nepakeistą: </w:t>
            </w:r>
            <w:r w:rsidRPr="00327D4F">
              <w:t>„</w:t>
            </w:r>
            <w:r w:rsidRPr="00FA231F">
              <w:rPr>
                <w:b/>
                <w:bCs/>
                <w:i/>
                <w:iCs/>
              </w:rPr>
              <w:t xml:space="preserve">Panaudai siūlyti vieną arba du </w:t>
            </w:r>
            <w:r w:rsidR="00490C88" w:rsidRPr="00490C88">
              <w:rPr>
                <w:b/>
                <w:bCs/>
                <w:i/>
                <w:iCs/>
              </w:rPr>
              <w:t>pilnai automatizuot</w:t>
            </w:r>
            <w:r w:rsidR="00760AAB">
              <w:rPr>
                <w:b/>
                <w:bCs/>
                <w:i/>
                <w:iCs/>
              </w:rPr>
              <w:t>us</w:t>
            </w:r>
            <w:r w:rsidR="00490C88" w:rsidRPr="00490C88">
              <w:rPr>
                <w:b/>
                <w:bCs/>
                <w:i/>
                <w:iCs/>
              </w:rPr>
              <w:t xml:space="preserve"> analizatorius </w:t>
            </w:r>
            <w:r w:rsidR="00490C88" w:rsidRPr="00490C88">
              <w:rPr>
                <w:b/>
                <w:bCs/>
                <w:i/>
                <w:iCs/>
              </w:rPr>
              <w:lastRenderedPageBreak/>
              <w:t>(įranga), skirt</w:t>
            </w:r>
            <w:r w:rsidR="00760AAB">
              <w:rPr>
                <w:b/>
                <w:bCs/>
                <w:i/>
                <w:iCs/>
              </w:rPr>
              <w:t>u</w:t>
            </w:r>
            <w:r w:rsidR="00490C88" w:rsidRPr="00490C88">
              <w:rPr>
                <w:b/>
                <w:bCs/>
                <w:i/>
                <w:iCs/>
              </w:rPr>
              <w:t>s atlikti automatizuotą C-reaktyvaus baltymo (CRB) nustatymo tyrimą</w:t>
            </w:r>
            <w:r w:rsidRPr="00327D4F">
              <w:t>“.</w:t>
            </w:r>
          </w:p>
        </w:tc>
      </w:tr>
      <w:tr w:rsidR="002C1D92" w:rsidRPr="00850336" w14:paraId="246AC5FF" w14:textId="77777777" w:rsidTr="007D7AF0">
        <w:tc>
          <w:tcPr>
            <w:tcW w:w="710" w:type="dxa"/>
          </w:tcPr>
          <w:p w14:paraId="4DA0AB1E" w14:textId="77777777" w:rsidR="002C1D92" w:rsidRPr="00850336" w:rsidRDefault="002C1D92" w:rsidP="007D7AF0">
            <w:pPr>
              <w:jc w:val="center"/>
            </w:pPr>
            <w:r>
              <w:lastRenderedPageBreak/>
              <w:t>3.</w:t>
            </w:r>
          </w:p>
        </w:tc>
        <w:tc>
          <w:tcPr>
            <w:tcW w:w="2410" w:type="dxa"/>
          </w:tcPr>
          <w:p w14:paraId="27D17E09" w14:textId="77777777" w:rsidR="002C1D92" w:rsidRPr="00EB71CD" w:rsidRDefault="002C1D92" w:rsidP="007D7AF0">
            <w:pPr>
              <w:tabs>
                <w:tab w:val="left" w:pos="284"/>
              </w:tabs>
              <w:jc w:val="both"/>
              <w:rPr>
                <w:color w:val="000000"/>
              </w:rPr>
            </w:pPr>
            <w:r w:rsidRPr="00EB71CD">
              <w:rPr>
                <w:color w:val="000000"/>
              </w:rPr>
              <w:t>3. Kartu su įranga tiekėjas turi pateikti ir įrengti visą papildomą įrangą, numatytą gamintojo, kuri yra reikalinga įrangos veikimui užtikrinti: nepertraukiamo srovės tiekimo įrenginį ir (ar) kitą gamintojo numatytą įrangą (toliau – papildoma įranga).</w:t>
            </w:r>
          </w:p>
          <w:p w14:paraId="2ADCD478" w14:textId="77777777" w:rsidR="002C1D92" w:rsidRPr="00850336" w:rsidRDefault="002C1D92" w:rsidP="007D7AF0">
            <w:pPr>
              <w:rPr>
                <w:color w:val="000000"/>
              </w:rPr>
            </w:pPr>
          </w:p>
        </w:tc>
        <w:tc>
          <w:tcPr>
            <w:tcW w:w="4394" w:type="dxa"/>
          </w:tcPr>
          <w:p w14:paraId="74CFD815" w14:textId="77777777" w:rsidR="002C1D92" w:rsidRPr="00850336" w:rsidRDefault="002C1D92" w:rsidP="00327D4F">
            <w:pPr>
              <w:jc w:val="both"/>
              <w:rPr>
                <w:lang w:val="es-419"/>
              </w:rPr>
            </w:pPr>
            <w:r>
              <w:rPr>
                <w:lang w:val="es-419"/>
              </w:rPr>
              <w:t>Tiekėjas siūlo 3 punktą papildyti sekančiai: “</w:t>
            </w:r>
            <w:r w:rsidRPr="00EB71CD">
              <w:rPr>
                <w:color w:val="000000"/>
              </w:rPr>
              <w:t xml:space="preserve">Kartu su įranga tiekėjas turi pateikti ir įrengti visą papildomą įrangą, numatytą gamintojo, kuri yra reikalinga įrangos veikimui užtikrinti: nepertraukiamo srovės tiekimo įrenginį </w:t>
            </w:r>
            <w:r w:rsidRPr="00CC056B">
              <w:rPr>
                <w:color w:val="FF0000"/>
              </w:rPr>
              <w:t>(arba</w:t>
            </w:r>
            <w:r>
              <w:rPr>
                <w:color w:val="FF0000"/>
              </w:rPr>
              <w:t xml:space="preserve"> analizatoriuje</w:t>
            </w:r>
            <w:r w:rsidRPr="00CC056B">
              <w:rPr>
                <w:color w:val="FF0000"/>
              </w:rPr>
              <w:t xml:space="preserve"> integruotas nuo tinklo pakraunamas akumuliatorius) </w:t>
            </w:r>
            <w:r w:rsidRPr="00EB71CD">
              <w:rPr>
                <w:color w:val="000000"/>
              </w:rPr>
              <w:t>ir (ar) kitą gamintojo numatytą įrangą (toliau – papildoma įranga).</w:t>
            </w:r>
            <w:r>
              <w:rPr>
                <w:color w:val="000000"/>
              </w:rPr>
              <w:t>“</w:t>
            </w:r>
          </w:p>
        </w:tc>
        <w:tc>
          <w:tcPr>
            <w:tcW w:w="3400" w:type="dxa"/>
          </w:tcPr>
          <w:p w14:paraId="546B0CE0" w14:textId="77777777" w:rsidR="002C1D92" w:rsidRPr="00327D4F" w:rsidRDefault="002C1D92" w:rsidP="002C1D92">
            <w:pPr>
              <w:tabs>
                <w:tab w:val="left" w:pos="284"/>
              </w:tabs>
              <w:spacing w:line="240" w:lineRule="auto"/>
              <w:jc w:val="both"/>
            </w:pPr>
            <w:r w:rsidRPr="00327D4F">
              <w:t>Perkančioji organizacija (PO) atsižvelgia į tiekėjo pasiūlymą papildyti ir išdėsto 3p.taip:</w:t>
            </w:r>
          </w:p>
          <w:p w14:paraId="29D9CB1D" w14:textId="3F600B75" w:rsidR="002C1D92" w:rsidRPr="00327D4F" w:rsidRDefault="0070205B" w:rsidP="002C1D92">
            <w:pPr>
              <w:tabs>
                <w:tab w:val="left" w:pos="284"/>
              </w:tabs>
              <w:spacing w:line="240" w:lineRule="auto"/>
              <w:jc w:val="both"/>
            </w:pPr>
            <w:r w:rsidRPr="00327D4F">
              <w:t>„</w:t>
            </w:r>
            <w:r w:rsidR="002C1D92" w:rsidRPr="00327D4F">
              <w:t xml:space="preserve">3. Kartu su įranga tiekėjas turi pateikti ir įrengti visą papildomą įrangą, numatytą gamintojo, kuri yra reikalinga įrangos veikimui užtikrinti: nepertraukiamo srovės tiekimo įrenginį </w:t>
            </w:r>
            <w:r w:rsidR="002C1D92" w:rsidRPr="00327D4F">
              <w:rPr>
                <w:color w:val="FF0000"/>
              </w:rPr>
              <w:t xml:space="preserve">(arba analizatoriuje integruotas nuo tinklo pakraunamas akumuliatorius) </w:t>
            </w:r>
            <w:r w:rsidR="002C1D92" w:rsidRPr="00327D4F">
              <w:t>ir (ar) kitą gamintojo numatytą įrangą (toliau – papildoma įranga).</w:t>
            </w:r>
            <w:r w:rsidRPr="00327D4F">
              <w:t>“</w:t>
            </w:r>
          </w:p>
          <w:p w14:paraId="64A18B52" w14:textId="5B28E7B8" w:rsidR="002C1D92" w:rsidRPr="00327D4F" w:rsidRDefault="002C1D92" w:rsidP="002C1D92"/>
        </w:tc>
      </w:tr>
      <w:tr w:rsidR="002C1D92" w:rsidRPr="00850336" w14:paraId="3D460751" w14:textId="77777777" w:rsidTr="007D7AF0">
        <w:tc>
          <w:tcPr>
            <w:tcW w:w="710" w:type="dxa"/>
          </w:tcPr>
          <w:p w14:paraId="2F3A8F1F" w14:textId="77777777" w:rsidR="002C1D92" w:rsidRPr="00850336" w:rsidRDefault="002C1D92" w:rsidP="007D7AF0">
            <w:pPr>
              <w:jc w:val="center"/>
            </w:pPr>
            <w:r>
              <w:t>7.</w:t>
            </w:r>
          </w:p>
        </w:tc>
        <w:tc>
          <w:tcPr>
            <w:tcW w:w="2410" w:type="dxa"/>
          </w:tcPr>
          <w:p w14:paraId="749156AD" w14:textId="77777777" w:rsidR="002C1D92" w:rsidRPr="00E660F0" w:rsidRDefault="002C1D92" w:rsidP="007D7AF0">
            <w:pPr>
              <w:tabs>
                <w:tab w:val="left" w:pos="284"/>
              </w:tabs>
              <w:jc w:val="both"/>
              <w:rPr>
                <w:color w:val="000000"/>
              </w:rPr>
            </w:pPr>
            <w:r w:rsidRPr="00EB71CD">
              <w:rPr>
                <w:color w:val="000000"/>
              </w:rPr>
              <w:t xml:space="preserve">7. Tiekėjas privalo savo sąskaita užtikrinti, kad įranga bus pristatyta, surinkta, sumontuota/instaliuota/įdiegta perkančiosios organizacijos adresu Šeškinės g. 24, 07156 Vilnius, paruošta darbui ir suderinta/išbandyta ne vėliau kaip per 60 (šešiasdešimt) kalendorinių dienų nuo panaudos sutarties pasirašymo. Kartu su įranga pristatoma: nepertraukiamo maitinimo šaltinis (-iai), spausdintuvas, reikalinga programinė įranga ir kt. Jeigu įranga valdoma išorinio kompiuterio pagalba, pristatomas (komplektuojamas) su kompiuteriu. Priemonės tyrimų protokolų spausdinimui (jeigu tai nėra nurodyta atskiroje pirkimo dalyje) ar kitos kanceliarinės prekės (pvz. kasetės į spausdintuvus) nėra vertinamos, kaip priemonės būtinos </w:t>
            </w:r>
            <w:r w:rsidRPr="00EB71CD">
              <w:rPr>
                <w:color w:val="000000"/>
              </w:rPr>
              <w:lastRenderedPageBreak/>
              <w:t>kokybiškam tyrimų atlikimui, jas tiekėjai privalės tiekti nemokamai.</w:t>
            </w:r>
          </w:p>
          <w:p w14:paraId="06B71074" w14:textId="77777777" w:rsidR="002C1D92" w:rsidRPr="00850336" w:rsidRDefault="002C1D92" w:rsidP="007D7AF0">
            <w:pPr>
              <w:rPr>
                <w:color w:val="000000"/>
              </w:rPr>
            </w:pPr>
          </w:p>
        </w:tc>
        <w:tc>
          <w:tcPr>
            <w:tcW w:w="4394" w:type="dxa"/>
          </w:tcPr>
          <w:p w14:paraId="37FEF14E" w14:textId="77777777" w:rsidR="002C1D92" w:rsidRDefault="002C1D92" w:rsidP="00327D4F">
            <w:pPr>
              <w:jc w:val="both"/>
              <w:rPr>
                <w:lang w:val="es-419"/>
              </w:rPr>
            </w:pPr>
            <w:r>
              <w:rPr>
                <w:lang w:val="es-419"/>
              </w:rPr>
              <w:lastRenderedPageBreak/>
              <w:t>Tiekėjas siūlo 7 punktą papildyti sekančiai:</w:t>
            </w:r>
          </w:p>
          <w:p w14:paraId="4A7C1BE5" w14:textId="77777777" w:rsidR="002C1D92" w:rsidRPr="00FF1DF5" w:rsidRDefault="002C1D92" w:rsidP="00327D4F">
            <w:pPr>
              <w:tabs>
                <w:tab w:val="left" w:pos="284"/>
              </w:tabs>
              <w:jc w:val="both"/>
              <w:rPr>
                <w:color w:val="000000"/>
              </w:rPr>
            </w:pPr>
            <w:r>
              <w:rPr>
                <w:lang w:val="es-419"/>
              </w:rPr>
              <w:t>“</w:t>
            </w:r>
            <w:r w:rsidRPr="00EB71CD">
              <w:rPr>
                <w:color w:val="000000"/>
              </w:rPr>
              <w:t>Tiekėjas privalo savo sąskaita užtikrinti, kad įranga bus pristatyta, surinkta, sumontuota/instaliuota/įdiegta perkančiosios organizacijos adresu Šeškinės g. 24, 07156 Vilnius, paruošta darbui ir suderinta/išbandyta ne vėliau kaip per 60 (šešiasdešimt) kalendorinių dienų nuo panaudos sutarties pasirašymo. Kartu su įranga pristatoma: nepertraukiamo maitinimo šaltinis (-iai)</w:t>
            </w:r>
            <w:r>
              <w:rPr>
                <w:color w:val="000000"/>
              </w:rPr>
              <w:t xml:space="preserve"> </w:t>
            </w:r>
            <w:r w:rsidRPr="00CC056B">
              <w:rPr>
                <w:color w:val="FF0000"/>
              </w:rPr>
              <w:t>(arba</w:t>
            </w:r>
            <w:r>
              <w:rPr>
                <w:color w:val="FF0000"/>
              </w:rPr>
              <w:t xml:space="preserve"> analizatoriuje</w:t>
            </w:r>
            <w:r w:rsidRPr="00CC056B">
              <w:rPr>
                <w:color w:val="FF0000"/>
              </w:rPr>
              <w:t xml:space="preserve"> integruotas nuo tinklo pakraunamas akumuliatorius)</w:t>
            </w:r>
            <w:r w:rsidRPr="00EB71CD">
              <w:rPr>
                <w:color w:val="000000"/>
              </w:rPr>
              <w:t>, spausdintuvas</w:t>
            </w:r>
            <w:r w:rsidRPr="00DA3D77">
              <w:rPr>
                <w:color w:val="FF0000"/>
              </w:rPr>
              <w:t xml:space="preserve"> </w:t>
            </w:r>
            <w:r w:rsidRPr="00B07211">
              <w:rPr>
                <w:color w:val="FF0000"/>
              </w:rPr>
              <w:t>jei reikia</w:t>
            </w:r>
            <w:r w:rsidRPr="00EB71CD">
              <w:rPr>
                <w:color w:val="000000"/>
              </w:rPr>
              <w:t>, reikalinga programinė įranga ir kt. Jeigu įranga valdoma išorinio kompiuterio pagalba, pristatomas (komplektuojamas) su kompiuteriu. Priemonės tyrimų protokolų spausdinimui (jeigu tai nėra nurodyta atskiroje pirkimo dalyje) ar kitos kanceliarinės prekės (pvz. kasetės į spausdintuvus) nėra vertinamos, kaip priemonės būtinos kokybiškam tyrimų atlikimui, jas tiekėjai privalės tiekti nemokamai.</w:t>
            </w:r>
            <w:r>
              <w:rPr>
                <w:color w:val="000000"/>
              </w:rPr>
              <w:t>“</w:t>
            </w:r>
          </w:p>
        </w:tc>
        <w:tc>
          <w:tcPr>
            <w:tcW w:w="3400" w:type="dxa"/>
          </w:tcPr>
          <w:p w14:paraId="1866D62C" w14:textId="125BF34C" w:rsidR="002C1D92" w:rsidRPr="00327D4F" w:rsidRDefault="002C1D92" w:rsidP="002C1D92">
            <w:pPr>
              <w:tabs>
                <w:tab w:val="left" w:pos="284"/>
              </w:tabs>
              <w:spacing w:line="240" w:lineRule="auto"/>
              <w:jc w:val="both"/>
            </w:pPr>
            <w:r w:rsidRPr="00327D4F">
              <w:t xml:space="preserve">Perkančioji organizacija (PO) atsižvelgia į tiekėjo pasiūlymą papildyti ir išdėsto </w:t>
            </w:r>
            <w:r w:rsidR="0070205B" w:rsidRPr="00327D4F">
              <w:t xml:space="preserve">7 </w:t>
            </w:r>
            <w:r w:rsidRPr="00327D4F">
              <w:t>p.</w:t>
            </w:r>
            <w:r w:rsidR="0070205B" w:rsidRPr="00327D4F">
              <w:t xml:space="preserve"> </w:t>
            </w:r>
            <w:r w:rsidRPr="00327D4F">
              <w:t>taip:</w:t>
            </w:r>
          </w:p>
          <w:p w14:paraId="3C331958" w14:textId="4525C154" w:rsidR="002C1D92" w:rsidRPr="00327D4F" w:rsidRDefault="0070205B" w:rsidP="002C1D92">
            <w:pPr>
              <w:tabs>
                <w:tab w:val="left" w:pos="284"/>
              </w:tabs>
              <w:spacing w:line="240" w:lineRule="auto"/>
              <w:jc w:val="both"/>
            </w:pPr>
            <w:r w:rsidRPr="00327D4F">
              <w:t>„</w:t>
            </w:r>
            <w:r w:rsidR="002C1D92" w:rsidRPr="00327D4F">
              <w:t xml:space="preserve">7. Tiekėjas privalo savo sąskaita užtikrinti, kad įranga bus pristatyta, surinkta, sumontuota/instaliuota/įdiegta perkančiosios organizacijos adresu Šeškinės g. 24, 07156 Vilnius, paruošta darbui ir suderinta/išbandyta ne vėliau kaip per 60 (šešiasdešimt) kalendorinių dienų nuo panaudos sutarties pasirašymo. Kartu su įranga pristatoma: nepertraukiamo maitinimo šaltinis (-iai) </w:t>
            </w:r>
            <w:r w:rsidR="002C1D92" w:rsidRPr="00327D4F">
              <w:rPr>
                <w:color w:val="FF0000"/>
              </w:rPr>
              <w:t>(arba analizatoriuje integruotas nuo tinklo pakraunamas akumuliatorius)</w:t>
            </w:r>
            <w:r w:rsidR="002C1D92" w:rsidRPr="00327D4F">
              <w:t xml:space="preserve">, spausdintuvas </w:t>
            </w:r>
            <w:r w:rsidR="00B23688">
              <w:t>(</w:t>
            </w:r>
            <w:r w:rsidR="002C1D92" w:rsidRPr="00327D4F">
              <w:rPr>
                <w:color w:val="FF0000"/>
              </w:rPr>
              <w:t>jei reikia</w:t>
            </w:r>
            <w:r w:rsidR="00B23688">
              <w:rPr>
                <w:color w:val="FF0000"/>
              </w:rPr>
              <w:t>)</w:t>
            </w:r>
            <w:r w:rsidR="002C1D92" w:rsidRPr="00327D4F">
              <w:t>, reikalinga programinė įranga ir kt. Jeigu įranga valdoma išorinio kompiuterio pagalba, pristatomas (komplektuojamas) su kompiuteriu. Priemonės tyrimų protokolų spausdinimui (jeigu tai nėra nurodyta atskiroje pirkimo dalyje) ar kitos kanceliarinės prekės (pvz. kasetės į spausdintuvus) nėra vertinamos, kaip priemonės būtinos kokybiškam tyrimų atlikimui, jas tiekėjai privalės tiekti nemokamai.</w:t>
            </w:r>
            <w:r w:rsidRPr="00327D4F">
              <w:t>“</w:t>
            </w:r>
          </w:p>
          <w:p w14:paraId="164702E0" w14:textId="77777777" w:rsidR="002C1D92" w:rsidRPr="00327D4F" w:rsidRDefault="002C1D92" w:rsidP="002C1D92"/>
        </w:tc>
      </w:tr>
    </w:tbl>
    <w:p w14:paraId="67FBB49A" w14:textId="77777777" w:rsidR="002C1D92" w:rsidRDefault="002C1D92" w:rsidP="00850336">
      <w:pPr>
        <w:tabs>
          <w:tab w:val="left" w:pos="284"/>
        </w:tabs>
        <w:jc w:val="both"/>
        <w:rPr>
          <w:rFonts w:ascii="Times New Roman" w:hAnsi="Times New Roman" w:cs="Times New Roman"/>
          <w:color w:val="000000"/>
        </w:rPr>
      </w:pPr>
    </w:p>
    <w:p w14:paraId="08C58422" w14:textId="6F3539EA" w:rsidR="00850336" w:rsidRPr="002C1D92" w:rsidRDefault="0046223C" w:rsidP="00850336">
      <w:pPr>
        <w:tabs>
          <w:tab w:val="left" w:pos="284"/>
        </w:tabs>
        <w:jc w:val="both"/>
        <w:rPr>
          <w:rFonts w:ascii="Times New Roman" w:hAnsi="Times New Roman" w:cs="Times New Roman"/>
          <w:b/>
          <w:bCs/>
          <w:color w:val="000000"/>
        </w:rPr>
      </w:pPr>
      <w:r w:rsidRPr="002C1D92">
        <w:rPr>
          <w:rFonts w:ascii="Times New Roman" w:hAnsi="Times New Roman" w:cs="Times New Roman"/>
          <w:b/>
          <w:bCs/>
          <w:color w:val="000000"/>
        </w:rPr>
        <w:t>Kiti tiekėjų siūlymai:</w:t>
      </w:r>
    </w:p>
    <w:tbl>
      <w:tblPr>
        <w:tblStyle w:val="Lentelstinklelis"/>
        <w:tblW w:w="14460" w:type="dxa"/>
        <w:tblInd w:w="-431" w:type="dxa"/>
        <w:tblLayout w:type="fixed"/>
        <w:tblLook w:val="04A0" w:firstRow="1" w:lastRow="0" w:firstColumn="1" w:lastColumn="0" w:noHBand="0" w:noVBand="1"/>
      </w:tblPr>
      <w:tblGrid>
        <w:gridCol w:w="710"/>
        <w:gridCol w:w="5953"/>
        <w:gridCol w:w="7797"/>
      </w:tblGrid>
      <w:tr w:rsidR="0046223C" w:rsidRPr="00850336" w14:paraId="35DEB3A1" w14:textId="77777777" w:rsidTr="0046223C">
        <w:tc>
          <w:tcPr>
            <w:tcW w:w="710" w:type="dxa"/>
            <w:vAlign w:val="center"/>
          </w:tcPr>
          <w:p w14:paraId="56D7B957" w14:textId="77777777" w:rsidR="0046223C" w:rsidRPr="00850336" w:rsidRDefault="0046223C" w:rsidP="007D7AF0">
            <w:pPr>
              <w:jc w:val="center"/>
              <w:rPr>
                <w:rFonts w:eastAsia="Calibri"/>
                <w:b/>
              </w:rPr>
            </w:pPr>
            <w:r w:rsidRPr="00850336">
              <w:rPr>
                <w:rFonts w:eastAsia="Calibri"/>
                <w:b/>
              </w:rPr>
              <w:t>Eil.</w:t>
            </w:r>
          </w:p>
          <w:p w14:paraId="2CEE2D33" w14:textId="77777777" w:rsidR="0046223C" w:rsidRPr="00850336" w:rsidRDefault="0046223C" w:rsidP="007D7AF0">
            <w:pPr>
              <w:jc w:val="center"/>
            </w:pPr>
            <w:r w:rsidRPr="00850336">
              <w:rPr>
                <w:rFonts w:eastAsia="Calibri"/>
                <w:b/>
              </w:rPr>
              <w:t>Nr.</w:t>
            </w:r>
          </w:p>
        </w:tc>
        <w:tc>
          <w:tcPr>
            <w:tcW w:w="5953" w:type="dxa"/>
          </w:tcPr>
          <w:p w14:paraId="49758DFE" w14:textId="77777777" w:rsidR="0046223C" w:rsidRPr="00850336" w:rsidRDefault="0046223C" w:rsidP="007D7AF0">
            <w:pPr>
              <w:jc w:val="center"/>
              <w:rPr>
                <w:b/>
                <w:bCs/>
                <w:color w:val="000000"/>
              </w:rPr>
            </w:pPr>
            <w:r>
              <w:rPr>
                <w:b/>
                <w:bCs/>
                <w:color w:val="000000"/>
              </w:rPr>
              <w:t>Tiekėjų pastabos / siūlymai</w:t>
            </w:r>
          </w:p>
        </w:tc>
        <w:tc>
          <w:tcPr>
            <w:tcW w:w="7797" w:type="dxa"/>
          </w:tcPr>
          <w:p w14:paraId="3DD52AFB" w14:textId="77777777" w:rsidR="0046223C" w:rsidRPr="00850336" w:rsidRDefault="0046223C" w:rsidP="007D7AF0">
            <w:pPr>
              <w:jc w:val="center"/>
              <w:rPr>
                <w:b/>
                <w:bCs/>
                <w:color w:val="000000"/>
              </w:rPr>
            </w:pPr>
            <w:r>
              <w:rPr>
                <w:b/>
                <w:bCs/>
                <w:color w:val="000000"/>
              </w:rPr>
              <w:t>Perkančiosios organizacijos atsakymas</w:t>
            </w:r>
          </w:p>
        </w:tc>
      </w:tr>
      <w:tr w:rsidR="00FA231F" w:rsidRPr="00850336" w14:paraId="2F2FEEB6" w14:textId="77777777" w:rsidTr="0046223C">
        <w:tc>
          <w:tcPr>
            <w:tcW w:w="710" w:type="dxa"/>
          </w:tcPr>
          <w:p w14:paraId="3B9DF62A" w14:textId="77777777" w:rsidR="00FA231F" w:rsidRPr="00850336" w:rsidRDefault="00FA231F" w:rsidP="007D7AF0">
            <w:pPr>
              <w:jc w:val="center"/>
            </w:pPr>
            <w:r w:rsidRPr="00850336">
              <w:t>1.</w:t>
            </w:r>
          </w:p>
        </w:tc>
        <w:tc>
          <w:tcPr>
            <w:tcW w:w="5953" w:type="dxa"/>
          </w:tcPr>
          <w:p w14:paraId="6B4206A8" w14:textId="07B51DD3" w:rsidR="00FA231F" w:rsidRDefault="00FA231F" w:rsidP="0046223C">
            <w:pPr>
              <w:jc w:val="both"/>
              <w:rPr>
                <w:lang w:val="pt-BR"/>
              </w:rPr>
            </w:pPr>
            <w:r>
              <w:rPr>
                <w:lang w:val="es-419"/>
              </w:rPr>
              <w:t>Tiekėjas siūlo</w:t>
            </w:r>
            <w:r>
              <w:rPr>
                <w:lang w:val="pt-BR"/>
              </w:rPr>
              <w:t xml:space="preserve"> pridėti naudingumo kriterijų:</w:t>
            </w:r>
          </w:p>
          <w:p w14:paraId="5F0645F4" w14:textId="6F291D9E" w:rsidR="00FA231F" w:rsidRPr="0046223C" w:rsidRDefault="00FA231F" w:rsidP="0046223C">
            <w:pPr>
              <w:spacing w:line="278" w:lineRule="auto"/>
              <w:jc w:val="both"/>
            </w:pPr>
            <w:r w:rsidRPr="0046223C">
              <w:t xml:space="preserve">Siūlomas vienas analizatorius užtikrinantis daugiau kaip 60 mėginių per valandą- taip siekiant taupyti darbuotojų laiką skirtą kasdienei analizatorių priežiūrai: valymui, kokybės kontrolių, kalibracijų atlikimui, reagentų keitimui. </w:t>
            </w:r>
          </w:p>
          <w:p w14:paraId="0E1E3408" w14:textId="0EB68347" w:rsidR="00FA231F" w:rsidRPr="0046223C" w:rsidRDefault="00FA231F" w:rsidP="0046223C">
            <w:pPr>
              <w:jc w:val="both"/>
            </w:pPr>
          </w:p>
        </w:tc>
        <w:tc>
          <w:tcPr>
            <w:tcW w:w="7797" w:type="dxa"/>
            <w:vMerge w:val="restart"/>
          </w:tcPr>
          <w:p w14:paraId="4FC1F8EC" w14:textId="129FF866" w:rsidR="00FA231F" w:rsidRPr="0024630D" w:rsidRDefault="00FA231F" w:rsidP="00FA231F">
            <w:pPr>
              <w:jc w:val="both"/>
            </w:pPr>
            <w:r>
              <w:rPr>
                <w:sz w:val="24"/>
                <w:szCs w:val="24"/>
              </w:rPr>
              <w:t>Perkančioji organizacija nustatė</w:t>
            </w:r>
            <w:r w:rsidRPr="0024630D">
              <w:t xml:space="preserve"> būtinuosius minimalius techninės specifikacijos reikalavimus, kurie tenkina </w:t>
            </w:r>
            <w:r>
              <w:t>poliklinikos poreikius</w:t>
            </w:r>
            <w:r w:rsidRPr="0024630D">
              <w:t>.</w:t>
            </w:r>
            <w:r>
              <w:t xml:space="preserve"> Siūlomi kokybės kriterijai nebus keliami.</w:t>
            </w:r>
          </w:p>
          <w:p w14:paraId="37BED64C" w14:textId="77777777" w:rsidR="00FA231F" w:rsidRPr="002C1D92" w:rsidRDefault="00FA231F" w:rsidP="00FA231F"/>
        </w:tc>
      </w:tr>
      <w:tr w:rsidR="00FA231F" w:rsidRPr="00850336" w14:paraId="7614CA64" w14:textId="77777777" w:rsidTr="0046223C">
        <w:tc>
          <w:tcPr>
            <w:tcW w:w="710" w:type="dxa"/>
          </w:tcPr>
          <w:p w14:paraId="205284E3" w14:textId="43190779" w:rsidR="00FA231F" w:rsidRPr="00850336" w:rsidRDefault="00FA231F" w:rsidP="007D7AF0">
            <w:pPr>
              <w:jc w:val="center"/>
            </w:pPr>
            <w:r>
              <w:t>2.</w:t>
            </w:r>
          </w:p>
        </w:tc>
        <w:tc>
          <w:tcPr>
            <w:tcW w:w="5953" w:type="dxa"/>
          </w:tcPr>
          <w:p w14:paraId="2D48AA1B" w14:textId="77777777" w:rsidR="00FA231F" w:rsidRDefault="00FA231F" w:rsidP="0046223C">
            <w:pPr>
              <w:jc w:val="both"/>
              <w:rPr>
                <w:lang w:val="pt-BR"/>
              </w:rPr>
            </w:pPr>
            <w:r>
              <w:rPr>
                <w:lang w:val="es-419"/>
              </w:rPr>
              <w:t>Tiekėjas siūlo</w:t>
            </w:r>
            <w:r>
              <w:rPr>
                <w:lang w:val="pt-BR"/>
              </w:rPr>
              <w:t xml:space="preserve"> pridėti naudingumo kriterijų:</w:t>
            </w:r>
          </w:p>
          <w:p w14:paraId="79A01673" w14:textId="77777777" w:rsidR="00FA231F" w:rsidRPr="0046223C" w:rsidRDefault="00FA231F" w:rsidP="0046223C">
            <w:pPr>
              <w:spacing w:line="278" w:lineRule="auto"/>
              <w:jc w:val="both"/>
            </w:pPr>
            <w:r w:rsidRPr="0046223C">
              <w:t xml:space="preserve">Analizatorius matuoja c reaktyvinį baltymą daugiau kaip 400 mg/l-  taip siekiant stebėti gydymo atsaką stiprių infekcijų metu t.y. jei analizatoriaus maksimali matavimo  riba yra 200mg/l, gydytojai tiksliai vertinti ir sekti stiprių infekcijų (sepsio) tendencijų ir atsaką į gydymą. </w:t>
            </w:r>
          </w:p>
          <w:p w14:paraId="18C0AA5F" w14:textId="77777777" w:rsidR="00FA231F" w:rsidRPr="0046223C" w:rsidRDefault="00FA231F" w:rsidP="0046223C">
            <w:pPr>
              <w:jc w:val="both"/>
            </w:pPr>
          </w:p>
        </w:tc>
        <w:tc>
          <w:tcPr>
            <w:tcW w:w="7797" w:type="dxa"/>
            <w:vMerge/>
          </w:tcPr>
          <w:p w14:paraId="3254B0F1" w14:textId="77777777" w:rsidR="00FA231F" w:rsidRPr="002C1D92" w:rsidRDefault="00FA231F" w:rsidP="007D7AF0"/>
        </w:tc>
      </w:tr>
      <w:tr w:rsidR="00FA231F" w:rsidRPr="00850336" w14:paraId="42AD4E01" w14:textId="77777777" w:rsidTr="0046223C">
        <w:tc>
          <w:tcPr>
            <w:tcW w:w="710" w:type="dxa"/>
          </w:tcPr>
          <w:p w14:paraId="402CB462" w14:textId="6FF0583F" w:rsidR="00FA231F" w:rsidRPr="00850336" w:rsidRDefault="00FA231F" w:rsidP="007D7AF0">
            <w:pPr>
              <w:jc w:val="center"/>
            </w:pPr>
            <w:r>
              <w:t>3.</w:t>
            </w:r>
          </w:p>
        </w:tc>
        <w:tc>
          <w:tcPr>
            <w:tcW w:w="5953" w:type="dxa"/>
          </w:tcPr>
          <w:p w14:paraId="25D5B1BD" w14:textId="77777777" w:rsidR="00FA231F" w:rsidRDefault="00FA231F" w:rsidP="0046223C">
            <w:pPr>
              <w:jc w:val="both"/>
              <w:rPr>
                <w:lang w:val="pt-BR"/>
              </w:rPr>
            </w:pPr>
            <w:r>
              <w:rPr>
                <w:lang w:val="es-419"/>
              </w:rPr>
              <w:t>Tiekėjas siūlo</w:t>
            </w:r>
            <w:r>
              <w:rPr>
                <w:lang w:val="pt-BR"/>
              </w:rPr>
              <w:t xml:space="preserve"> pridėti naudingumo kriterijų:</w:t>
            </w:r>
          </w:p>
          <w:p w14:paraId="0E10EBCC" w14:textId="115E765A" w:rsidR="00FA231F" w:rsidRPr="00850336" w:rsidRDefault="00FA231F" w:rsidP="0046223C">
            <w:pPr>
              <w:jc w:val="both"/>
              <w:rPr>
                <w:lang w:val="es-419"/>
              </w:rPr>
            </w:pPr>
            <w:r>
              <w:t>Papildomai matuojami kiti tyrimai skirti vertinti uždegimą: didelio jautrumo CRB (HsCRP).</w:t>
            </w:r>
          </w:p>
        </w:tc>
        <w:tc>
          <w:tcPr>
            <w:tcW w:w="7797" w:type="dxa"/>
            <w:vMerge/>
          </w:tcPr>
          <w:p w14:paraId="3A329C92" w14:textId="77777777" w:rsidR="00FA231F" w:rsidRPr="002C1D92" w:rsidRDefault="00FA231F" w:rsidP="007D7AF0"/>
        </w:tc>
      </w:tr>
    </w:tbl>
    <w:p w14:paraId="61A014DB" w14:textId="77777777" w:rsidR="00850336" w:rsidRDefault="00850336" w:rsidP="00850336">
      <w:pPr>
        <w:spacing w:after="0" w:line="240" w:lineRule="auto"/>
        <w:jc w:val="both"/>
        <w:rPr>
          <w:rFonts w:ascii="Times New Roman" w:hAnsi="Times New Roman" w:cs="Times New Roman"/>
          <w:b/>
          <w:bCs/>
          <w:sz w:val="24"/>
          <w:szCs w:val="24"/>
        </w:rPr>
      </w:pPr>
    </w:p>
    <w:p w14:paraId="42356D2F" w14:textId="77777777" w:rsidR="00850336" w:rsidRPr="005125FB" w:rsidRDefault="00850336" w:rsidP="00850336">
      <w:pPr>
        <w:spacing w:after="0" w:line="240" w:lineRule="auto"/>
        <w:jc w:val="both"/>
        <w:rPr>
          <w:rFonts w:ascii="Times New Roman" w:hAnsi="Times New Roman" w:cs="Times New Roman"/>
          <w:b/>
          <w:bCs/>
          <w:sz w:val="24"/>
          <w:szCs w:val="24"/>
        </w:rPr>
      </w:pPr>
    </w:p>
    <w:p w14:paraId="3C3A92B7" w14:textId="77777777" w:rsidR="00850336" w:rsidRPr="001B7BE3" w:rsidRDefault="00850336" w:rsidP="00850336">
      <w:pPr>
        <w:ind w:firstLine="567"/>
        <w:jc w:val="both"/>
        <w:rPr>
          <w:rFonts w:ascii="Times New Roman" w:hAnsi="Times New Roman" w:cs="Times New Roman"/>
          <w:sz w:val="24"/>
          <w:szCs w:val="24"/>
        </w:rPr>
      </w:pPr>
      <w:r>
        <w:rPr>
          <w:rFonts w:ascii="Times New Roman" w:hAnsi="Times New Roman" w:cs="Times New Roman"/>
          <w:sz w:val="24"/>
          <w:szCs w:val="24"/>
        </w:rPr>
        <w:t>Dėkojame už aktyvų dalyvavimą teikiant pastabas.</w:t>
      </w:r>
    </w:p>
    <w:p w14:paraId="2E1B4C80" w14:textId="77777777" w:rsidR="00850336" w:rsidRPr="006C3066" w:rsidRDefault="00850336" w:rsidP="00850336">
      <w:pPr>
        <w:autoSpaceDE w:val="0"/>
        <w:autoSpaceDN w:val="0"/>
        <w:adjustRightInd w:val="0"/>
        <w:spacing w:line="276" w:lineRule="auto"/>
        <w:ind w:firstLine="567"/>
        <w:jc w:val="both"/>
        <w:rPr>
          <w:rFonts w:ascii="Times New Roman" w:hAnsi="Times New Roman" w:cs="Times New Roman"/>
          <w:sz w:val="24"/>
          <w:szCs w:val="24"/>
        </w:rPr>
      </w:pPr>
      <w:r w:rsidRPr="00B80B4F">
        <w:rPr>
          <w:rFonts w:ascii="Times New Roman" w:hAnsi="Times New Roman" w:cs="Times New Roman"/>
          <w:sz w:val="24"/>
          <w:szCs w:val="24"/>
        </w:rPr>
        <w:t>Atkreipiame dėmesį, kad</w:t>
      </w:r>
      <w:r>
        <w:rPr>
          <w:rFonts w:ascii="Times New Roman" w:hAnsi="Times New Roman" w:cs="Times New Roman"/>
          <w:sz w:val="24"/>
          <w:szCs w:val="24"/>
        </w:rPr>
        <w:t xml:space="preserve">, jei dalyvausite planuojamame vykdyti pirkime, kartu su pasiūlymu pateikiamame </w:t>
      </w:r>
      <w:r w:rsidRPr="00BC56D7">
        <w:rPr>
          <w:rFonts w:ascii="Times New Roman" w:hAnsi="Times New Roman" w:cs="Times New Roman"/>
          <w:sz w:val="24"/>
          <w:szCs w:val="24"/>
        </w:rPr>
        <w:t>Europos bendr</w:t>
      </w:r>
      <w:r>
        <w:rPr>
          <w:rFonts w:ascii="Times New Roman" w:hAnsi="Times New Roman" w:cs="Times New Roman"/>
          <w:sz w:val="24"/>
          <w:szCs w:val="24"/>
        </w:rPr>
        <w:t>ojo</w:t>
      </w:r>
      <w:r w:rsidRPr="00BC56D7">
        <w:rPr>
          <w:rFonts w:ascii="Times New Roman" w:hAnsi="Times New Roman" w:cs="Times New Roman"/>
          <w:sz w:val="24"/>
          <w:szCs w:val="24"/>
        </w:rPr>
        <w:t xml:space="preserve"> viešųjų pirkimų dokument</w:t>
      </w:r>
      <w:r>
        <w:rPr>
          <w:rFonts w:ascii="Times New Roman" w:hAnsi="Times New Roman" w:cs="Times New Roman"/>
          <w:sz w:val="24"/>
          <w:szCs w:val="24"/>
        </w:rPr>
        <w:t>o</w:t>
      </w:r>
      <w:r w:rsidRPr="00BC56D7">
        <w:rPr>
          <w:rFonts w:ascii="Times New Roman" w:hAnsi="Times New Roman" w:cs="Times New Roman"/>
          <w:sz w:val="24"/>
          <w:szCs w:val="24"/>
        </w:rPr>
        <w:t xml:space="preserve"> (</w:t>
      </w:r>
      <w:r>
        <w:rPr>
          <w:rFonts w:ascii="Times New Roman" w:hAnsi="Times New Roman" w:cs="Times New Roman"/>
          <w:sz w:val="24"/>
          <w:szCs w:val="24"/>
        </w:rPr>
        <w:t xml:space="preserve">toliau - </w:t>
      </w:r>
      <w:r w:rsidRPr="00BC56D7">
        <w:rPr>
          <w:rFonts w:ascii="Times New Roman" w:hAnsi="Times New Roman" w:cs="Times New Roman"/>
          <w:sz w:val="24"/>
          <w:szCs w:val="24"/>
        </w:rPr>
        <w:t>EBVPD)</w:t>
      </w:r>
      <w:r>
        <w:rPr>
          <w:rFonts w:ascii="Times New Roman" w:hAnsi="Times New Roman" w:cs="Times New Roman"/>
          <w:sz w:val="24"/>
          <w:szCs w:val="24"/>
        </w:rPr>
        <w:t xml:space="preserve"> III dalies „Pašalinimo pagrindai“ C13 skiltyje į klausimą „</w:t>
      </w:r>
      <w:r w:rsidRPr="006C3066">
        <w:rPr>
          <w:rFonts w:ascii="Times New Roman" w:hAnsi="Times New Roman" w:cs="Times New Roman"/>
          <w:i/>
          <w:iCs/>
          <w:sz w:val="24"/>
          <w:szCs w:val="24"/>
          <w:u w:val="single"/>
        </w:rPr>
        <w:t>Tiesioginis arba netiesioginis dalyvavimas rengiant šią procedūrą (VPĮ 46 str. 4 d. 3 p.)</w:t>
      </w:r>
      <w:r>
        <w:rPr>
          <w:rFonts w:ascii="Times New Roman" w:hAnsi="Times New Roman" w:cs="Times New Roman"/>
          <w:i/>
          <w:iCs/>
          <w:sz w:val="24"/>
          <w:szCs w:val="24"/>
          <w:u w:val="single"/>
        </w:rPr>
        <w:t xml:space="preserve">“ atsakytumėte „Taip“. </w:t>
      </w:r>
      <w:r w:rsidRPr="00BC56D7">
        <w:rPr>
          <w:rFonts w:ascii="Times New Roman" w:hAnsi="Times New Roman" w:cs="Times New Roman"/>
          <w:sz w:val="24"/>
          <w:szCs w:val="24"/>
        </w:rPr>
        <w:t xml:space="preserve"> </w:t>
      </w:r>
      <w:r w:rsidRPr="006C3066">
        <w:rPr>
          <w:rFonts w:ascii="Times New Roman" w:hAnsi="Times New Roman" w:cs="Times New Roman"/>
          <w:sz w:val="24"/>
          <w:szCs w:val="24"/>
        </w:rPr>
        <w:t>Viešųjų pirkimų tarnyba teigia: „</w:t>
      </w:r>
      <w:r w:rsidRPr="006C3066">
        <w:rPr>
          <w:rFonts w:ascii="Times New Roman" w:hAnsi="Times New Roman" w:cs="Times New Roman"/>
          <w:i/>
          <w:iCs/>
          <w:sz w:val="24"/>
          <w:szCs w:val="24"/>
          <w:u w:val="single"/>
        </w:rPr>
        <w:t>Jei tiekėjas tiesiogiai ar netiesiogiai suteikė pirkimo vykdytojui konsultaciją</w:t>
      </w:r>
      <w:r w:rsidRPr="006C3066">
        <w:rPr>
          <w:rFonts w:ascii="Times New Roman" w:hAnsi="Times New Roman" w:cs="Times New Roman"/>
          <w:i/>
          <w:iCs/>
          <w:sz w:val="24"/>
          <w:szCs w:val="24"/>
        </w:rPr>
        <w:t xml:space="preserve"> (nesvarbu, ar rinkos tyrimo (jeigu apie atliekamą rinkos tyrimą buvo informuotas raštu), ar </w:t>
      </w:r>
      <w:r w:rsidRPr="006C3066">
        <w:rPr>
          <w:rFonts w:ascii="Times New Roman" w:hAnsi="Times New Roman" w:cs="Times New Roman"/>
          <w:i/>
          <w:iCs/>
          <w:sz w:val="24"/>
          <w:szCs w:val="24"/>
          <w:u w:val="single"/>
        </w:rPr>
        <w:t>rinkos konsultacijos metu</w:t>
      </w:r>
      <w:r w:rsidRPr="006C3066">
        <w:rPr>
          <w:rFonts w:ascii="Times New Roman" w:hAnsi="Times New Roman" w:cs="Times New Roman"/>
          <w:i/>
          <w:iCs/>
          <w:sz w:val="24"/>
          <w:szCs w:val="24"/>
        </w:rPr>
        <w:t xml:space="preserve">, ar teikdamas pagalbinę viešųjų pirkimų veiklą ir pan.) arba kitaip dalyvavo rengiant pirkimo procedūrą (pavyzdžiui, parengė techninį (darbo) </w:t>
      </w:r>
      <w:r w:rsidRPr="006C3066">
        <w:rPr>
          <w:rFonts w:ascii="Times New Roman" w:hAnsi="Times New Roman" w:cs="Times New Roman"/>
          <w:i/>
          <w:iCs/>
          <w:sz w:val="24"/>
          <w:szCs w:val="24"/>
        </w:rPr>
        <w:lastRenderedPageBreak/>
        <w:t xml:space="preserve">projektą, techninę specifikaciją ir pan.), </w:t>
      </w:r>
      <w:r w:rsidRPr="006C3066">
        <w:rPr>
          <w:rFonts w:ascii="Times New Roman" w:hAnsi="Times New Roman" w:cs="Times New Roman"/>
          <w:i/>
          <w:iCs/>
          <w:sz w:val="24"/>
          <w:szCs w:val="24"/>
          <w:u w:val="single"/>
        </w:rPr>
        <w:t>jis, pildydamas EBVPD III dalies “Pašalinimo pagrindai C13 skiltį, į klausimą „Tiesioginis arba netiesioginis dalyvavimas rengiant šią procedūrą (VPĮ 46 str. 4 d. 3 p.)” turėtų atsakyti „Taip”</w:t>
      </w:r>
      <w:r w:rsidRPr="006C3066">
        <w:rPr>
          <w:rFonts w:ascii="Times New Roman" w:hAnsi="Times New Roman" w:cs="Times New Roman"/>
          <w:sz w:val="24"/>
          <w:szCs w:val="24"/>
        </w:rPr>
        <w:t>.</w:t>
      </w:r>
    </w:p>
    <w:p w14:paraId="6852920E" w14:textId="77777777" w:rsidR="00850336" w:rsidRDefault="00850336" w:rsidP="00850336"/>
    <w:p w14:paraId="591F04ED" w14:textId="77777777" w:rsidR="00850336" w:rsidRDefault="00850336"/>
    <w:sectPr w:rsidR="00850336" w:rsidSect="00850336">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66063"/>
    <w:multiLevelType w:val="hybridMultilevel"/>
    <w:tmpl w:val="852C5B4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4714C0"/>
    <w:multiLevelType w:val="hybridMultilevel"/>
    <w:tmpl w:val="C804FC60"/>
    <w:lvl w:ilvl="0" w:tplc="F0F6C25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0D7DE5"/>
    <w:multiLevelType w:val="hybridMultilevel"/>
    <w:tmpl w:val="C8A62DD2"/>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BF14BBC"/>
    <w:multiLevelType w:val="hybridMultilevel"/>
    <w:tmpl w:val="BC1C1226"/>
    <w:lvl w:ilvl="0" w:tplc="E310A0A8">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1F43264"/>
    <w:multiLevelType w:val="hybridMultilevel"/>
    <w:tmpl w:val="C1206C06"/>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CA25DE"/>
    <w:multiLevelType w:val="hybridMultilevel"/>
    <w:tmpl w:val="BC1C1226"/>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F4E0ED1"/>
    <w:multiLevelType w:val="hybridMultilevel"/>
    <w:tmpl w:val="E3E8F9C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8030747"/>
    <w:multiLevelType w:val="hybridMultilevel"/>
    <w:tmpl w:val="E830169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8205136"/>
    <w:multiLevelType w:val="hybridMultilevel"/>
    <w:tmpl w:val="0FA8FA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34756031">
    <w:abstractNumId w:val="3"/>
  </w:num>
  <w:num w:numId="2" w16cid:durableId="234435853">
    <w:abstractNumId w:val="7"/>
  </w:num>
  <w:num w:numId="3" w16cid:durableId="1683971264">
    <w:abstractNumId w:val="8"/>
  </w:num>
  <w:num w:numId="4" w16cid:durableId="1387294796">
    <w:abstractNumId w:val="4"/>
  </w:num>
  <w:num w:numId="5" w16cid:durableId="1017851786">
    <w:abstractNumId w:val="1"/>
  </w:num>
  <w:num w:numId="6" w16cid:durableId="128328491">
    <w:abstractNumId w:val="2"/>
  </w:num>
  <w:num w:numId="7" w16cid:durableId="2136676336">
    <w:abstractNumId w:val="5"/>
  </w:num>
  <w:num w:numId="8" w16cid:durableId="1288852059">
    <w:abstractNumId w:val="0"/>
  </w:num>
  <w:num w:numId="9" w16cid:durableId="6850640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36"/>
    <w:rsid w:val="00155A92"/>
    <w:rsid w:val="00196D8A"/>
    <w:rsid w:val="001B696A"/>
    <w:rsid w:val="00207784"/>
    <w:rsid w:val="00207A45"/>
    <w:rsid w:val="00235117"/>
    <w:rsid w:val="002867A3"/>
    <w:rsid w:val="002C1D92"/>
    <w:rsid w:val="00320B27"/>
    <w:rsid w:val="00327D4F"/>
    <w:rsid w:val="003E0CC5"/>
    <w:rsid w:val="00403716"/>
    <w:rsid w:val="0046223C"/>
    <w:rsid w:val="00486B72"/>
    <w:rsid w:val="00490C88"/>
    <w:rsid w:val="00495969"/>
    <w:rsid w:val="00563E0D"/>
    <w:rsid w:val="005742A5"/>
    <w:rsid w:val="00605505"/>
    <w:rsid w:val="00651B82"/>
    <w:rsid w:val="0070205B"/>
    <w:rsid w:val="00760AAB"/>
    <w:rsid w:val="00772CEC"/>
    <w:rsid w:val="007B7E07"/>
    <w:rsid w:val="00845BB8"/>
    <w:rsid w:val="008476D0"/>
    <w:rsid w:val="00850336"/>
    <w:rsid w:val="00906E2C"/>
    <w:rsid w:val="009234A0"/>
    <w:rsid w:val="00927BCB"/>
    <w:rsid w:val="00974AD4"/>
    <w:rsid w:val="009772C3"/>
    <w:rsid w:val="00A07A4D"/>
    <w:rsid w:val="00B23688"/>
    <w:rsid w:val="00B52826"/>
    <w:rsid w:val="00B90971"/>
    <w:rsid w:val="00CE5E70"/>
    <w:rsid w:val="00D11935"/>
    <w:rsid w:val="00D440D1"/>
    <w:rsid w:val="00D64441"/>
    <w:rsid w:val="00F2507F"/>
    <w:rsid w:val="00FA231F"/>
    <w:rsid w:val="00FC749D"/>
    <w:rsid w:val="00FF1DF5"/>
    <w:rsid w:val="00FF77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4BF00"/>
  <w15:chartTrackingRefBased/>
  <w15:docId w15:val="{7B771F5A-FFA4-4417-9E9E-938766486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0336"/>
    <w:pPr>
      <w:spacing w:line="256" w:lineRule="auto"/>
    </w:pPr>
    <w:rPr>
      <w:sz w:val="22"/>
      <w:szCs w:val="22"/>
    </w:rPr>
  </w:style>
  <w:style w:type="paragraph" w:styleId="Antrat1">
    <w:name w:val="heading 1"/>
    <w:basedOn w:val="prastasis"/>
    <w:next w:val="prastasis"/>
    <w:link w:val="Antrat1Diagrama"/>
    <w:uiPriority w:val="9"/>
    <w:qFormat/>
    <w:rsid w:val="008503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503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5033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5033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5033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5033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5033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5033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5033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5033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5033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5033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5033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5033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5033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5033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5033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5033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503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5033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5033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5033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5033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50336"/>
    <w:rPr>
      <w:i/>
      <w:iCs/>
      <w:color w:val="404040" w:themeColor="text1" w:themeTint="BF"/>
    </w:rPr>
  </w:style>
  <w:style w:type="paragraph" w:styleId="Sraopastraipa">
    <w:name w:val="List Paragraph"/>
    <w:basedOn w:val="prastasis"/>
    <w:uiPriority w:val="34"/>
    <w:qFormat/>
    <w:rsid w:val="00850336"/>
    <w:pPr>
      <w:ind w:left="720"/>
      <w:contextualSpacing/>
    </w:pPr>
  </w:style>
  <w:style w:type="character" w:styleId="Rykuspabraukimas">
    <w:name w:val="Intense Emphasis"/>
    <w:basedOn w:val="Numatytasispastraiposriftas"/>
    <w:uiPriority w:val="21"/>
    <w:qFormat/>
    <w:rsid w:val="00850336"/>
    <w:rPr>
      <w:i/>
      <w:iCs/>
      <w:color w:val="0F4761" w:themeColor="accent1" w:themeShade="BF"/>
    </w:rPr>
  </w:style>
  <w:style w:type="paragraph" w:styleId="Iskirtacitata">
    <w:name w:val="Intense Quote"/>
    <w:basedOn w:val="prastasis"/>
    <w:next w:val="prastasis"/>
    <w:link w:val="IskirtacitataDiagrama"/>
    <w:uiPriority w:val="30"/>
    <w:qFormat/>
    <w:rsid w:val="008503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50336"/>
    <w:rPr>
      <w:i/>
      <w:iCs/>
      <w:color w:val="0F4761" w:themeColor="accent1" w:themeShade="BF"/>
    </w:rPr>
  </w:style>
  <w:style w:type="character" w:styleId="Rykinuoroda">
    <w:name w:val="Intense Reference"/>
    <w:basedOn w:val="Numatytasispastraiposriftas"/>
    <w:uiPriority w:val="32"/>
    <w:qFormat/>
    <w:rsid w:val="00850336"/>
    <w:rPr>
      <w:b/>
      <w:bCs/>
      <w:smallCaps/>
      <w:color w:val="0F4761" w:themeColor="accent1" w:themeShade="BF"/>
      <w:spacing w:val="5"/>
    </w:rPr>
  </w:style>
  <w:style w:type="table" w:styleId="Lentelstinklelis">
    <w:name w:val="Table Grid"/>
    <w:basedOn w:val="prastojilentel"/>
    <w:uiPriority w:val="39"/>
    <w:rsid w:val="0085033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84794">
      <w:bodyDiv w:val="1"/>
      <w:marLeft w:val="0"/>
      <w:marRight w:val="0"/>
      <w:marTop w:val="0"/>
      <w:marBottom w:val="0"/>
      <w:divBdr>
        <w:top w:val="none" w:sz="0" w:space="0" w:color="auto"/>
        <w:left w:val="none" w:sz="0" w:space="0" w:color="auto"/>
        <w:bottom w:val="none" w:sz="0" w:space="0" w:color="auto"/>
        <w:right w:val="none" w:sz="0" w:space="0" w:color="auto"/>
      </w:divBdr>
      <w:divsChild>
        <w:div w:id="1601570706">
          <w:marLeft w:val="0"/>
          <w:marRight w:val="0"/>
          <w:marTop w:val="240"/>
          <w:marBottom w:val="0"/>
          <w:divBdr>
            <w:top w:val="none" w:sz="0" w:space="0" w:color="auto"/>
            <w:left w:val="none" w:sz="0" w:space="0" w:color="auto"/>
            <w:bottom w:val="none" w:sz="0" w:space="0" w:color="auto"/>
            <w:right w:val="none" w:sz="0" w:space="0" w:color="auto"/>
          </w:divBdr>
        </w:div>
        <w:div w:id="1758557303">
          <w:marLeft w:val="0"/>
          <w:marRight w:val="0"/>
          <w:marTop w:val="240"/>
          <w:marBottom w:val="0"/>
          <w:divBdr>
            <w:top w:val="none" w:sz="0" w:space="0" w:color="auto"/>
            <w:left w:val="none" w:sz="0" w:space="0" w:color="auto"/>
            <w:bottom w:val="none" w:sz="0" w:space="0" w:color="auto"/>
            <w:right w:val="none" w:sz="0" w:space="0" w:color="auto"/>
          </w:divBdr>
        </w:div>
        <w:div w:id="562372580">
          <w:marLeft w:val="0"/>
          <w:marRight w:val="0"/>
          <w:marTop w:val="240"/>
          <w:marBottom w:val="240"/>
          <w:divBdr>
            <w:top w:val="none" w:sz="0" w:space="0" w:color="auto"/>
            <w:left w:val="none" w:sz="0" w:space="0" w:color="auto"/>
            <w:bottom w:val="none" w:sz="0" w:space="0" w:color="auto"/>
            <w:right w:val="none" w:sz="0" w:space="0" w:color="auto"/>
          </w:divBdr>
        </w:div>
      </w:divsChild>
    </w:div>
    <w:div w:id="123156873">
      <w:bodyDiv w:val="1"/>
      <w:marLeft w:val="0"/>
      <w:marRight w:val="0"/>
      <w:marTop w:val="0"/>
      <w:marBottom w:val="0"/>
      <w:divBdr>
        <w:top w:val="none" w:sz="0" w:space="0" w:color="auto"/>
        <w:left w:val="none" w:sz="0" w:space="0" w:color="auto"/>
        <w:bottom w:val="none" w:sz="0" w:space="0" w:color="auto"/>
        <w:right w:val="none" w:sz="0" w:space="0" w:color="auto"/>
      </w:divBdr>
      <w:divsChild>
        <w:div w:id="1650597842">
          <w:marLeft w:val="0"/>
          <w:marRight w:val="0"/>
          <w:marTop w:val="240"/>
          <w:marBottom w:val="0"/>
          <w:divBdr>
            <w:top w:val="none" w:sz="0" w:space="0" w:color="auto"/>
            <w:left w:val="none" w:sz="0" w:space="0" w:color="auto"/>
            <w:bottom w:val="none" w:sz="0" w:space="0" w:color="auto"/>
            <w:right w:val="none" w:sz="0" w:space="0" w:color="auto"/>
          </w:divBdr>
        </w:div>
        <w:div w:id="1110201131">
          <w:marLeft w:val="0"/>
          <w:marRight w:val="0"/>
          <w:marTop w:val="240"/>
          <w:marBottom w:val="0"/>
          <w:divBdr>
            <w:top w:val="none" w:sz="0" w:space="0" w:color="auto"/>
            <w:left w:val="none" w:sz="0" w:space="0" w:color="auto"/>
            <w:bottom w:val="none" w:sz="0" w:space="0" w:color="auto"/>
            <w:right w:val="none" w:sz="0" w:space="0" w:color="auto"/>
          </w:divBdr>
        </w:div>
        <w:div w:id="1163551561">
          <w:marLeft w:val="0"/>
          <w:marRight w:val="0"/>
          <w:marTop w:val="240"/>
          <w:marBottom w:val="240"/>
          <w:divBdr>
            <w:top w:val="none" w:sz="0" w:space="0" w:color="auto"/>
            <w:left w:val="none" w:sz="0" w:space="0" w:color="auto"/>
            <w:bottom w:val="none" w:sz="0" w:space="0" w:color="auto"/>
            <w:right w:val="none" w:sz="0" w:space="0" w:color="auto"/>
          </w:divBdr>
        </w:div>
      </w:divsChild>
    </w:div>
    <w:div w:id="466582148">
      <w:bodyDiv w:val="1"/>
      <w:marLeft w:val="0"/>
      <w:marRight w:val="0"/>
      <w:marTop w:val="0"/>
      <w:marBottom w:val="0"/>
      <w:divBdr>
        <w:top w:val="none" w:sz="0" w:space="0" w:color="auto"/>
        <w:left w:val="none" w:sz="0" w:space="0" w:color="auto"/>
        <w:bottom w:val="none" w:sz="0" w:space="0" w:color="auto"/>
        <w:right w:val="none" w:sz="0" w:space="0" w:color="auto"/>
      </w:divBdr>
    </w:div>
    <w:div w:id="113706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119</TotalTime>
  <Pages>8</Pages>
  <Words>10503</Words>
  <Characters>5988</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33</cp:revision>
  <dcterms:created xsi:type="dcterms:W3CDTF">2025-05-06T10:33:00Z</dcterms:created>
  <dcterms:modified xsi:type="dcterms:W3CDTF">2025-05-23T07:04:00Z</dcterms:modified>
</cp:coreProperties>
</file>