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46263E98" w14:textId="77777777" w:rsidR="00746F27" w:rsidRDefault="00746F27" w:rsidP="00746F27">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356CD02C" wp14:editId="2A7B04AC">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519988CB" w14:textId="77777777" w:rsidR="00746F27" w:rsidRPr="007E5F19" w:rsidRDefault="00746F27" w:rsidP="00746F27">
          <w:pPr>
            <w:widowControl w:val="0"/>
            <w:autoSpaceDE w:val="0"/>
            <w:autoSpaceDN w:val="0"/>
            <w:adjustRightInd w:val="0"/>
            <w:jc w:val="center"/>
            <w:rPr>
              <w:rFonts w:ascii="Calibri" w:hAnsi="Calibri" w:cs="Calibri"/>
              <w:sz w:val="22"/>
              <w:szCs w:val="22"/>
            </w:rPr>
          </w:pPr>
        </w:p>
        <w:p w14:paraId="0A21C15F" w14:textId="77777777" w:rsidR="00746F27" w:rsidRPr="00DB2B2D" w:rsidRDefault="00746F27" w:rsidP="00746F27">
          <w:pPr>
            <w:widowControl w:val="0"/>
            <w:autoSpaceDE w:val="0"/>
            <w:autoSpaceDN w:val="0"/>
            <w:adjustRightInd w:val="0"/>
            <w:jc w:val="center"/>
            <w:rPr>
              <w:b/>
              <w:bCs/>
            </w:rPr>
          </w:pPr>
          <w:r w:rsidRPr="00DB2B2D">
            <w:rPr>
              <w:b/>
              <w:bCs/>
            </w:rPr>
            <w:t>VIEŠO</w:t>
          </w:r>
          <w:r>
            <w:rPr>
              <w:b/>
              <w:bCs/>
            </w:rPr>
            <w:t>JI ĮSTAIGA VILKAVIŠKIO LIGONINĖ</w:t>
          </w:r>
        </w:p>
        <w:p w14:paraId="4C040306" w14:textId="77777777" w:rsidR="00746F27" w:rsidRDefault="00746F27" w:rsidP="00746F27">
          <w:pPr>
            <w:tabs>
              <w:tab w:val="center" w:pos="4513"/>
              <w:tab w:val="right" w:pos="9026"/>
            </w:tabs>
            <w:jc w:val="center"/>
          </w:pPr>
        </w:p>
        <w:p w14:paraId="50F4C8C8" w14:textId="77777777" w:rsidR="00746F27" w:rsidRPr="00F0499F" w:rsidRDefault="00746F27" w:rsidP="00746F2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9C7850F" w14:textId="53341D80" w:rsidR="00746F27" w:rsidRPr="00B46EFD" w:rsidRDefault="00746F27" w:rsidP="00746F27">
          <w:pPr>
            <w:spacing w:after="120" w:line="20" w:lineRule="atLeast"/>
            <w:ind w:left="5245"/>
            <w:contextualSpacing/>
            <w:rPr>
              <w:rFonts w:cstheme="minorHAnsi"/>
              <w:sz w:val="24"/>
              <w:szCs w:val="24"/>
            </w:rPr>
          </w:pPr>
          <w:r w:rsidRPr="00B46EFD">
            <w:rPr>
              <w:rFonts w:cstheme="minorHAnsi"/>
              <w:sz w:val="24"/>
              <w:szCs w:val="24"/>
            </w:rPr>
            <w:t xml:space="preserve">Perkančiosios organizacijos Viešųjų pirkimų komisijos </w:t>
          </w:r>
          <w:r>
            <w:rPr>
              <w:rFonts w:cstheme="minorHAnsi"/>
              <w:sz w:val="24"/>
              <w:szCs w:val="24"/>
            </w:rPr>
            <w:t>2025-05-27</w:t>
          </w:r>
          <w:r w:rsidRPr="00B46EFD">
            <w:rPr>
              <w:rFonts w:cstheme="minorHAnsi"/>
              <w:sz w:val="24"/>
              <w:szCs w:val="24"/>
            </w:rPr>
            <w:t xml:space="preserve"> protokolu Nr. </w:t>
          </w:r>
        </w:p>
        <w:p w14:paraId="1EACD9E2" w14:textId="56487993" w:rsidR="00174088" w:rsidRPr="00DD5059" w:rsidRDefault="00174088" w:rsidP="00746F27">
          <w:pPr>
            <w:spacing w:after="0"/>
            <w:contextualSpacing/>
            <w:jc w:val="center"/>
            <w:rPr>
              <w:rFonts w:ascii="Arial" w:hAnsi="Arial" w:cs="Arial"/>
              <w:b/>
              <w:bCs/>
              <w:sz w:val="24"/>
              <w:szCs w:val="24"/>
              <w:shd w:val="clear" w:color="auto" w:fill="FFFFFF"/>
            </w:rPr>
          </w:pP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414C4E50"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E0447D" w:rsidRPr="00E0447D">
            <w:rPr>
              <w:rFonts w:ascii="Arial" w:eastAsia="Calibri" w:hAnsi="Arial" w:cs="Arial"/>
              <w:b/>
              <w:bCs/>
              <w:caps/>
              <w:color w:val="000000" w:themeColor="text1"/>
              <w:sz w:val="24"/>
              <w:szCs w:val="24"/>
            </w:rPr>
            <w:t>Optinis koherentinis tomografas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35085BC0" w14:textId="2B147964" w:rsidR="00746F27" w:rsidRPr="00746F27" w:rsidRDefault="00746F27" w:rsidP="00746F27">
      <w:pPr>
        <w:pStyle w:val="Sraopastraipa"/>
        <w:numPr>
          <w:ilvl w:val="1"/>
          <w:numId w:val="1"/>
        </w:numPr>
        <w:spacing w:after="0"/>
        <w:ind w:left="0" w:firstLine="567"/>
        <w:jc w:val="both"/>
        <w:rPr>
          <w:rFonts w:ascii="Arial" w:hAnsi="Arial" w:cs="Arial"/>
          <w:sz w:val="24"/>
          <w:szCs w:val="24"/>
        </w:rPr>
      </w:pPr>
      <w:r w:rsidRPr="00746F27">
        <w:rPr>
          <w:rFonts w:ascii="Arial" w:hAnsi="Arial" w:cs="Arial"/>
          <w:sz w:val="24"/>
          <w:szCs w:val="24"/>
        </w:rPr>
        <w:t xml:space="preserve">Viešoji įstaiga Vilkaviškio ligoninė (toliau – perkančioji organizacija), juridinio asmens kodas 185332820, adresas Maironio g. 25, Vilkaviškis, vykdo viešąjį pirkimą atviro konkurso būdu (toliau – pirkimas). Perkančiosios organizacijos kontaktinis asmuo – Valdas Riklius, tel. +370 679 47761, el. p. </w:t>
      </w:r>
      <w:hyperlink r:id="rId12" w:history="1">
        <w:r w:rsidRPr="00746F27">
          <w:rPr>
            <w:rFonts w:ascii="Arial" w:hAnsi="Arial" w:cs="Arial"/>
            <w:sz w:val="24"/>
            <w:szCs w:val="24"/>
          </w:rPr>
          <w:t>valdas.riklius@vilkaviskioligonine.lt</w:t>
        </w:r>
      </w:hyperlink>
      <w:r w:rsidRPr="00746F27">
        <w:rPr>
          <w:rFonts w:ascii="Arial" w:hAnsi="Arial" w:cs="Arial"/>
          <w:sz w:val="24"/>
          <w:szCs w:val="24"/>
        </w:rPr>
        <w:t xml:space="preserve">. </w:t>
      </w:r>
    </w:p>
    <w:p w14:paraId="3579F2ED" w14:textId="77777777" w:rsidR="00FB227E" w:rsidRDefault="00FB227E" w:rsidP="00E8359A">
      <w:pPr>
        <w:pStyle w:val="Sraopastraipa"/>
        <w:numPr>
          <w:ilvl w:val="1"/>
          <w:numId w:val="1"/>
        </w:numPr>
        <w:spacing w:after="0"/>
        <w:ind w:left="0" w:firstLine="567"/>
        <w:jc w:val="both"/>
        <w:rPr>
          <w:rFonts w:ascii="Arial" w:hAnsi="Arial" w:cs="Arial"/>
          <w:sz w:val="24"/>
          <w:szCs w:val="24"/>
        </w:rPr>
      </w:pPr>
      <w:r w:rsidRPr="00FB227E">
        <w:rPr>
          <w:rFonts w:ascii="Arial" w:hAnsi="Arial" w:cs="Arial"/>
          <w:sz w:val="24"/>
          <w:szCs w:val="24"/>
        </w:rPr>
        <w:t xml:space="preserve">Perkančioji organizacija pati atlieka pirkimą ir pasirašys pirkimo sutartį. </w:t>
      </w:r>
    </w:p>
    <w:p w14:paraId="6256139E" w14:textId="4AAAAAEF"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w:t>
      </w:r>
      <w:r w:rsidR="00FB227E" w:rsidRPr="00DD5059">
        <w:rPr>
          <w:rFonts w:ascii="Arial" w:hAnsi="Arial" w:cs="Arial"/>
          <w:color w:val="000000" w:themeColor="text1"/>
          <w:sz w:val="24"/>
          <w:szCs w:val="24"/>
        </w:rPr>
        <w:t xml:space="preserve">nėra galimybės </w:t>
      </w:r>
      <w:r w:rsidR="003163D9" w:rsidRPr="00DD5059">
        <w:rPr>
          <w:rFonts w:ascii="Arial" w:hAnsi="Arial" w:cs="Arial"/>
          <w:color w:val="000000" w:themeColor="text1"/>
          <w:sz w:val="24"/>
          <w:szCs w:val="24"/>
        </w:rPr>
        <w:t xml:space="preserve">įsigyti.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2510A36"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4748FE1E"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885D62">
        <w:rPr>
          <w:rFonts w:ascii="Arial" w:eastAsia="Calibri" w:hAnsi="Arial" w:cs="Arial"/>
          <w:color w:val="000000" w:themeColor="text1"/>
          <w:sz w:val="24"/>
          <w:szCs w:val="24"/>
        </w:rPr>
        <w:t xml:space="preserve">optinį </w:t>
      </w:r>
      <w:proofErr w:type="spellStart"/>
      <w:r w:rsidR="00885D62">
        <w:rPr>
          <w:rFonts w:ascii="Arial" w:eastAsia="Calibri" w:hAnsi="Arial" w:cs="Arial"/>
          <w:color w:val="000000" w:themeColor="text1"/>
          <w:sz w:val="24"/>
          <w:szCs w:val="24"/>
        </w:rPr>
        <w:t>koherentinį</w:t>
      </w:r>
      <w:proofErr w:type="spellEnd"/>
      <w:r w:rsidR="00885D62">
        <w:rPr>
          <w:rFonts w:ascii="Arial" w:eastAsia="Calibri" w:hAnsi="Arial" w:cs="Arial"/>
          <w:color w:val="000000" w:themeColor="text1"/>
          <w:sz w:val="24"/>
          <w:szCs w:val="24"/>
        </w:rPr>
        <w:t xml:space="preserve"> tomografą</w:t>
      </w:r>
      <w:r w:rsidR="005D3303"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 xml:space="preserve">(toliau – Prekė).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594131DF" w:rsidR="005D3303" w:rsidRPr="00DD5059"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mas vienas prietaisas, prekė</w:t>
      </w:r>
      <w:r w:rsidRPr="00885D62">
        <w:rPr>
          <w:rFonts w:ascii="Arial" w:hAnsi="Arial" w:cs="Arial"/>
          <w:sz w:val="24"/>
          <w:szCs w:val="24"/>
        </w:rPr>
        <w:t xml:space="preserve"> nėra dali. </w:t>
      </w:r>
    </w:p>
    <w:p w14:paraId="7F935B66" w14:textId="4CFC622C"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specialiųjų pirkimo</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DD5059">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3"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lastRenderedPageBreak/>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1F699DB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r>
      <w:r w:rsidR="00FB227E" w:rsidRPr="00FB227E">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D5059">
        <w:rPr>
          <w:rFonts w:ascii="Arial" w:hAnsi="Arial" w:cs="Arial"/>
          <w:b/>
          <w:bCs/>
          <w:sz w:val="24"/>
          <w:szCs w:val="24"/>
        </w:rPr>
        <w:t>ELEKTRONINIS AUKCIONAS</w:t>
      </w:r>
      <w:bookmarkEnd w:id="29"/>
      <w:bookmarkEnd w:id="30"/>
      <w:bookmarkEnd w:id="31"/>
      <w:bookmarkEnd w:id="32"/>
      <w:bookmarkEnd w:id="33"/>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DD5059">
        <w:rPr>
          <w:rFonts w:ascii="Arial" w:hAnsi="Arial" w:cs="Arial"/>
          <w:b/>
          <w:bCs/>
          <w:sz w:val="24"/>
          <w:szCs w:val="24"/>
        </w:rPr>
        <w:lastRenderedPageBreak/>
        <w:t>PASIŪLYMŲ VERTINIMAS</w:t>
      </w:r>
      <w:bookmarkEnd w:id="34"/>
      <w:bookmarkEnd w:id="35"/>
      <w:bookmarkEnd w:id="36"/>
      <w:bookmarkEnd w:id="37"/>
      <w:bookmarkEnd w:id="38"/>
      <w:r w:rsidRPr="00DD5059">
        <w:rPr>
          <w:rFonts w:ascii="Arial" w:hAnsi="Arial" w:cs="Arial"/>
          <w:b/>
          <w:bCs/>
          <w:sz w:val="24"/>
          <w:szCs w:val="24"/>
        </w:rPr>
        <w:t xml:space="preserve"> IR PASIŪLYMŲ ATMETIMO PRIEŽASTYS</w:t>
      </w:r>
    </w:p>
    <w:p w14:paraId="25C77792" w14:textId="33E2B4BC"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00FB227E">
        <w:rPr>
          <w:rFonts w:ascii="Arial" w:eastAsia="Calibri" w:hAnsi="Arial" w:cs="Arial"/>
          <w:sz w:val="24"/>
          <w:szCs w:val="24"/>
        </w:rPr>
        <w:t>mažiausią kainą</w:t>
      </w:r>
      <w:r w:rsidRPr="00DD5059">
        <w:rPr>
          <w:rFonts w:ascii="Arial" w:eastAsia="Calibri" w:hAnsi="Arial" w:cs="Arial"/>
          <w:sz w:val="24"/>
          <w:szCs w:val="24"/>
        </w:rPr>
        <w:t xml:space="preserve">. </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DD5059">
        <w:rPr>
          <w:rFonts w:ascii="Arial" w:hAnsi="Arial" w:cs="Arial"/>
          <w:b/>
          <w:bCs/>
          <w:sz w:val="24"/>
          <w:szCs w:val="24"/>
        </w:rPr>
        <w:t>SUTARTIES SUDARYMAS</w:t>
      </w:r>
      <w:bookmarkEnd w:id="39"/>
      <w:bookmarkEnd w:id="40"/>
      <w:bookmarkEnd w:id="41"/>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4"/>
          <w:footerReference w:type="first" r:id="rId15"/>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25257EAD" w:rsidR="00774AA5" w:rsidRPr="00DD5059" w:rsidRDefault="00FB227E" w:rsidP="00E8359A">
            <w:pPr>
              <w:spacing w:after="0"/>
              <w:jc w:val="both"/>
              <w:rPr>
                <w:rFonts w:ascii="Arial" w:hAnsi="Arial" w:cs="Arial"/>
                <w:iCs/>
                <w:sz w:val="24"/>
                <w:szCs w:val="24"/>
              </w:rPr>
            </w:pPr>
            <w:r w:rsidRPr="00DD5059">
              <w:rPr>
                <w:rFonts w:ascii="Arial" w:hAnsi="Arial" w:cs="Arial"/>
                <w:sz w:val="24"/>
                <w:szCs w:val="24"/>
              </w:rPr>
              <w:t>NETAIKOMA</w:t>
            </w:r>
          </w:p>
        </w:tc>
        <w:tc>
          <w:tcPr>
            <w:tcW w:w="1559" w:type="dxa"/>
            <w:shd w:val="clear" w:color="auto" w:fill="auto"/>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4DD4DD87" w14:textId="0FB8DFEC" w:rsidR="00774AA5" w:rsidRPr="00DD5059" w:rsidRDefault="00FB227E"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shd w:val="clear" w:color="auto" w:fill="auto"/>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684369EC" w14:textId="52909C29" w:rsidR="00774AA5" w:rsidRPr="00DD5059" w:rsidRDefault="00FB227E" w:rsidP="00E8359A">
            <w:pPr>
              <w:spacing w:after="0"/>
              <w:jc w:val="both"/>
              <w:rPr>
                <w:rFonts w:ascii="Arial" w:hAnsi="Arial" w:cs="Arial"/>
                <w:color w:val="000000" w:themeColor="text1"/>
                <w:sz w:val="24"/>
                <w:szCs w:val="24"/>
              </w:rPr>
            </w:pPr>
            <w:r w:rsidRPr="00DD5059">
              <w:rPr>
                <w:rFonts w:ascii="Arial" w:hAnsi="Arial" w:cs="Arial"/>
                <w:sz w:val="24"/>
                <w:szCs w:val="24"/>
              </w:rPr>
              <w:t>NETAIKOMA</w:t>
            </w:r>
            <w:r w:rsidRPr="00DD5059">
              <w:rPr>
                <w:rFonts w:ascii="Arial" w:hAnsi="Arial" w:cs="Arial"/>
                <w:color w:val="000000" w:themeColor="text1"/>
                <w:sz w:val="24"/>
                <w:szCs w:val="24"/>
              </w:rPr>
              <w:t xml:space="preserve"> </w:t>
            </w:r>
          </w:p>
        </w:tc>
        <w:tc>
          <w:tcPr>
            <w:tcW w:w="1559" w:type="dxa"/>
            <w:shd w:val="clear" w:color="auto" w:fill="auto"/>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7"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2E25F9E" w14:textId="54853C6B" w:rsidR="005B1744" w:rsidRDefault="009C07D3" w:rsidP="00F3238B">
      <w:pPr>
        <w:spacing w:after="0"/>
        <w:jc w:val="center"/>
        <w:rPr>
          <w:rFonts w:ascii="Arial" w:eastAsia="Calibri" w:hAnsi="Arial" w:cs="Arial"/>
          <w:b/>
          <w:bCs/>
          <w:caps/>
          <w:color w:val="000000" w:themeColor="text1"/>
          <w:sz w:val="24"/>
          <w:szCs w:val="24"/>
        </w:rPr>
      </w:pPr>
      <w:bookmarkStart w:id="48" w:name="_Ref38285444"/>
      <w:bookmarkStart w:id="49" w:name="_Ref38291496"/>
      <w:bookmarkStart w:id="50" w:name="_Toc126333941"/>
      <w:r w:rsidRPr="00F3238B">
        <w:rPr>
          <w:rFonts w:ascii="Arial" w:eastAsia="Calibri" w:hAnsi="Arial" w:cs="Arial"/>
          <w:b/>
          <w:bCs/>
          <w:caps/>
          <w:color w:val="000000" w:themeColor="text1"/>
          <w:sz w:val="24"/>
          <w:szCs w:val="24"/>
        </w:rPr>
        <w:t>OPTINIS KOHERENTINIS TOMOGRAFAS</w:t>
      </w:r>
    </w:p>
    <w:p w14:paraId="7ECC4FE2" w14:textId="77777777" w:rsidR="00F3238B" w:rsidRPr="00F3238B" w:rsidRDefault="00F3238B"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64D1DA4D" w:rsidR="00D522C0" w:rsidRPr="00584395"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3B0FD4">
        <w:rPr>
          <w:rFonts w:ascii="Arial" w:eastAsia="Calibri" w:hAnsi="Arial" w:cs="Arial"/>
          <w:bCs/>
          <w:sz w:val="24"/>
          <w:szCs w:val="24"/>
        </w:rPr>
        <w:t xml:space="preserve">Prekė turi būti nauja, nenaudota. </w:t>
      </w:r>
      <w:proofErr w:type="spellStart"/>
      <w:r w:rsidRPr="003B0FD4">
        <w:rPr>
          <w:rFonts w:ascii="Arial" w:eastAsia="Calibri" w:hAnsi="Arial" w:cs="Arial"/>
          <w:bCs/>
          <w:sz w:val="24"/>
          <w:szCs w:val="24"/>
        </w:rPr>
        <w:t>Gamykliškai</w:t>
      </w:r>
      <w:proofErr w:type="spellEnd"/>
      <w:r w:rsidRPr="003B0FD4">
        <w:rPr>
          <w:rFonts w:ascii="Arial" w:eastAsia="Calibri" w:hAnsi="Arial" w:cs="Arial"/>
          <w:bCs/>
          <w:sz w:val="24"/>
          <w:szCs w:val="24"/>
        </w:rPr>
        <w:t xml:space="preserve"> atnaujinti „</w:t>
      </w:r>
      <w:proofErr w:type="spellStart"/>
      <w:r w:rsidRPr="003B0FD4">
        <w:rPr>
          <w:rFonts w:ascii="Arial" w:eastAsia="Calibri" w:hAnsi="Arial" w:cs="Arial"/>
          <w:bCs/>
          <w:sz w:val="24"/>
          <w:szCs w:val="24"/>
        </w:rPr>
        <w:t>renew</w:t>
      </w:r>
      <w:proofErr w:type="spellEnd"/>
      <w:r w:rsidRPr="003B0FD4">
        <w:rPr>
          <w:rFonts w:ascii="Arial" w:eastAsia="Calibri" w:hAnsi="Arial" w:cs="Arial"/>
          <w:bCs/>
          <w:sz w:val="24"/>
          <w:szCs w:val="24"/>
        </w:rPr>
        <w:t>“, „</w:t>
      </w:r>
      <w:proofErr w:type="spellStart"/>
      <w:r w:rsidRPr="003B0FD4">
        <w:rPr>
          <w:rFonts w:ascii="Arial" w:eastAsia="Calibri" w:hAnsi="Arial" w:cs="Arial"/>
          <w:bCs/>
          <w:sz w:val="24"/>
          <w:szCs w:val="24"/>
        </w:rPr>
        <w:t>refurbished</w:t>
      </w:r>
      <w:proofErr w:type="spellEnd"/>
      <w:r w:rsidRPr="003B0FD4">
        <w:rPr>
          <w:rFonts w:ascii="Arial" w:eastAsia="Calibri" w:hAnsi="Arial" w:cs="Arial"/>
          <w:bCs/>
          <w:sz w:val="24"/>
          <w:szCs w:val="24"/>
        </w:rPr>
        <w:t xml:space="preserve">“, </w:t>
      </w:r>
      <w:r w:rsidRPr="00204668">
        <w:rPr>
          <w:rFonts w:ascii="Arial" w:eastAsia="Calibri" w:hAnsi="Arial" w:cs="Arial"/>
          <w:bCs/>
          <w:sz w:val="24"/>
          <w:szCs w:val="24"/>
        </w:rPr>
        <w:t>„</w:t>
      </w:r>
      <w:proofErr w:type="spellStart"/>
      <w:r w:rsidRPr="00204668">
        <w:rPr>
          <w:rFonts w:ascii="Arial" w:eastAsia="Calibri" w:hAnsi="Arial" w:cs="Arial"/>
          <w:bCs/>
          <w:sz w:val="24"/>
          <w:szCs w:val="24"/>
        </w:rPr>
        <w:t>remarked</w:t>
      </w:r>
      <w:proofErr w:type="spellEnd"/>
      <w:r w:rsidRPr="00204668">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204668">
        <w:rPr>
          <w:rFonts w:ascii="Arial" w:eastAsia="Calibri" w:hAnsi="Arial" w:cs="Arial"/>
          <w:sz w:val="24"/>
          <w:szCs w:val="24"/>
        </w:rPr>
        <w:t xml:space="preserve">Medicinos </w:t>
      </w:r>
      <w:r w:rsidRPr="00584395">
        <w:rPr>
          <w:rFonts w:ascii="Arial" w:eastAsia="Calibri" w:hAnsi="Arial" w:cs="Arial"/>
          <w:sz w:val="24"/>
          <w:szCs w:val="24"/>
        </w:rPr>
        <w:t>priemonių naudojimo tvarkos apraše, patvirtintame Lietuvos Respublikos sveikatos apsaugos ministro 2010 m. gegužės 3 d. įsakymu Nr. V-383 (su vėlesniais pakeitimais ir papildymais).</w:t>
      </w:r>
    </w:p>
    <w:p w14:paraId="5FE9E098" w14:textId="77777777" w:rsidR="00D522C0" w:rsidRPr="00204668" w:rsidRDefault="00D522C0" w:rsidP="00D522C0">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Tiekėjas kartu su Preke turi pateikti:</w:t>
      </w:r>
    </w:p>
    <w:p w14:paraId="2A5A1045" w14:textId="77777777" w:rsidR="00D522C0" w:rsidRPr="00204668" w:rsidRDefault="00D522C0" w:rsidP="00D522C0">
      <w:pPr>
        <w:pStyle w:val="Sraopastraipa"/>
        <w:numPr>
          <w:ilvl w:val="1"/>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Prekės eksploatavimo vadovą ar lygiavertį dokumentą.</w:t>
      </w:r>
    </w:p>
    <w:p w14:paraId="5C2EF3DE" w14:textId="77777777" w:rsidR="00D522C0" w:rsidRPr="00204668"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7153CFF" w:rsidR="00D522C0" w:rsidRPr="00CE4E57"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 xml:space="preserve">prekės atitikimą techninei specifikacijai lietuvių kalba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7777777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35B5B19B" w14:textId="77777777" w:rsidR="004D3A1E" w:rsidRPr="00F3238B" w:rsidRDefault="004D3A1E" w:rsidP="004D3A1E">
      <w:pPr>
        <w:keepNext/>
        <w:spacing w:after="0" w:line="36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lastRenderedPageBreak/>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4D3A1E" w:rsidRPr="00F3238B" w14:paraId="1A6DEAA5" w14:textId="77777777" w:rsidTr="004D3A1E">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166B5E01" w14:textId="77777777" w:rsidR="004D3A1E" w:rsidRPr="00F3238B" w:rsidRDefault="004D3A1E" w:rsidP="004D3A1E">
            <w:pPr>
              <w:keepNext/>
              <w:spacing w:after="0" w:line="240" w:lineRule="auto"/>
              <w:jc w:val="center"/>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300205E9" w14:textId="77777777" w:rsidR="004D3A1E" w:rsidRPr="00F3238B"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58A9824D" w14:textId="77777777" w:rsidR="004D3A1E" w:rsidRPr="00F3238B"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79F8A8D3" w14:textId="77777777" w:rsidR="004D3A1E" w:rsidRPr="00F3238B"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b/>
                <w:kern w:val="2"/>
                <w:sz w:val="22"/>
                <w:szCs w:val="22"/>
                <w:lang w:eastAsia="en-US"/>
                <w14:ligatures w14:val="standardContextual"/>
              </w:rPr>
              <w:t xml:space="preserve">Tiekėjo siūlomos prekės rodikliai, jų reikšmės, aprašymas </w:t>
            </w:r>
          </w:p>
          <w:p w14:paraId="53719339" w14:textId="77777777" w:rsidR="004D3A1E" w:rsidRPr="00F3238B" w:rsidRDefault="004D3A1E" w:rsidP="004D3A1E">
            <w:pPr>
              <w:keepNext/>
              <w:spacing w:after="0" w:line="240" w:lineRule="auto"/>
              <w:jc w:val="center"/>
              <w:rPr>
                <w:rFonts w:ascii="Arial" w:eastAsia="Times New Roman" w:hAnsi="Arial" w:cs="Arial"/>
                <w:bCs/>
                <w:kern w:val="2"/>
                <w:sz w:val="22"/>
                <w:szCs w:val="22"/>
                <w:lang w:eastAsia="en-GB"/>
                <w14:ligatures w14:val="standardContextual"/>
              </w:rPr>
            </w:pPr>
            <w:r w:rsidRPr="00F3238B">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4729D330" w14:textId="77777777" w:rsidR="004D3A1E" w:rsidRPr="00F3238B" w:rsidRDefault="004D3A1E" w:rsidP="004D3A1E">
            <w:pPr>
              <w:keepNext/>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 </w:t>
            </w:r>
          </w:p>
          <w:p w14:paraId="2A97BE57" w14:textId="77777777" w:rsidR="004D3A1E" w:rsidRPr="00F3238B"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i/>
                <w:iCs/>
                <w:kern w:val="2"/>
                <w:sz w:val="22"/>
                <w:szCs w:val="22"/>
                <w:lang w:eastAsia="en-US"/>
                <w14:ligatures w14:val="standardContextual"/>
              </w:rPr>
              <w:t>[pildo Tiekėjas]</w:t>
            </w:r>
          </w:p>
        </w:tc>
      </w:tr>
      <w:tr w:rsidR="004D3A1E" w:rsidRPr="0079015D" w14:paraId="5FC176FF" w14:textId="77777777" w:rsidTr="004D3A1E">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05CF8A05" w14:textId="77777777" w:rsidR="004D3A1E" w:rsidRPr="0079015D" w:rsidRDefault="004D3A1E" w:rsidP="004D3A1E">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05EE9FA3"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2E6EDE13"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6E4A38AB"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306CFA0C" w14:textId="77777777" w:rsidR="004D3A1E" w:rsidRPr="0079015D"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5</w:t>
            </w:r>
          </w:p>
        </w:tc>
      </w:tr>
      <w:tr w:rsidR="004D3A1E" w14:paraId="231FF5AB" w14:textId="77777777" w:rsidTr="004D3A1E">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FF1045" w14:textId="77777777" w:rsidR="004D3A1E" w:rsidRPr="0079015D" w:rsidRDefault="004D3A1E" w:rsidP="004D3A1E">
            <w:pPr>
              <w:keepNext/>
              <w:spacing w:after="0" w:line="240" w:lineRule="auto"/>
              <w:rPr>
                <w:rFonts w:ascii="Arial" w:eastAsia="Times New Roman" w:hAnsi="Arial" w:cs="Arial"/>
                <w:b/>
                <w:bCs/>
                <w:kern w:val="2"/>
                <w:sz w:val="22"/>
                <w:szCs w:val="22"/>
                <w:lang w:eastAsia="en-GB"/>
                <w14:ligatures w14:val="standardContextual"/>
              </w:rPr>
            </w:pPr>
            <w:r w:rsidRPr="0079015D">
              <w:rPr>
                <w:rFonts w:ascii="Arial" w:eastAsia="Times New Roman" w:hAnsi="Arial" w:cs="Arial"/>
                <w:b/>
                <w:bCs/>
                <w:kern w:val="2"/>
                <w:sz w:val="22"/>
                <w:szCs w:val="22"/>
                <w:lang w:eastAsia="en-GB"/>
                <w14:ligatures w14:val="standardContextual"/>
              </w:rPr>
              <w:t xml:space="preserve">Optinis </w:t>
            </w:r>
            <w:proofErr w:type="spellStart"/>
            <w:r w:rsidRPr="0079015D">
              <w:rPr>
                <w:rFonts w:ascii="Arial" w:eastAsia="Times New Roman" w:hAnsi="Arial" w:cs="Arial"/>
                <w:b/>
                <w:bCs/>
                <w:kern w:val="2"/>
                <w:sz w:val="22"/>
                <w:szCs w:val="22"/>
                <w:lang w:eastAsia="en-GB"/>
                <w14:ligatures w14:val="standardContextual"/>
              </w:rPr>
              <w:t>koherentinis</w:t>
            </w:r>
            <w:proofErr w:type="spellEnd"/>
            <w:r w:rsidRPr="0079015D">
              <w:rPr>
                <w:rFonts w:ascii="Arial" w:eastAsia="Times New Roman" w:hAnsi="Arial" w:cs="Arial"/>
                <w:b/>
                <w:bCs/>
                <w:kern w:val="2"/>
                <w:sz w:val="22"/>
                <w:szCs w:val="22"/>
                <w:lang w:eastAsia="en-GB"/>
                <w14:ligatures w14:val="standardContextual"/>
              </w:rPr>
              <w:t xml:space="preserve"> tomografas, 1 vnt.</w:t>
            </w:r>
            <w:r w:rsidRPr="0079015D">
              <w:rPr>
                <w:rFonts w:ascii="Arial" w:eastAsia="Times New Roman" w:hAnsi="Arial" w:cs="Arial"/>
                <w:kern w:val="2"/>
                <w:sz w:val="22"/>
                <w:szCs w:val="22"/>
                <w:lang w:eastAsia="en-GB"/>
                <w14:ligatures w14:val="standardContextual"/>
              </w:rPr>
              <w:t xml:space="preserve"> </w:t>
            </w:r>
          </w:p>
        </w:tc>
      </w:tr>
      <w:tr w:rsidR="004D3A1E" w14:paraId="3CA8860C" w14:textId="77777777" w:rsidTr="004D3A1E">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1C20695B" w14:textId="77777777" w:rsidR="004D3A1E" w:rsidRPr="0079015D" w:rsidRDefault="004D3A1E" w:rsidP="004D3A1E">
            <w:pPr>
              <w:keepNext/>
              <w:spacing w:after="0" w:line="240" w:lineRule="auto"/>
              <w:rPr>
                <w:rFonts w:ascii="Arial" w:eastAsia="Times New Roman" w:hAnsi="Arial" w:cs="Arial"/>
                <w:b/>
                <w:bCs/>
                <w:kern w:val="2"/>
                <w:sz w:val="22"/>
                <w:szCs w:val="22"/>
                <w:lang w:eastAsia="en-US"/>
                <w14:ligatures w14:val="standardContextual"/>
              </w:rPr>
            </w:pPr>
            <w:r w:rsidRPr="0079015D">
              <w:rPr>
                <w:rFonts w:ascii="Arial" w:eastAsia="Times New Roman" w:hAnsi="Arial" w:cs="Arial"/>
                <w:b/>
                <w:bCs/>
                <w:kern w:val="2"/>
                <w:sz w:val="22"/>
                <w:szCs w:val="22"/>
                <w:lang w:eastAsia="en-US"/>
                <w14:ligatures w14:val="standardContextual"/>
              </w:rPr>
              <w:t>Prekės gamintojas</w:t>
            </w:r>
          </w:p>
          <w:p w14:paraId="22767F6F" w14:textId="77777777" w:rsidR="004D3A1E" w:rsidRPr="0079015D"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79015D">
              <w:rPr>
                <w:rFonts w:ascii="Arial" w:eastAsia="Times New Roman" w:hAnsi="Arial" w:cs="Arial"/>
                <w:b/>
                <w:bCs/>
                <w:kern w:val="2"/>
                <w:sz w:val="22"/>
                <w:szCs w:val="22"/>
                <w:lang w:eastAsia="en-US"/>
                <w14:ligatures w14:val="standardContextual"/>
              </w:rPr>
              <w:t>Prekės modelis</w:t>
            </w:r>
          </w:p>
        </w:tc>
        <w:tc>
          <w:tcPr>
            <w:tcW w:w="1191" w:type="pct"/>
            <w:tcBorders>
              <w:top w:val="single" w:sz="4" w:space="0" w:color="000000"/>
              <w:left w:val="single" w:sz="4" w:space="0" w:color="000000"/>
              <w:bottom w:val="single" w:sz="4" w:space="0" w:color="000000"/>
              <w:right w:val="single" w:sz="4" w:space="0" w:color="000000"/>
            </w:tcBorders>
          </w:tcPr>
          <w:p w14:paraId="370381B8" w14:textId="77777777" w:rsidR="004D3A1E" w:rsidRPr="0079015D" w:rsidRDefault="004D3A1E" w:rsidP="004D3A1E">
            <w:pPr>
              <w:keepNext/>
              <w:spacing w:after="0" w:line="240" w:lineRule="auto"/>
              <w:rPr>
                <w:rFonts w:ascii="Arial" w:hAnsi="Arial" w:cs="Arial"/>
                <w:color w:val="00B050"/>
                <w:kern w:val="2"/>
                <w:sz w:val="22"/>
                <w:szCs w:val="22"/>
                <w:lang w:eastAsia="en-US"/>
                <w14:ligatures w14:val="standardContextual"/>
              </w:rPr>
            </w:pPr>
            <w:r w:rsidRPr="0079015D">
              <w:rPr>
                <w:rFonts w:ascii="Arial" w:hAnsi="Arial" w:cs="Arial"/>
                <w:color w:val="00B050"/>
                <w:kern w:val="2"/>
                <w:sz w:val="22"/>
                <w:szCs w:val="22"/>
                <w:lang w:eastAsia="en-US"/>
                <w14:ligatures w14:val="standardContextual"/>
              </w:rPr>
              <w:t>Įrašo tiekėjas.....</w:t>
            </w:r>
          </w:p>
          <w:p w14:paraId="1C9432C2" w14:textId="77777777" w:rsidR="004D3A1E" w:rsidRPr="0079015D" w:rsidRDefault="004D3A1E" w:rsidP="004D3A1E">
            <w:pPr>
              <w:keepNext/>
              <w:spacing w:after="0" w:line="240" w:lineRule="auto"/>
              <w:rPr>
                <w:rFonts w:ascii="Arial" w:eastAsia="Times New Roman" w:hAnsi="Arial" w:cs="Arial"/>
                <w:kern w:val="2"/>
                <w:sz w:val="22"/>
                <w:szCs w:val="22"/>
                <w:lang w:eastAsia="en-US"/>
                <w14:ligatures w14:val="standardContextual"/>
              </w:rPr>
            </w:pPr>
            <w:r w:rsidRPr="0079015D">
              <w:rPr>
                <w:rFonts w:ascii="Arial" w:eastAsia="Times New Roman" w:hAnsi="Arial" w:cs="Arial"/>
                <w:kern w:val="2"/>
                <w:sz w:val="22"/>
                <w:szCs w:val="22"/>
                <w:lang w:eastAsia="en-US"/>
                <w14:ligatures w14:val="standardContextual"/>
              </w:rPr>
              <w:t>Prekės gamintojas</w:t>
            </w:r>
            <w:r w:rsidRPr="00F3238B">
              <w:rPr>
                <w:rFonts w:ascii="Arial" w:eastAsia="Times New Roman" w:hAnsi="Arial" w:cs="Arial"/>
                <w:color w:val="00B050"/>
                <w:kern w:val="2"/>
                <w:sz w:val="22"/>
                <w:szCs w:val="22"/>
                <w:lang w:eastAsia="en-US"/>
                <w14:ligatures w14:val="standardContextual"/>
              </w:rPr>
              <w:t>.....</w:t>
            </w:r>
          </w:p>
          <w:p w14:paraId="7C6BF7D1" w14:textId="77777777" w:rsidR="004D3A1E" w:rsidRPr="0079015D"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79015D">
              <w:rPr>
                <w:rFonts w:ascii="Arial" w:eastAsia="Times New Roman" w:hAnsi="Arial" w:cs="Arial"/>
                <w:kern w:val="2"/>
                <w:sz w:val="22"/>
                <w:szCs w:val="22"/>
                <w:lang w:eastAsia="en-US"/>
                <w14:ligatures w14:val="standardContextual"/>
              </w:rPr>
              <w:t>Prekės modelis</w:t>
            </w:r>
            <w:r w:rsidRPr="00F3238B">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550F07BB" w14:textId="77777777" w:rsidR="004D3A1E" w:rsidRPr="0079015D" w:rsidRDefault="004D3A1E" w:rsidP="004D3A1E">
            <w:pPr>
              <w:keepNext/>
              <w:spacing w:after="0" w:line="240" w:lineRule="auto"/>
              <w:jc w:val="both"/>
              <w:rPr>
                <w:rFonts w:ascii="Arial" w:eastAsia="Times New Roman" w:hAnsi="Arial" w:cs="Arial"/>
                <w:color w:val="000000"/>
                <w:kern w:val="2"/>
                <w:sz w:val="22"/>
                <w:szCs w:val="22"/>
                <w:lang w:eastAsia="en-GB"/>
                <w14:ligatures w14:val="standardContextual"/>
              </w:rPr>
            </w:pPr>
            <w:r w:rsidRPr="0079015D">
              <w:rPr>
                <w:rFonts w:ascii="Arial" w:hAnsi="Arial" w:cs="Arial"/>
                <w:i/>
                <w:iCs/>
                <w:kern w:val="2"/>
                <w:sz w:val="22"/>
                <w:szCs w:val="22"/>
                <w:lang w:eastAsia="en-US"/>
                <w14:ligatures w14:val="standardContextual"/>
              </w:rPr>
              <w:t>[pildo Tiekėjas]</w:t>
            </w:r>
          </w:p>
        </w:tc>
      </w:tr>
      <w:tr w:rsidR="004D3A1E" w14:paraId="584EB10F" w14:textId="77777777" w:rsidTr="004D3A1E">
        <w:trPr>
          <w:trHeight w:val="222"/>
        </w:trPr>
        <w:tc>
          <w:tcPr>
            <w:tcW w:w="289" w:type="pct"/>
          </w:tcPr>
          <w:p w14:paraId="282B5087"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0BD208A"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Prietaiso paskirtis</w:t>
            </w:r>
          </w:p>
        </w:tc>
        <w:tc>
          <w:tcPr>
            <w:tcW w:w="1258" w:type="pct"/>
            <w:gridSpan w:val="2"/>
          </w:tcPr>
          <w:p w14:paraId="12960B47"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Prietaisas skirtas akių dugno ištyrimui šiais metodais:</w:t>
            </w:r>
          </w:p>
          <w:p w14:paraId="213B5EA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 xml:space="preserve">1. optinės </w:t>
            </w:r>
            <w:proofErr w:type="spellStart"/>
            <w:r w:rsidRPr="009C07D3">
              <w:rPr>
                <w:rFonts w:ascii="Arial" w:eastAsiaTheme="minorHAnsi" w:hAnsi="Arial" w:cs="Arial"/>
                <w:sz w:val="22"/>
                <w:szCs w:val="22"/>
                <w:lang w:eastAsia="en-US"/>
              </w:rPr>
              <w:t>koherentinės</w:t>
            </w:r>
            <w:proofErr w:type="spellEnd"/>
            <w:r w:rsidRPr="009C07D3">
              <w:rPr>
                <w:rFonts w:ascii="Arial" w:eastAsiaTheme="minorHAnsi" w:hAnsi="Arial" w:cs="Arial"/>
                <w:sz w:val="22"/>
                <w:szCs w:val="22"/>
                <w:lang w:eastAsia="en-US"/>
              </w:rPr>
              <w:t xml:space="preserve"> tomografijos (OKT);</w:t>
            </w:r>
          </w:p>
          <w:p w14:paraId="7DAB5840" w14:textId="77777777" w:rsidR="004D3A1E" w:rsidRPr="009C07D3"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2. OKT-angiografijos (nenaudojant kontrasto);</w:t>
            </w:r>
          </w:p>
          <w:p w14:paraId="31658DCE"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3. spalvotos akių dugno fotografijos.</w:t>
            </w:r>
          </w:p>
        </w:tc>
        <w:tc>
          <w:tcPr>
            <w:tcW w:w="1191" w:type="pct"/>
            <w:tcBorders>
              <w:top w:val="single" w:sz="4" w:space="0" w:color="000000"/>
              <w:left w:val="single" w:sz="4" w:space="0" w:color="000000"/>
              <w:bottom w:val="single" w:sz="4" w:space="0" w:color="000000"/>
              <w:right w:val="single" w:sz="4" w:space="0" w:color="000000"/>
            </w:tcBorders>
          </w:tcPr>
          <w:p w14:paraId="1FFDE9BC" w14:textId="77777777" w:rsidR="004D3A1E" w:rsidRDefault="004D3A1E" w:rsidP="00F44355">
            <w:pPr>
              <w:spacing w:after="0" w:line="240" w:lineRule="auto"/>
              <w:rPr>
                <w:rFonts w:ascii="Arial" w:hAnsi="Arial" w:cs="Arial"/>
                <w:color w:val="00B050"/>
                <w:sz w:val="22"/>
                <w:szCs w:val="22"/>
              </w:rPr>
            </w:pPr>
            <w:r>
              <w:rPr>
                <w:rFonts w:ascii="Arial" w:hAnsi="Arial" w:cs="Arial"/>
                <w:color w:val="00B050"/>
                <w:sz w:val="22"/>
                <w:szCs w:val="22"/>
              </w:rPr>
              <w:t>Įrašo tiekėjas.......</w:t>
            </w:r>
          </w:p>
          <w:p w14:paraId="6AFC993A"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1. ....Taip/Ne </w:t>
            </w:r>
          </w:p>
          <w:p w14:paraId="778F2E4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2. ....Taip/Ne</w:t>
            </w:r>
          </w:p>
          <w:p w14:paraId="4AEFE68F"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3. ....Taip/Ne</w:t>
            </w:r>
          </w:p>
          <w:p w14:paraId="706CEAC4" w14:textId="77777777" w:rsidR="004D3A1E" w:rsidRDefault="004D3A1E" w:rsidP="00F44355">
            <w:pPr>
              <w:spacing w:after="0" w:line="240" w:lineRule="auto"/>
              <w:rPr>
                <w:rFonts w:ascii="Arial" w:eastAsia="Times New Roman" w:hAnsi="Arial" w:cs="Arial"/>
                <w:color w:val="00B050"/>
              </w:rPr>
            </w:pPr>
          </w:p>
          <w:p w14:paraId="1D7753D9"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5D85C04"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Pr>
                <w:rFonts w:ascii="Arial" w:hAnsi="Arial" w:cs="Arial"/>
                <w:i/>
                <w:iCs/>
                <w:kern w:val="2"/>
                <w:sz w:val="22"/>
                <w:szCs w:val="22"/>
                <w:lang w:eastAsia="en-US"/>
                <w14:ligatures w14:val="standardContextual"/>
              </w:rPr>
              <w:t>[pildo Tiekėjas]</w:t>
            </w:r>
          </w:p>
        </w:tc>
      </w:tr>
      <w:tr w:rsidR="004D3A1E" w14:paraId="0239A157" w14:textId="77777777" w:rsidTr="004D3A1E">
        <w:trPr>
          <w:trHeight w:val="222"/>
        </w:trPr>
        <w:tc>
          <w:tcPr>
            <w:tcW w:w="289" w:type="pct"/>
          </w:tcPr>
          <w:p w14:paraId="5DEB81B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EDC0739"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Prietaiso technologinis išpildymas ir komplektavimas </w:t>
            </w:r>
          </w:p>
        </w:tc>
        <w:tc>
          <w:tcPr>
            <w:tcW w:w="1258" w:type="pct"/>
            <w:gridSpan w:val="2"/>
          </w:tcPr>
          <w:p w14:paraId="4A0DE2F5" w14:textId="41C81FEC" w:rsidR="004D3A1E" w:rsidRPr="0079015D" w:rsidRDefault="00C7669B" w:rsidP="00F44355">
            <w:pPr>
              <w:spacing w:after="0" w:line="240" w:lineRule="auto"/>
              <w:rPr>
                <w:rFonts w:ascii="Arial" w:eastAsia="Times New Roman" w:hAnsi="Arial" w:cs="Arial"/>
                <w:b/>
                <w:bCs/>
                <w:kern w:val="2"/>
                <w:sz w:val="22"/>
                <w:szCs w:val="22"/>
                <w:lang w:eastAsia="en-US"/>
                <w14:ligatures w14:val="standardContextual"/>
              </w:rPr>
            </w:pPr>
            <w:r w:rsidRPr="00C7669B">
              <w:rPr>
                <w:rFonts w:ascii="Arial" w:eastAsiaTheme="minorHAnsi" w:hAnsi="Arial" w:cs="Arial"/>
                <w:sz w:val="22"/>
                <w:szCs w:val="22"/>
                <w:lang w:eastAsia="en-US"/>
              </w:rPr>
              <w:t>Prietaisas sudarytas iš diagnostinio OKT įrenginio su integruota skaitmenine foto kamera ir atskiro atitinkamos specifikacijos kompiuterio, monitoriaus, bei reguliuojamo aukščio elektrinio staliuko.</w:t>
            </w:r>
          </w:p>
        </w:tc>
        <w:tc>
          <w:tcPr>
            <w:tcW w:w="1191" w:type="pct"/>
            <w:tcBorders>
              <w:top w:val="single" w:sz="4" w:space="0" w:color="000000"/>
              <w:left w:val="single" w:sz="4" w:space="0" w:color="000000"/>
              <w:bottom w:val="single" w:sz="4" w:space="0" w:color="000000"/>
              <w:right w:val="single" w:sz="4" w:space="0" w:color="000000"/>
            </w:tcBorders>
          </w:tcPr>
          <w:p w14:paraId="11C8B543"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BDE802A"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01E7A746"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F08DE01"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33746DF1" w14:textId="77777777" w:rsidTr="004D3A1E">
        <w:trPr>
          <w:trHeight w:val="222"/>
        </w:trPr>
        <w:tc>
          <w:tcPr>
            <w:tcW w:w="289" w:type="pct"/>
          </w:tcPr>
          <w:p w14:paraId="77EF29F8"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D2A051C"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OKT skenavimo greitis</w:t>
            </w:r>
          </w:p>
        </w:tc>
        <w:tc>
          <w:tcPr>
            <w:tcW w:w="1258" w:type="pct"/>
            <w:gridSpan w:val="2"/>
          </w:tcPr>
          <w:p w14:paraId="4012D0DF"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Ne mažiau 50000 A </w:t>
            </w:r>
            <w:proofErr w:type="spellStart"/>
            <w:r w:rsidRPr="009C07D3">
              <w:rPr>
                <w:rFonts w:ascii="Arial" w:eastAsiaTheme="minorHAnsi" w:hAnsi="Arial" w:cs="Arial"/>
                <w:sz w:val="22"/>
                <w:szCs w:val="22"/>
                <w:lang w:eastAsia="en-US"/>
              </w:rPr>
              <w:t>skenų</w:t>
            </w:r>
            <w:proofErr w:type="spellEnd"/>
            <w:r w:rsidRPr="009C07D3">
              <w:rPr>
                <w:rFonts w:ascii="Arial" w:eastAsiaTheme="minorHAnsi" w:hAnsi="Arial" w:cs="Arial"/>
                <w:sz w:val="22"/>
                <w:szCs w:val="22"/>
                <w:lang w:eastAsia="en-US"/>
              </w:rPr>
              <w:t xml:space="preserve"> per sekundę</w:t>
            </w:r>
          </w:p>
        </w:tc>
        <w:tc>
          <w:tcPr>
            <w:tcW w:w="1191" w:type="pct"/>
            <w:tcBorders>
              <w:top w:val="single" w:sz="4" w:space="0" w:color="000000"/>
              <w:left w:val="single" w:sz="4" w:space="0" w:color="000000"/>
              <w:bottom w:val="single" w:sz="4" w:space="0" w:color="000000"/>
              <w:right w:val="single" w:sz="4" w:space="0" w:color="000000"/>
            </w:tcBorders>
          </w:tcPr>
          <w:p w14:paraId="2CE3E2B7"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D7D48F1"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w:t>
            </w:r>
          </w:p>
          <w:p w14:paraId="0A6423D0"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EBEA95F"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51B59A37" w14:textId="77777777" w:rsidTr="004D3A1E">
        <w:trPr>
          <w:trHeight w:val="222"/>
        </w:trPr>
        <w:tc>
          <w:tcPr>
            <w:tcW w:w="289" w:type="pct"/>
          </w:tcPr>
          <w:p w14:paraId="14AA7485"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A44CE1B"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 xml:space="preserve">OKT skenavimo plotis (horizontaliai) tinklainėje </w:t>
            </w:r>
          </w:p>
        </w:tc>
        <w:tc>
          <w:tcPr>
            <w:tcW w:w="1258" w:type="pct"/>
            <w:gridSpan w:val="2"/>
          </w:tcPr>
          <w:p w14:paraId="6CA3E00F"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Ne mažiau 12 mm</w:t>
            </w:r>
          </w:p>
        </w:tc>
        <w:tc>
          <w:tcPr>
            <w:tcW w:w="1191" w:type="pct"/>
            <w:tcBorders>
              <w:top w:val="single" w:sz="4" w:space="0" w:color="000000"/>
              <w:left w:val="single" w:sz="4" w:space="0" w:color="000000"/>
              <w:bottom w:val="single" w:sz="4" w:space="0" w:color="000000"/>
              <w:right w:val="single" w:sz="4" w:space="0" w:color="000000"/>
            </w:tcBorders>
          </w:tcPr>
          <w:p w14:paraId="65D7A21F"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C737713"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14ABD864"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F99288E"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60791104" w14:textId="77777777" w:rsidTr="004D3A1E">
        <w:trPr>
          <w:trHeight w:val="222"/>
        </w:trPr>
        <w:tc>
          <w:tcPr>
            <w:tcW w:w="289" w:type="pct"/>
          </w:tcPr>
          <w:p w14:paraId="3EEA068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30914A7"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OKT skenavimo aukštis (vertikaliai) tinklainėje</w:t>
            </w:r>
          </w:p>
        </w:tc>
        <w:tc>
          <w:tcPr>
            <w:tcW w:w="1258" w:type="pct"/>
            <w:gridSpan w:val="2"/>
          </w:tcPr>
          <w:p w14:paraId="7E6A1990" w14:textId="77777777" w:rsidR="004D3A1E" w:rsidRPr="0079015D" w:rsidRDefault="004D3A1E" w:rsidP="00F44355">
            <w:pPr>
              <w:spacing w:after="0" w:line="240" w:lineRule="auto"/>
              <w:rPr>
                <w:rFonts w:ascii="Arial" w:eastAsia="Times New Roman" w:hAnsi="Arial" w:cs="Arial"/>
                <w:b/>
                <w:bCs/>
                <w:kern w:val="2"/>
                <w:sz w:val="22"/>
                <w:szCs w:val="22"/>
                <w:lang w:eastAsia="en-US"/>
                <w14:ligatures w14:val="standardContextual"/>
              </w:rPr>
            </w:pPr>
            <w:r w:rsidRPr="009C07D3">
              <w:rPr>
                <w:rFonts w:ascii="Arial" w:eastAsiaTheme="minorHAnsi" w:hAnsi="Arial" w:cs="Arial"/>
                <w:sz w:val="22"/>
                <w:szCs w:val="22"/>
                <w:lang w:eastAsia="en-US"/>
              </w:rPr>
              <w:t>Ne mažiau 9 mm</w:t>
            </w:r>
          </w:p>
        </w:tc>
        <w:tc>
          <w:tcPr>
            <w:tcW w:w="1191" w:type="pct"/>
            <w:tcBorders>
              <w:top w:val="single" w:sz="4" w:space="0" w:color="000000"/>
              <w:left w:val="single" w:sz="4" w:space="0" w:color="000000"/>
              <w:bottom w:val="single" w:sz="4" w:space="0" w:color="000000"/>
              <w:right w:val="single" w:sz="4" w:space="0" w:color="000000"/>
            </w:tcBorders>
          </w:tcPr>
          <w:p w14:paraId="4763B3C8"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6F4CCE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865C48A"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33196F5"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302105">
              <w:rPr>
                <w:rFonts w:ascii="Arial" w:hAnsi="Arial" w:cs="Arial"/>
                <w:i/>
                <w:iCs/>
                <w:kern w:val="2"/>
                <w:sz w:val="22"/>
                <w:szCs w:val="22"/>
                <w:lang w:eastAsia="en-US"/>
                <w14:ligatures w14:val="standardContextual"/>
              </w:rPr>
              <w:t>[pildo Tiekėjas]</w:t>
            </w:r>
          </w:p>
        </w:tc>
      </w:tr>
      <w:tr w:rsidR="004D3A1E" w14:paraId="52516267" w14:textId="77777777" w:rsidTr="004D3A1E">
        <w:trPr>
          <w:trHeight w:val="222"/>
        </w:trPr>
        <w:tc>
          <w:tcPr>
            <w:tcW w:w="289" w:type="pct"/>
          </w:tcPr>
          <w:p w14:paraId="1F8EA264"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DF8AB4C"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eastAsia="en-US"/>
              </w:rPr>
              <w:t>OKT skenavimo ašinė rezoliucija</w:t>
            </w:r>
          </w:p>
        </w:tc>
        <w:tc>
          <w:tcPr>
            <w:tcW w:w="1258" w:type="pct"/>
            <w:gridSpan w:val="2"/>
          </w:tcPr>
          <w:p w14:paraId="07D05BB4"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6 µm</w:t>
            </w:r>
          </w:p>
        </w:tc>
        <w:tc>
          <w:tcPr>
            <w:tcW w:w="1191" w:type="pct"/>
            <w:tcBorders>
              <w:top w:val="single" w:sz="4" w:space="0" w:color="000000"/>
              <w:left w:val="single" w:sz="4" w:space="0" w:color="000000"/>
              <w:bottom w:val="single" w:sz="4" w:space="0" w:color="000000"/>
              <w:right w:val="single" w:sz="4" w:space="0" w:color="000000"/>
            </w:tcBorders>
          </w:tcPr>
          <w:p w14:paraId="5F5ABABE"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6BAE743"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3B46BFD2"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439A3E6"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5D249777" w14:textId="77777777" w:rsidTr="004D3A1E">
        <w:trPr>
          <w:trHeight w:val="222"/>
        </w:trPr>
        <w:tc>
          <w:tcPr>
            <w:tcW w:w="289" w:type="pct"/>
          </w:tcPr>
          <w:p w14:paraId="1738FDEF"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00727E9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eastAsia="en-US"/>
              </w:rPr>
              <w:t>OKT skenavimo šoninė rezoliucija</w:t>
            </w:r>
          </w:p>
        </w:tc>
        <w:tc>
          <w:tcPr>
            <w:tcW w:w="1258" w:type="pct"/>
            <w:gridSpan w:val="2"/>
          </w:tcPr>
          <w:p w14:paraId="436FF6C5"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20 µm</w:t>
            </w:r>
          </w:p>
        </w:tc>
        <w:tc>
          <w:tcPr>
            <w:tcW w:w="1191" w:type="pct"/>
            <w:tcBorders>
              <w:top w:val="single" w:sz="4" w:space="0" w:color="000000"/>
              <w:left w:val="single" w:sz="4" w:space="0" w:color="000000"/>
              <w:bottom w:val="single" w:sz="4" w:space="0" w:color="000000"/>
              <w:right w:val="single" w:sz="4" w:space="0" w:color="000000"/>
            </w:tcBorders>
          </w:tcPr>
          <w:p w14:paraId="395AC413"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A20F06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CB3A804"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34159F2"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5613BFC1" w14:textId="77777777" w:rsidTr="004D3A1E">
        <w:trPr>
          <w:trHeight w:val="222"/>
        </w:trPr>
        <w:tc>
          <w:tcPr>
            <w:tcW w:w="289" w:type="pct"/>
          </w:tcPr>
          <w:p w14:paraId="5FD3A86A"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5F0D1D5"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imes New Roman" w:hAnsi="Arial" w:cs="Arial"/>
                <w:noProof/>
                <w:sz w:val="22"/>
                <w:szCs w:val="22"/>
                <w:lang w:val="en-AU" w:eastAsia="en-US"/>
              </w:rPr>
              <w:t>OKT skenavimo šablonai</w:t>
            </w:r>
          </w:p>
        </w:tc>
        <w:tc>
          <w:tcPr>
            <w:tcW w:w="1258" w:type="pct"/>
            <w:gridSpan w:val="2"/>
          </w:tcPr>
          <w:p w14:paraId="12AEC4BA" w14:textId="77777777" w:rsidR="004D3A1E" w:rsidRPr="004D3A1E" w:rsidRDefault="004D3A1E" w:rsidP="00F44355">
            <w:pPr>
              <w:spacing w:after="0" w:line="240" w:lineRule="auto"/>
              <w:rPr>
                <w:rFonts w:ascii="Arial" w:eastAsiaTheme="minorHAnsi" w:hAnsi="Arial" w:cs="Arial"/>
                <w:sz w:val="22"/>
                <w:szCs w:val="22"/>
                <w:lang w:eastAsia="en-US"/>
              </w:rPr>
            </w:pPr>
            <w:r w:rsidRPr="004D3A1E">
              <w:rPr>
                <w:rFonts w:ascii="Arial" w:eastAsiaTheme="minorHAnsi" w:hAnsi="Arial" w:cs="Arial"/>
                <w:sz w:val="22"/>
                <w:szCs w:val="22"/>
                <w:lang w:eastAsia="en-US"/>
              </w:rPr>
              <w:t>3D tūrinis skenavimas;</w:t>
            </w:r>
          </w:p>
          <w:p w14:paraId="55BDE012" w14:textId="77777777" w:rsidR="004D3A1E" w:rsidRPr="0079015D" w:rsidRDefault="004D3A1E" w:rsidP="00F44355">
            <w:pPr>
              <w:spacing w:after="0" w:line="240" w:lineRule="auto"/>
              <w:rPr>
                <w:rFonts w:ascii="Arial" w:eastAsiaTheme="minorHAnsi" w:hAnsi="Arial" w:cs="Arial"/>
                <w:sz w:val="22"/>
                <w:szCs w:val="22"/>
                <w:lang w:eastAsia="en-US"/>
              </w:rPr>
            </w:pPr>
            <w:r w:rsidRPr="004D3A1E">
              <w:rPr>
                <w:rFonts w:ascii="Arial" w:eastAsiaTheme="minorHAnsi" w:hAnsi="Arial" w:cs="Arial"/>
                <w:sz w:val="22"/>
                <w:szCs w:val="22"/>
                <w:lang w:eastAsia="en-US"/>
              </w:rPr>
              <w:t xml:space="preserve">linijinis skenavimas (linijos, persikryžiuojančių linijų, </w:t>
            </w:r>
            <w:proofErr w:type="spellStart"/>
            <w:r w:rsidRPr="004D3A1E">
              <w:rPr>
                <w:rFonts w:ascii="Arial" w:eastAsiaTheme="minorHAnsi" w:hAnsi="Arial" w:cs="Arial"/>
                <w:sz w:val="22"/>
                <w:szCs w:val="22"/>
                <w:lang w:eastAsia="en-US"/>
              </w:rPr>
              <w:t>radialinis</w:t>
            </w:r>
            <w:proofErr w:type="spellEnd"/>
            <w:r w:rsidRPr="004D3A1E">
              <w:rPr>
                <w:rFonts w:ascii="Arial" w:eastAsiaTheme="minorHAnsi" w:hAnsi="Arial" w:cs="Arial"/>
                <w:sz w:val="22"/>
                <w:szCs w:val="22"/>
                <w:lang w:eastAsia="en-US"/>
              </w:rPr>
              <w:t>)</w:t>
            </w:r>
          </w:p>
        </w:tc>
        <w:tc>
          <w:tcPr>
            <w:tcW w:w="1191" w:type="pct"/>
            <w:tcBorders>
              <w:top w:val="single" w:sz="4" w:space="0" w:color="000000"/>
              <w:left w:val="single" w:sz="4" w:space="0" w:color="000000"/>
              <w:bottom w:val="single" w:sz="4" w:space="0" w:color="000000"/>
              <w:right w:val="single" w:sz="4" w:space="0" w:color="000000"/>
            </w:tcBorders>
          </w:tcPr>
          <w:p w14:paraId="7049FDD5"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19BD8C7"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32D822A2"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8B5809D"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15EB55D5" w14:textId="77777777" w:rsidTr="004D3A1E">
        <w:trPr>
          <w:trHeight w:val="222"/>
        </w:trPr>
        <w:tc>
          <w:tcPr>
            <w:tcW w:w="289" w:type="pct"/>
          </w:tcPr>
          <w:p w14:paraId="4EB03C35"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A02A913"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Minimalus vyzdžio diametras OKT tyrimui</w:t>
            </w:r>
          </w:p>
        </w:tc>
        <w:tc>
          <w:tcPr>
            <w:tcW w:w="1258" w:type="pct"/>
            <w:gridSpan w:val="2"/>
          </w:tcPr>
          <w:p w14:paraId="331D265A"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2,5 mm</w:t>
            </w:r>
          </w:p>
        </w:tc>
        <w:tc>
          <w:tcPr>
            <w:tcW w:w="1191" w:type="pct"/>
            <w:tcBorders>
              <w:top w:val="single" w:sz="4" w:space="0" w:color="000000"/>
              <w:left w:val="single" w:sz="4" w:space="0" w:color="000000"/>
              <w:bottom w:val="single" w:sz="4" w:space="0" w:color="000000"/>
              <w:right w:val="single" w:sz="4" w:space="0" w:color="000000"/>
            </w:tcBorders>
          </w:tcPr>
          <w:p w14:paraId="00552C7B"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E981FB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0D0639DB"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2E63E28"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3DFB7811" w14:textId="77777777" w:rsidTr="004D3A1E">
        <w:trPr>
          <w:trHeight w:val="222"/>
        </w:trPr>
        <w:tc>
          <w:tcPr>
            <w:tcW w:w="289" w:type="pct"/>
          </w:tcPr>
          <w:p w14:paraId="004882EE"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8D3A0ED"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Minimalus vyzdžio diametras akies dugno fotografijos tyrimui</w:t>
            </w:r>
          </w:p>
        </w:tc>
        <w:tc>
          <w:tcPr>
            <w:tcW w:w="1258" w:type="pct"/>
            <w:gridSpan w:val="2"/>
          </w:tcPr>
          <w:p w14:paraId="69D19457"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Ne daugiau 3,3 mm</w:t>
            </w:r>
          </w:p>
        </w:tc>
        <w:tc>
          <w:tcPr>
            <w:tcW w:w="1191" w:type="pct"/>
            <w:tcBorders>
              <w:top w:val="single" w:sz="4" w:space="0" w:color="000000"/>
              <w:left w:val="single" w:sz="4" w:space="0" w:color="000000"/>
              <w:bottom w:val="single" w:sz="4" w:space="0" w:color="000000"/>
              <w:right w:val="single" w:sz="4" w:space="0" w:color="000000"/>
            </w:tcBorders>
          </w:tcPr>
          <w:p w14:paraId="2834B994"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09C032CB"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2D6948EC"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B1F61E6"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4D3A1E" w14:paraId="72CE8E79" w14:textId="77777777" w:rsidTr="004D3A1E">
        <w:trPr>
          <w:trHeight w:val="222"/>
        </w:trPr>
        <w:tc>
          <w:tcPr>
            <w:tcW w:w="289" w:type="pct"/>
          </w:tcPr>
          <w:p w14:paraId="7339F0E6" w14:textId="77777777" w:rsidR="004D3A1E" w:rsidRPr="0079015D" w:rsidRDefault="004D3A1E" w:rsidP="004D3A1E">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10DBA7C3" w14:textId="77777777" w:rsidR="004D3A1E" w:rsidRPr="0079015D" w:rsidRDefault="004D3A1E" w:rsidP="00F44355">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Akies dugno fotografijų tipai</w:t>
            </w:r>
          </w:p>
        </w:tc>
        <w:tc>
          <w:tcPr>
            <w:tcW w:w="1258" w:type="pct"/>
            <w:gridSpan w:val="2"/>
          </w:tcPr>
          <w:p w14:paraId="30E65E11" w14:textId="76771CBD" w:rsidR="004D3A1E" w:rsidRPr="0079015D" w:rsidRDefault="002C6A0A" w:rsidP="004D3A1E">
            <w:pPr>
              <w:tabs>
                <w:tab w:val="left" w:pos="158"/>
              </w:tabs>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 xml:space="preserve">Spalvota ir </w:t>
            </w:r>
            <w:proofErr w:type="spellStart"/>
            <w:r w:rsidRPr="002C6A0A">
              <w:rPr>
                <w:rFonts w:ascii="Arial" w:eastAsiaTheme="minorHAnsi" w:hAnsi="Arial" w:cs="Arial"/>
                <w:sz w:val="22"/>
                <w:szCs w:val="22"/>
                <w:lang w:eastAsia="en-US"/>
              </w:rPr>
              <w:t>beraudė</w:t>
            </w:r>
            <w:proofErr w:type="spellEnd"/>
            <w:r w:rsidRPr="002C6A0A">
              <w:rPr>
                <w:rFonts w:ascii="Arial" w:eastAsiaTheme="minorHAnsi" w:hAnsi="Arial" w:cs="Arial"/>
                <w:sz w:val="22"/>
                <w:szCs w:val="22"/>
                <w:lang w:eastAsia="en-US"/>
              </w:rPr>
              <w:t xml:space="preserve"> (</w:t>
            </w:r>
            <w:proofErr w:type="spellStart"/>
            <w:r w:rsidRPr="002C6A0A">
              <w:rPr>
                <w:rFonts w:ascii="Arial" w:eastAsiaTheme="minorHAnsi" w:hAnsi="Arial" w:cs="Arial"/>
                <w:sz w:val="22"/>
                <w:szCs w:val="22"/>
                <w:lang w:eastAsia="en-US"/>
              </w:rPr>
              <w:t>Red-free</w:t>
            </w:r>
            <w:proofErr w:type="spellEnd"/>
            <w:r w:rsidRPr="002C6A0A">
              <w:rPr>
                <w:rFonts w:ascii="Arial" w:eastAsiaTheme="minorHAnsi" w:hAnsi="Arial" w:cs="Arial"/>
                <w:sz w:val="22"/>
                <w:szCs w:val="22"/>
                <w:lang w:eastAsia="en-US"/>
              </w:rPr>
              <w:t>), arba jiems lygiaverčiai dugno atvaizdavimo tipai</w:t>
            </w:r>
          </w:p>
        </w:tc>
        <w:tc>
          <w:tcPr>
            <w:tcW w:w="1191" w:type="pct"/>
            <w:tcBorders>
              <w:top w:val="single" w:sz="4" w:space="0" w:color="000000"/>
              <w:left w:val="single" w:sz="4" w:space="0" w:color="000000"/>
              <w:bottom w:val="single" w:sz="4" w:space="0" w:color="000000"/>
              <w:right w:val="single" w:sz="4" w:space="0" w:color="000000"/>
            </w:tcBorders>
          </w:tcPr>
          <w:p w14:paraId="10B37C48" w14:textId="77777777" w:rsidR="004D3A1E" w:rsidRDefault="004D3A1E" w:rsidP="00F44355">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0B3A248" w14:textId="77777777" w:rsidR="004D3A1E" w:rsidRDefault="004D3A1E" w:rsidP="00F44355">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166592FA" w14:textId="77777777" w:rsidR="004D3A1E" w:rsidRPr="0079015D" w:rsidRDefault="004D3A1E" w:rsidP="00F44355">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w:t>
            </w:r>
            <w:r>
              <w:rPr>
                <w:rFonts w:ascii="Arial" w:hAnsi="Arial" w:cs="Arial"/>
                <w:i/>
                <w:iCs/>
                <w:sz w:val="22"/>
                <w:szCs w:val="22"/>
              </w:rPr>
              <w:lastRenderedPageBreak/>
              <w:t xml:space="preserve">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1C44D19" w14:textId="77777777" w:rsidR="004D3A1E" w:rsidRPr="0079015D" w:rsidRDefault="004D3A1E" w:rsidP="00F44355">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lastRenderedPageBreak/>
              <w:t>[pildo Tiekėjas]</w:t>
            </w:r>
          </w:p>
        </w:tc>
      </w:tr>
      <w:tr w:rsidR="002C6A0A" w14:paraId="1A2305D3" w14:textId="77777777" w:rsidTr="004D3A1E">
        <w:trPr>
          <w:trHeight w:val="222"/>
        </w:trPr>
        <w:tc>
          <w:tcPr>
            <w:tcW w:w="289" w:type="pct"/>
          </w:tcPr>
          <w:p w14:paraId="71B28644"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8D5D40A" w14:textId="5493EA53" w:rsidR="002C6A0A" w:rsidRPr="009C07D3" w:rsidRDefault="002C6A0A" w:rsidP="002C6A0A">
            <w:pPr>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Spalvoto akies dugno fotografavimo kampas</w:t>
            </w:r>
          </w:p>
        </w:tc>
        <w:tc>
          <w:tcPr>
            <w:tcW w:w="1258" w:type="pct"/>
            <w:gridSpan w:val="2"/>
          </w:tcPr>
          <w:p w14:paraId="6E346EDA" w14:textId="4991464C" w:rsidR="002C6A0A" w:rsidRPr="009C07D3" w:rsidRDefault="002C6A0A" w:rsidP="002C6A0A">
            <w:pPr>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Ne mažiau 45°</w:t>
            </w:r>
          </w:p>
        </w:tc>
        <w:tc>
          <w:tcPr>
            <w:tcW w:w="1191" w:type="pct"/>
            <w:tcBorders>
              <w:top w:val="single" w:sz="4" w:space="0" w:color="000000"/>
              <w:left w:val="single" w:sz="4" w:space="0" w:color="000000"/>
              <w:bottom w:val="single" w:sz="4" w:space="0" w:color="000000"/>
              <w:right w:val="single" w:sz="4" w:space="0" w:color="000000"/>
            </w:tcBorders>
          </w:tcPr>
          <w:p w14:paraId="54145051"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A5A17AE"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6C8D9E9F" w14:textId="5D4B4966" w:rsidR="002C6A0A" w:rsidRDefault="002C6A0A" w:rsidP="002C6A0A">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00B3CAA" w14:textId="1DF6C455" w:rsidR="002C6A0A" w:rsidRPr="009C3AC1" w:rsidRDefault="002C6A0A" w:rsidP="002C6A0A">
            <w:pPr>
              <w:spacing w:after="0" w:line="240" w:lineRule="auto"/>
              <w:jc w:val="center"/>
              <w:rPr>
                <w:rFonts w:ascii="Arial" w:hAnsi="Arial" w:cs="Arial"/>
                <w:i/>
                <w:iCs/>
                <w:kern w:val="2"/>
                <w:sz w:val="22"/>
                <w:szCs w:val="22"/>
                <w:lang w:eastAsia="en-US"/>
                <w14:ligatures w14:val="standardContextual"/>
              </w:rPr>
            </w:pPr>
            <w:r w:rsidRPr="0078072D">
              <w:rPr>
                <w:rFonts w:ascii="Arial" w:hAnsi="Arial" w:cs="Arial"/>
                <w:i/>
                <w:iCs/>
                <w:kern w:val="2"/>
                <w:sz w:val="22"/>
                <w:szCs w:val="22"/>
                <w:lang w:eastAsia="en-US"/>
                <w14:ligatures w14:val="standardContextual"/>
              </w:rPr>
              <w:t>[pildo Tiekėjas]</w:t>
            </w:r>
          </w:p>
        </w:tc>
      </w:tr>
      <w:tr w:rsidR="002C6A0A" w14:paraId="30D6CDD2" w14:textId="77777777" w:rsidTr="004D3A1E">
        <w:trPr>
          <w:trHeight w:val="222"/>
        </w:trPr>
        <w:tc>
          <w:tcPr>
            <w:tcW w:w="289" w:type="pct"/>
          </w:tcPr>
          <w:p w14:paraId="55A9CD58"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E379A68" w14:textId="06CFCD8A" w:rsidR="002C6A0A" w:rsidRPr="009C07D3" w:rsidRDefault="002C6A0A" w:rsidP="002C6A0A">
            <w:pPr>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Paciento žvilgsnio vidinės fiksacijos taškų skaičius akies dugno periferijos fotografavimui</w:t>
            </w:r>
          </w:p>
        </w:tc>
        <w:tc>
          <w:tcPr>
            <w:tcW w:w="1258" w:type="pct"/>
            <w:gridSpan w:val="2"/>
          </w:tcPr>
          <w:p w14:paraId="662B8822" w14:textId="1E612F9B" w:rsidR="002C6A0A" w:rsidRPr="009C07D3" w:rsidRDefault="002C6A0A" w:rsidP="002C6A0A">
            <w:pPr>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 xml:space="preserve">Ne mažiau </w:t>
            </w:r>
            <w:r>
              <w:rPr>
                <w:rFonts w:ascii="Arial" w:eastAsiaTheme="minorHAnsi" w:hAnsi="Arial" w:cs="Arial"/>
                <w:sz w:val="22"/>
                <w:szCs w:val="22"/>
                <w:lang w:eastAsia="en-US"/>
              </w:rPr>
              <w:t>7</w:t>
            </w:r>
            <w:r w:rsidRPr="002C6A0A">
              <w:rPr>
                <w:rFonts w:ascii="Arial" w:eastAsiaTheme="minorHAnsi" w:hAnsi="Arial" w:cs="Arial"/>
                <w:sz w:val="22"/>
                <w:szCs w:val="22"/>
                <w:lang w:eastAsia="en-US"/>
              </w:rPr>
              <w:t xml:space="preserve"> taškai</w:t>
            </w:r>
          </w:p>
        </w:tc>
        <w:tc>
          <w:tcPr>
            <w:tcW w:w="1191" w:type="pct"/>
            <w:tcBorders>
              <w:top w:val="single" w:sz="4" w:space="0" w:color="000000"/>
              <w:left w:val="single" w:sz="4" w:space="0" w:color="000000"/>
              <w:bottom w:val="single" w:sz="4" w:space="0" w:color="000000"/>
              <w:right w:val="single" w:sz="4" w:space="0" w:color="000000"/>
            </w:tcBorders>
          </w:tcPr>
          <w:p w14:paraId="6227C37D"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A837491"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2F126009" w14:textId="101BB692" w:rsidR="002C6A0A" w:rsidRDefault="002C6A0A" w:rsidP="002C6A0A">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EFB1162" w14:textId="1ED6B178" w:rsidR="002C6A0A" w:rsidRPr="009C3AC1" w:rsidRDefault="002C6A0A" w:rsidP="002C6A0A">
            <w:pPr>
              <w:spacing w:after="0" w:line="240" w:lineRule="auto"/>
              <w:jc w:val="center"/>
              <w:rPr>
                <w:rFonts w:ascii="Arial" w:hAnsi="Arial" w:cs="Arial"/>
                <w:i/>
                <w:iCs/>
                <w:kern w:val="2"/>
                <w:sz w:val="22"/>
                <w:szCs w:val="22"/>
                <w:lang w:eastAsia="en-US"/>
                <w14:ligatures w14:val="standardContextual"/>
              </w:rPr>
            </w:pPr>
            <w:r w:rsidRPr="0078072D">
              <w:rPr>
                <w:rFonts w:ascii="Arial" w:hAnsi="Arial" w:cs="Arial"/>
                <w:i/>
                <w:iCs/>
                <w:kern w:val="2"/>
                <w:sz w:val="22"/>
                <w:szCs w:val="22"/>
                <w:lang w:eastAsia="en-US"/>
                <w14:ligatures w14:val="standardContextual"/>
              </w:rPr>
              <w:t>[pildo Tiekėjas]</w:t>
            </w:r>
          </w:p>
        </w:tc>
      </w:tr>
      <w:tr w:rsidR="002C6A0A" w14:paraId="0FE66029" w14:textId="77777777" w:rsidTr="004D3A1E">
        <w:trPr>
          <w:trHeight w:val="222"/>
        </w:trPr>
        <w:tc>
          <w:tcPr>
            <w:tcW w:w="289" w:type="pct"/>
          </w:tcPr>
          <w:p w14:paraId="2C1F6A2B"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4C38B482" w14:textId="40239A09" w:rsidR="002C6A0A" w:rsidRPr="009C07D3" w:rsidRDefault="002C6A0A" w:rsidP="002C6A0A">
            <w:pPr>
              <w:spacing w:after="0" w:line="240" w:lineRule="auto"/>
              <w:rPr>
                <w:rFonts w:ascii="Arial" w:eastAsiaTheme="minorHAnsi" w:hAnsi="Arial" w:cs="Arial"/>
                <w:sz w:val="22"/>
                <w:szCs w:val="22"/>
                <w:lang w:eastAsia="en-US"/>
              </w:rPr>
            </w:pPr>
            <w:r w:rsidRPr="002C6A0A">
              <w:rPr>
                <w:rFonts w:ascii="Arial" w:eastAsiaTheme="minorHAnsi" w:hAnsi="Arial" w:cs="Arial"/>
                <w:sz w:val="22"/>
                <w:szCs w:val="22"/>
                <w:lang w:eastAsia="en-US"/>
              </w:rPr>
              <w:t>Lietimui jautraus monitoriaus pasukimo ir pasvirimo kampas</w:t>
            </w:r>
          </w:p>
        </w:tc>
        <w:tc>
          <w:tcPr>
            <w:tcW w:w="1258" w:type="pct"/>
            <w:gridSpan w:val="2"/>
          </w:tcPr>
          <w:p w14:paraId="3671C49B" w14:textId="298A6276" w:rsidR="002C6A0A" w:rsidRPr="009C07D3" w:rsidRDefault="002C6A0A" w:rsidP="002C6A0A">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L</w:t>
            </w:r>
            <w:r w:rsidRPr="002C6A0A">
              <w:rPr>
                <w:rFonts w:ascii="Arial" w:eastAsiaTheme="minorHAnsi" w:hAnsi="Arial" w:cs="Arial"/>
                <w:sz w:val="22"/>
                <w:szCs w:val="22"/>
                <w:lang w:eastAsia="en-US"/>
              </w:rPr>
              <w:t>ietimui jautrus ekranas turi būti reguliuojamas bent apie vieną ašį (vertikalią arba horizontalią)</w:t>
            </w:r>
          </w:p>
        </w:tc>
        <w:tc>
          <w:tcPr>
            <w:tcW w:w="1191" w:type="pct"/>
            <w:tcBorders>
              <w:top w:val="single" w:sz="4" w:space="0" w:color="000000"/>
              <w:left w:val="single" w:sz="4" w:space="0" w:color="000000"/>
              <w:bottom w:val="single" w:sz="4" w:space="0" w:color="000000"/>
              <w:right w:val="single" w:sz="4" w:space="0" w:color="000000"/>
            </w:tcBorders>
          </w:tcPr>
          <w:p w14:paraId="7A6C8108"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F9F1654"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45903EEE" w14:textId="05286943" w:rsidR="002C6A0A" w:rsidRDefault="002C6A0A" w:rsidP="002C6A0A">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9CB1B62" w14:textId="7A5AF385" w:rsidR="002C6A0A" w:rsidRPr="009C3AC1" w:rsidRDefault="002C6A0A" w:rsidP="002C6A0A">
            <w:pPr>
              <w:spacing w:after="0" w:line="240" w:lineRule="auto"/>
              <w:jc w:val="center"/>
              <w:rPr>
                <w:rFonts w:ascii="Arial" w:hAnsi="Arial" w:cs="Arial"/>
                <w:i/>
                <w:iCs/>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2C6A0A" w14:paraId="23D4A221" w14:textId="77777777" w:rsidTr="004D3A1E">
        <w:trPr>
          <w:trHeight w:val="222"/>
        </w:trPr>
        <w:tc>
          <w:tcPr>
            <w:tcW w:w="289" w:type="pct"/>
          </w:tcPr>
          <w:p w14:paraId="793CA25A"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62D5434"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Galimybė tyrimą atlikti pusiau automatiniu ir rankiniu režimu</w:t>
            </w:r>
          </w:p>
        </w:tc>
        <w:tc>
          <w:tcPr>
            <w:tcW w:w="1258" w:type="pct"/>
            <w:gridSpan w:val="2"/>
          </w:tcPr>
          <w:p w14:paraId="34040BF5"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1A4B9145"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010C0AF"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7DBCD163"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FB9BEAC"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2C6A0A" w14:paraId="71F831E3" w14:textId="77777777" w:rsidTr="004D3A1E">
        <w:trPr>
          <w:trHeight w:val="222"/>
        </w:trPr>
        <w:tc>
          <w:tcPr>
            <w:tcW w:w="289" w:type="pct"/>
          </w:tcPr>
          <w:p w14:paraId="2F5C9711"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0E1C412B" w14:textId="77777777" w:rsidR="002C6A0A" w:rsidRPr="0079015D" w:rsidRDefault="002C6A0A" w:rsidP="002C6A0A">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Specialus režimas pacientams su katarakta</w:t>
            </w:r>
          </w:p>
        </w:tc>
        <w:tc>
          <w:tcPr>
            <w:tcW w:w="1258" w:type="pct"/>
            <w:gridSpan w:val="2"/>
          </w:tcPr>
          <w:p w14:paraId="6CFCC7DD"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388C60CC"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C6A4128"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13528D93"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10E058F"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2C6A0A" w14:paraId="60DF21C2" w14:textId="77777777" w:rsidTr="004D3A1E">
        <w:trPr>
          <w:trHeight w:val="222"/>
        </w:trPr>
        <w:tc>
          <w:tcPr>
            <w:tcW w:w="289" w:type="pct"/>
          </w:tcPr>
          <w:p w14:paraId="599EC3BB"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AC7B6EC" w14:textId="77777777" w:rsidR="002C6A0A" w:rsidRPr="0079015D" w:rsidRDefault="002C6A0A" w:rsidP="002C6A0A">
            <w:pPr>
              <w:spacing w:after="0" w:line="240" w:lineRule="auto"/>
              <w:rPr>
                <w:rFonts w:ascii="Arial" w:eastAsiaTheme="minorHAnsi" w:hAnsi="Arial" w:cs="Arial"/>
                <w:sz w:val="22"/>
                <w:szCs w:val="22"/>
                <w:lang w:eastAsia="en-US"/>
              </w:rPr>
            </w:pPr>
            <w:proofErr w:type="spellStart"/>
            <w:r w:rsidRPr="009C07D3">
              <w:rPr>
                <w:rFonts w:ascii="Arial" w:eastAsiaTheme="minorHAnsi" w:hAnsi="Arial" w:cs="Arial"/>
                <w:sz w:val="22"/>
                <w:szCs w:val="22"/>
                <w:lang w:val="en-US" w:eastAsia="en-US"/>
              </w:rPr>
              <w:t>Makulos</w:t>
            </w:r>
            <w:proofErr w:type="spellEnd"/>
            <w:r w:rsidRPr="009C07D3">
              <w:rPr>
                <w:rFonts w:ascii="Arial" w:eastAsiaTheme="minorHAnsi" w:hAnsi="Arial" w:cs="Arial"/>
                <w:sz w:val="22"/>
                <w:szCs w:val="22"/>
                <w:lang w:val="en-US" w:eastAsia="en-US"/>
              </w:rPr>
              <w:t xml:space="preserve"> </w:t>
            </w:r>
            <w:proofErr w:type="spellStart"/>
            <w:r w:rsidRPr="009C07D3">
              <w:rPr>
                <w:rFonts w:ascii="Arial" w:eastAsiaTheme="minorHAnsi" w:hAnsi="Arial" w:cs="Arial"/>
                <w:sz w:val="22"/>
                <w:szCs w:val="22"/>
                <w:lang w:val="en-US" w:eastAsia="en-US"/>
              </w:rPr>
              <w:t>analiz</w:t>
            </w:r>
            <w:proofErr w:type="spellEnd"/>
            <w:r w:rsidRPr="009C07D3">
              <w:rPr>
                <w:rFonts w:ascii="Arial" w:eastAsiaTheme="minorHAnsi" w:hAnsi="Arial" w:cs="Arial"/>
                <w:sz w:val="22"/>
                <w:szCs w:val="22"/>
                <w:lang w:eastAsia="en-US"/>
              </w:rPr>
              <w:t>ės galimybės</w:t>
            </w:r>
          </w:p>
        </w:tc>
        <w:tc>
          <w:tcPr>
            <w:tcW w:w="1258" w:type="pct"/>
            <w:gridSpan w:val="2"/>
          </w:tcPr>
          <w:p w14:paraId="1AC15B58"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Tinklainės storio nustatymas, palyginimas su normatyvine duomenų baze, aukštos rezoliucijos skenavimas</w:t>
            </w:r>
          </w:p>
        </w:tc>
        <w:tc>
          <w:tcPr>
            <w:tcW w:w="1191" w:type="pct"/>
            <w:tcBorders>
              <w:top w:val="single" w:sz="4" w:space="0" w:color="000000"/>
              <w:left w:val="single" w:sz="4" w:space="0" w:color="000000"/>
              <w:bottom w:val="single" w:sz="4" w:space="0" w:color="000000"/>
              <w:right w:val="single" w:sz="4" w:space="0" w:color="000000"/>
            </w:tcBorders>
          </w:tcPr>
          <w:p w14:paraId="06DA101F"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6A91DDF"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 </w:t>
            </w:r>
          </w:p>
          <w:p w14:paraId="50EBDF15"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3DA1833"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t>[pildo Tiekėjas]</w:t>
            </w:r>
          </w:p>
        </w:tc>
      </w:tr>
      <w:tr w:rsidR="002C6A0A" w14:paraId="77BBF0E0" w14:textId="77777777" w:rsidTr="004D3A1E">
        <w:trPr>
          <w:trHeight w:val="222"/>
        </w:trPr>
        <w:tc>
          <w:tcPr>
            <w:tcW w:w="289" w:type="pct"/>
          </w:tcPr>
          <w:p w14:paraId="6B1F0962"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20B7E2C0"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Glaukomos analizės galimybės</w:t>
            </w:r>
          </w:p>
        </w:tc>
        <w:tc>
          <w:tcPr>
            <w:tcW w:w="1258" w:type="pct"/>
            <w:gridSpan w:val="2"/>
          </w:tcPr>
          <w:p w14:paraId="498293D3" w14:textId="77777777" w:rsidR="002C6A0A" w:rsidRPr="009C07D3" w:rsidRDefault="002C6A0A" w:rsidP="002C6A0A">
            <w:pPr>
              <w:numPr>
                <w:ilvl w:val="0"/>
                <w:numId w:val="25"/>
              </w:numPr>
              <w:tabs>
                <w:tab w:val="left" w:pos="158"/>
              </w:tabs>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 xml:space="preserve">Tinklainės nervinių skaidulų sluoksnio </w:t>
            </w:r>
            <w:r w:rsidRPr="009C07D3">
              <w:rPr>
                <w:rFonts w:ascii="Arial" w:eastAsiaTheme="minorHAnsi" w:hAnsi="Arial" w:cs="Arial"/>
                <w:sz w:val="22"/>
                <w:szCs w:val="22"/>
                <w:lang w:eastAsia="en-US"/>
              </w:rPr>
              <w:lastRenderedPageBreak/>
              <w:t>(</w:t>
            </w:r>
            <w:r w:rsidRPr="009C07D3">
              <w:rPr>
                <w:rFonts w:ascii="Arial" w:eastAsiaTheme="minorHAnsi" w:hAnsi="Arial" w:cs="Arial"/>
                <w:i/>
                <w:sz w:val="22"/>
                <w:szCs w:val="22"/>
                <w:lang w:eastAsia="en-US"/>
              </w:rPr>
              <w:t>angliškai: RNFL</w:t>
            </w:r>
            <w:r w:rsidRPr="009C07D3">
              <w:rPr>
                <w:rFonts w:ascii="Arial" w:eastAsiaTheme="minorHAnsi" w:hAnsi="Arial" w:cs="Arial"/>
                <w:sz w:val="22"/>
                <w:szCs w:val="22"/>
                <w:lang w:eastAsia="en-US"/>
              </w:rPr>
              <w:t>) storio apie optinį diską nustatymas, palyginimas su normatyvine duomenų baze;</w:t>
            </w:r>
          </w:p>
          <w:p w14:paraId="316DE8B5" w14:textId="77777777" w:rsidR="002C6A0A" w:rsidRPr="009C07D3" w:rsidRDefault="002C6A0A" w:rsidP="002C6A0A">
            <w:pPr>
              <w:numPr>
                <w:ilvl w:val="0"/>
                <w:numId w:val="25"/>
              </w:numPr>
              <w:tabs>
                <w:tab w:val="left" w:pos="158"/>
              </w:tabs>
              <w:spacing w:after="0" w:line="240" w:lineRule="auto"/>
              <w:rPr>
                <w:rFonts w:ascii="Arial" w:eastAsiaTheme="minorHAnsi" w:hAnsi="Arial" w:cs="Arial"/>
                <w:sz w:val="22"/>
                <w:szCs w:val="22"/>
                <w:lang w:eastAsia="en-US"/>
              </w:rPr>
            </w:pPr>
            <w:proofErr w:type="spellStart"/>
            <w:r w:rsidRPr="009C07D3">
              <w:rPr>
                <w:rFonts w:ascii="Arial" w:eastAsiaTheme="minorHAnsi" w:hAnsi="Arial" w:cs="Arial"/>
                <w:sz w:val="22"/>
                <w:szCs w:val="22"/>
                <w:lang w:eastAsia="en-US"/>
              </w:rPr>
              <w:t>Ganglinių</w:t>
            </w:r>
            <w:proofErr w:type="spellEnd"/>
            <w:r w:rsidRPr="009C07D3">
              <w:rPr>
                <w:rFonts w:ascii="Arial" w:eastAsiaTheme="minorHAnsi" w:hAnsi="Arial" w:cs="Arial"/>
                <w:sz w:val="22"/>
                <w:szCs w:val="22"/>
                <w:lang w:eastAsia="en-US"/>
              </w:rPr>
              <w:t xml:space="preserve"> ląstelių sluoksnio storio </w:t>
            </w:r>
            <w:proofErr w:type="spellStart"/>
            <w:r w:rsidRPr="009C07D3">
              <w:rPr>
                <w:rFonts w:ascii="Arial" w:eastAsiaTheme="minorHAnsi" w:hAnsi="Arial" w:cs="Arial"/>
                <w:sz w:val="22"/>
                <w:szCs w:val="22"/>
                <w:lang w:eastAsia="en-US"/>
              </w:rPr>
              <w:t>makuloje</w:t>
            </w:r>
            <w:proofErr w:type="spellEnd"/>
            <w:r w:rsidRPr="009C07D3">
              <w:rPr>
                <w:rFonts w:ascii="Arial" w:eastAsiaTheme="minorHAnsi" w:hAnsi="Arial" w:cs="Arial"/>
                <w:sz w:val="22"/>
                <w:szCs w:val="22"/>
                <w:lang w:eastAsia="en-US"/>
              </w:rPr>
              <w:t xml:space="preserve"> nustatymas, palyginimas su normatyvine duomenų baze.</w:t>
            </w:r>
          </w:p>
          <w:p w14:paraId="60854689" w14:textId="77777777" w:rsidR="002C6A0A" w:rsidRPr="009C07D3" w:rsidRDefault="002C6A0A" w:rsidP="002C6A0A">
            <w:pPr>
              <w:numPr>
                <w:ilvl w:val="0"/>
                <w:numId w:val="25"/>
              </w:numPr>
              <w:tabs>
                <w:tab w:val="left" w:pos="158"/>
              </w:tabs>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Pokyčių tendencijų nustatymas (remiantis ≥4</w:t>
            </w:r>
            <w:r w:rsidRPr="009C07D3">
              <w:rPr>
                <w:rFonts w:ascii="Arial" w:eastAsiaTheme="minorHAnsi" w:hAnsi="Arial" w:cs="Arial"/>
                <w:sz w:val="22"/>
                <w:szCs w:val="22"/>
                <w:lang w:val="en-US" w:eastAsia="en-US"/>
              </w:rPr>
              <w:t xml:space="preserve"> </w:t>
            </w:r>
            <w:proofErr w:type="spellStart"/>
            <w:r w:rsidRPr="009C07D3">
              <w:rPr>
                <w:rFonts w:ascii="Arial" w:eastAsiaTheme="minorHAnsi" w:hAnsi="Arial" w:cs="Arial"/>
                <w:sz w:val="22"/>
                <w:szCs w:val="22"/>
                <w:lang w:val="en-US" w:eastAsia="en-US"/>
              </w:rPr>
              <w:t>tyrim</w:t>
            </w:r>
            <w:r w:rsidRPr="009C07D3">
              <w:rPr>
                <w:rFonts w:ascii="Arial" w:eastAsiaTheme="minorHAnsi" w:hAnsi="Arial" w:cs="Arial"/>
                <w:sz w:val="22"/>
                <w:szCs w:val="22"/>
                <w:lang w:eastAsia="en-US"/>
              </w:rPr>
              <w:t>ais</w:t>
            </w:r>
            <w:proofErr w:type="spellEnd"/>
            <w:r w:rsidRPr="009C07D3">
              <w:rPr>
                <w:rFonts w:ascii="Arial" w:eastAsiaTheme="minorHAnsi" w:hAnsi="Arial" w:cs="Arial"/>
                <w:sz w:val="22"/>
                <w:szCs w:val="22"/>
                <w:lang w:eastAsia="en-US"/>
              </w:rPr>
              <w:t>).</w:t>
            </w:r>
          </w:p>
          <w:p w14:paraId="73EFED5A" w14:textId="3E280BA6" w:rsidR="002C6A0A" w:rsidRPr="00633F0D" w:rsidRDefault="002C6A0A" w:rsidP="00633F0D">
            <w:pPr>
              <w:spacing w:after="0" w:line="240" w:lineRule="auto"/>
              <w:rPr>
                <w:rFonts w:ascii="Arial" w:eastAsiaTheme="minorHAnsi" w:hAnsi="Arial" w:cs="Arial"/>
                <w:sz w:val="22"/>
                <w:szCs w:val="22"/>
                <w:lang w:eastAsia="en-US"/>
              </w:rPr>
            </w:pPr>
          </w:p>
        </w:tc>
        <w:tc>
          <w:tcPr>
            <w:tcW w:w="1191" w:type="pct"/>
            <w:tcBorders>
              <w:top w:val="single" w:sz="4" w:space="0" w:color="000000"/>
              <w:left w:val="single" w:sz="4" w:space="0" w:color="000000"/>
              <w:bottom w:val="single" w:sz="4" w:space="0" w:color="000000"/>
              <w:right w:val="single" w:sz="4" w:space="0" w:color="000000"/>
            </w:tcBorders>
          </w:tcPr>
          <w:p w14:paraId="56719200" w14:textId="77777777" w:rsidR="002C6A0A" w:rsidRDefault="002C6A0A" w:rsidP="002C6A0A">
            <w:pPr>
              <w:spacing w:after="0" w:line="240" w:lineRule="auto"/>
              <w:rPr>
                <w:rFonts w:ascii="Arial" w:hAnsi="Arial" w:cs="Arial"/>
                <w:color w:val="00B050"/>
                <w:sz w:val="22"/>
                <w:szCs w:val="22"/>
              </w:rPr>
            </w:pPr>
            <w:r>
              <w:rPr>
                <w:rFonts w:ascii="Arial" w:hAnsi="Arial" w:cs="Arial"/>
                <w:color w:val="00B050"/>
                <w:sz w:val="22"/>
                <w:szCs w:val="22"/>
              </w:rPr>
              <w:lastRenderedPageBreak/>
              <w:t>Įrašo tiekėjas.......</w:t>
            </w:r>
          </w:p>
          <w:p w14:paraId="5DFAF106"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1. ....Taip/Ne </w:t>
            </w:r>
          </w:p>
          <w:p w14:paraId="7EFD6A03"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lastRenderedPageBreak/>
              <w:t>2. ....Taip/Ne</w:t>
            </w:r>
          </w:p>
          <w:p w14:paraId="50BFCA8F" w14:textId="01BCC4A2"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3. ....Taip/Ne</w:t>
            </w:r>
          </w:p>
          <w:p w14:paraId="68CAC309" w14:textId="77777777" w:rsidR="002C6A0A" w:rsidRDefault="002C6A0A" w:rsidP="002C6A0A">
            <w:pPr>
              <w:spacing w:after="0" w:line="240" w:lineRule="auto"/>
              <w:rPr>
                <w:rFonts w:ascii="Arial" w:eastAsia="Times New Roman" w:hAnsi="Arial" w:cs="Arial"/>
                <w:color w:val="00B050"/>
              </w:rPr>
            </w:pPr>
          </w:p>
          <w:p w14:paraId="45A93079"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6B563A2"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9C3AC1">
              <w:rPr>
                <w:rFonts w:ascii="Arial" w:hAnsi="Arial" w:cs="Arial"/>
                <w:i/>
                <w:iCs/>
                <w:kern w:val="2"/>
                <w:sz w:val="22"/>
                <w:szCs w:val="22"/>
                <w:lang w:eastAsia="en-US"/>
                <w14:ligatures w14:val="standardContextual"/>
              </w:rPr>
              <w:lastRenderedPageBreak/>
              <w:t>[pildo Tiekėjas]</w:t>
            </w:r>
          </w:p>
        </w:tc>
      </w:tr>
      <w:tr w:rsidR="002C6A0A" w14:paraId="053C24A0" w14:textId="77777777" w:rsidTr="004D3A1E">
        <w:trPr>
          <w:trHeight w:val="222"/>
        </w:trPr>
        <w:tc>
          <w:tcPr>
            <w:tcW w:w="289" w:type="pct"/>
          </w:tcPr>
          <w:p w14:paraId="0014B5F8"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3595907C"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Priekinio akies segmento tyrimo modulis</w:t>
            </w:r>
          </w:p>
        </w:tc>
        <w:tc>
          <w:tcPr>
            <w:tcW w:w="1258" w:type="pct"/>
            <w:gridSpan w:val="2"/>
          </w:tcPr>
          <w:p w14:paraId="45D4B107"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0B9821B4"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651A6CB"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6578A09F"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FB6DCA9"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378BF756" w14:textId="77777777" w:rsidTr="004D3A1E">
        <w:trPr>
          <w:trHeight w:val="222"/>
        </w:trPr>
        <w:tc>
          <w:tcPr>
            <w:tcW w:w="289" w:type="pct"/>
          </w:tcPr>
          <w:p w14:paraId="6F55D0CF"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4A38885D"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OKT angiografijos tyrimas</w:t>
            </w:r>
          </w:p>
        </w:tc>
        <w:tc>
          <w:tcPr>
            <w:tcW w:w="1258" w:type="pct"/>
            <w:gridSpan w:val="2"/>
          </w:tcPr>
          <w:p w14:paraId="75D438AA"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Būtinas, leidžiantis vizualizuoti tinklainės kraujagysles, nenaudojant kontrasto</w:t>
            </w:r>
          </w:p>
        </w:tc>
        <w:tc>
          <w:tcPr>
            <w:tcW w:w="1191" w:type="pct"/>
            <w:tcBorders>
              <w:top w:val="single" w:sz="4" w:space="0" w:color="000000"/>
              <w:left w:val="single" w:sz="4" w:space="0" w:color="000000"/>
              <w:bottom w:val="single" w:sz="4" w:space="0" w:color="000000"/>
              <w:right w:val="single" w:sz="4" w:space="0" w:color="000000"/>
            </w:tcBorders>
          </w:tcPr>
          <w:p w14:paraId="698ECCA3"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64D8539"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xml:space="preserve">Taip/Ne </w:t>
            </w:r>
          </w:p>
          <w:p w14:paraId="06FCA6CA"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5974703"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55DAFE6B" w14:textId="77777777" w:rsidTr="004D3A1E">
        <w:trPr>
          <w:trHeight w:val="222"/>
        </w:trPr>
        <w:tc>
          <w:tcPr>
            <w:tcW w:w="289" w:type="pct"/>
          </w:tcPr>
          <w:p w14:paraId="0F9C6F65"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F6A1E4D"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Programinė įranga</w:t>
            </w:r>
          </w:p>
        </w:tc>
        <w:tc>
          <w:tcPr>
            <w:tcW w:w="1258" w:type="pct"/>
            <w:gridSpan w:val="2"/>
          </w:tcPr>
          <w:p w14:paraId="25195B0C"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Pacientų duomenų ir tyrimų rezultatų išsaugojimui, suderinama su DICOM.</w:t>
            </w:r>
          </w:p>
        </w:tc>
        <w:tc>
          <w:tcPr>
            <w:tcW w:w="1191" w:type="pct"/>
            <w:tcBorders>
              <w:top w:val="single" w:sz="4" w:space="0" w:color="000000"/>
              <w:left w:val="single" w:sz="4" w:space="0" w:color="000000"/>
              <w:bottom w:val="single" w:sz="4" w:space="0" w:color="000000"/>
              <w:right w:val="single" w:sz="4" w:space="0" w:color="000000"/>
            </w:tcBorders>
          </w:tcPr>
          <w:p w14:paraId="58C6A490"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7A413E9"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w:t>
            </w:r>
          </w:p>
          <w:p w14:paraId="4C9CA530"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07A1095"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18760021" w14:textId="77777777" w:rsidTr="004D3A1E">
        <w:trPr>
          <w:trHeight w:val="222"/>
        </w:trPr>
        <w:tc>
          <w:tcPr>
            <w:tcW w:w="289" w:type="pct"/>
          </w:tcPr>
          <w:p w14:paraId="4D5F23FD"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55F487EF"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Kompiuteris, tinkamas OCT ir spalvotų vaizdų apdorojimui ir kaupimu</w:t>
            </w:r>
            <w:r>
              <w:rPr>
                <w:rFonts w:ascii="Arial" w:eastAsiaTheme="minorHAnsi" w:hAnsi="Arial" w:cs="Arial"/>
                <w:sz w:val="22"/>
                <w:szCs w:val="22"/>
                <w:lang w:eastAsia="en-US"/>
              </w:rPr>
              <w:t>i</w:t>
            </w:r>
          </w:p>
        </w:tc>
        <w:tc>
          <w:tcPr>
            <w:tcW w:w="1258" w:type="pct"/>
            <w:gridSpan w:val="2"/>
          </w:tcPr>
          <w:p w14:paraId="210FD2AA"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Kompiuteris ir monitorius (HD raiškos) gali būti ir integruoti vienas su kitu; klaviatūra ir pelė (optinė) – atskirai.</w:t>
            </w:r>
          </w:p>
        </w:tc>
        <w:tc>
          <w:tcPr>
            <w:tcW w:w="1191" w:type="pct"/>
            <w:tcBorders>
              <w:top w:val="single" w:sz="4" w:space="0" w:color="000000"/>
              <w:left w:val="single" w:sz="4" w:space="0" w:color="000000"/>
              <w:bottom w:val="single" w:sz="4" w:space="0" w:color="000000"/>
              <w:right w:val="single" w:sz="4" w:space="0" w:color="000000"/>
            </w:tcBorders>
          </w:tcPr>
          <w:p w14:paraId="77117A61"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7490C509"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w:t>
            </w:r>
          </w:p>
          <w:p w14:paraId="70E3D663"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FA4985C"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28F0C94D" w14:textId="77777777" w:rsidTr="004D3A1E">
        <w:trPr>
          <w:trHeight w:val="222"/>
        </w:trPr>
        <w:tc>
          <w:tcPr>
            <w:tcW w:w="289" w:type="pct"/>
          </w:tcPr>
          <w:p w14:paraId="01EFAB76"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2918D8E"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Staliukas OKT prietaisui, kompiuteriui ir monitoriui pastatyti</w:t>
            </w:r>
          </w:p>
        </w:tc>
        <w:tc>
          <w:tcPr>
            <w:tcW w:w="1258" w:type="pct"/>
            <w:gridSpan w:val="2"/>
          </w:tcPr>
          <w:p w14:paraId="04F06991"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 xml:space="preserve">Pilną prietaiso funkcionalumą užtikrinantis, elektros </w:t>
            </w:r>
            <w:r w:rsidRPr="009C07D3">
              <w:rPr>
                <w:rFonts w:ascii="Arial" w:eastAsiaTheme="minorHAnsi" w:hAnsi="Arial" w:cs="Arial"/>
                <w:sz w:val="22"/>
                <w:szCs w:val="22"/>
                <w:lang w:eastAsia="en-US"/>
              </w:rPr>
              <w:lastRenderedPageBreak/>
              <w:t>pavara reguliuojamo aukščio staliukas</w:t>
            </w:r>
          </w:p>
        </w:tc>
        <w:tc>
          <w:tcPr>
            <w:tcW w:w="1191" w:type="pct"/>
            <w:tcBorders>
              <w:top w:val="single" w:sz="4" w:space="0" w:color="000000"/>
              <w:left w:val="single" w:sz="4" w:space="0" w:color="000000"/>
              <w:bottom w:val="single" w:sz="4" w:space="0" w:color="000000"/>
              <w:right w:val="single" w:sz="4" w:space="0" w:color="000000"/>
            </w:tcBorders>
          </w:tcPr>
          <w:p w14:paraId="160E9627"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lastRenderedPageBreak/>
              <w:t>Įrašo tiekėjas.......</w:t>
            </w:r>
          </w:p>
          <w:p w14:paraId="48A30BAB"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w:t>
            </w:r>
          </w:p>
          <w:p w14:paraId="32036D1F"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lastRenderedPageBreak/>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87E1B79"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lastRenderedPageBreak/>
              <w:t>[pildo Tiekėjas]</w:t>
            </w:r>
          </w:p>
        </w:tc>
      </w:tr>
      <w:tr w:rsidR="002C6A0A" w14:paraId="26407AC4" w14:textId="77777777" w:rsidTr="004D3A1E">
        <w:trPr>
          <w:trHeight w:val="222"/>
        </w:trPr>
        <w:tc>
          <w:tcPr>
            <w:tcW w:w="289" w:type="pct"/>
          </w:tcPr>
          <w:p w14:paraId="3867485E"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D501D3B"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Maitinimas</w:t>
            </w:r>
          </w:p>
        </w:tc>
        <w:tc>
          <w:tcPr>
            <w:tcW w:w="1258" w:type="pct"/>
            <w:gridSpan w:val="2"/>
          </w:tcPr>
          <w:p w14:paraId="357E4D88"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Iš ~220-240V, 50Hz elektros tinklo</w:t>
            </w:r>
          </w:p>
        </w:tc>
        <w:tc>
          <w:tcPr>
            <w:tcW w:w="1191" w:type="pct"/>
            <w:tcBorders>
              <w:top w:val="single" w:sz="4" w:space="0" w:color="000000"/>
              <w:left w:val="single" w:sz="4" w:space="0" w:color="000000"/>
              <w:bottom w:val="single" w:sz="4" w:space="0" w:color="000000"/>
              <w:right w:val="single" w:sz="4" w:space="0" w:color="000000"/>
            </w:tcBorders>
          </w:tcPr>
          <w:p w14:paraId="49711FDD"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3E049BD"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w:t>
            </w:r>
          </w:p>
          <w:p w14:paraId="1E799315"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90C41AE"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77C18409" w14:textId="77777777" w:rsidTr="004D3A1E">
        <w:trPr>
          <w:trHeight w:val="222"/>
        </w:trPr>
        <w:tc>
          <w:tcPr>
            <w:tcW w:w="289" w:type="pct"/>
          </w:tcPr>
          <w:p w14:paraId="12B280C8"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65032862"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Garantija</w:t>
            </w:r>
          </w:p>
        </w:tc>
        <w:tc>
          <w:tcPr>
            <w:tcW w:w="1258" w:type="pct"/>
            <w:gridSpan w:val="2"/>
          </w:tcPr>
          <w:p w14:paraId="45312C7D" w14:textId="77777777" w:rsidR="002C6A0A"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w:t>
            </w:r>
            <w:r>
              <w:rPr>
                <w:rFonts w:ascii="Arial" w:eastAsiaTheme="minorHAnsi" w:hAnsi="Arial" w:cs="Arial"/>
                <w:sz w:val="22"/>
                <w:szCs w:val="22"/>
                <w:lang w:val="en-US" w:eastAsia="en-US"/>
              </w:rPr>
              <w:t>24</w:t>
            </w:r>
            <w:r w:rsidRPr="009C07D3">
              <w:rPr>
                <w:rFonts w:ascii="Arial" w:eastAsiaTheme="minorHAnsi" w:hAnsi="Arial" w:cs="Arial"/>
                <w:sz w:val="22"/>
                <w:szCs w:val="22"/>
                <w:lang w:eastAsia="en-US"/>
              </w:rPr>
              <w:t xml:space="preserve"> mėn.</w:t>
            </w:r>
          </w:p>
          <w:p w14:paraId="0A849F0A" w14:textId="77777777" w:rsidR="002C6A0A" w:rsidRPr="00D522C0" w:rsidRDefault="002C6A0A" w:rsidP="002C6A0A">
            <w:pPr>
              <w:spacing w:after="0" w:line="240" w:lineRule="auto"/>
              <w:rPr>
                <w:rFonts w:ascii="Arial" w:eastAsiaTheme="minorHAnsi" w:hAnsi="Arial" w:cs="Arial"/>
                <w:i/>
                <w:iCs/>
                <w:sz w:val="22"/>
                <w:szCs w:val="22"/>
                <w:lang w:eastAsia="en-US"/>
              </w:rPr>
            </w:pPr>
          </w:p>
        </w:tc>
        <w:tc>
          <w:tcPr>
            <w:tcW w:w="1191" w:type="pct"/>
            <w:tcBorders>
              <w:top w:val="single" w:sz="4" w:space="0" w:color="000000"/>
              <w:left w:val="single" w:sz="4" w:space="0" w:color="000000"/>
              <w:bottom w:val="single" w:sz="4" w:space="0" w:color="000000"/>
              <w:right w:val="single" w:sz="4" w:space="0" w:color="000000"/>
            </w:tcBorders>
          </w:tcPr>
          <w:p w14:paraId="1CD5FE21"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882F401"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 mėn.</w:t>
            </w:r>
          </w:p>
          <w:p w14:paraId="32D7B729"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89A6FD9"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r w:rsidR="002C6A0A" w14:paraId="4BA6B6DF" w14:textId="77777777" w:rsidTr="004D3A1E">
        <w:trPr>
          <w:trHeight w:val="222"/>
        </w:trPr>
        <w:tc>
          <w:tcPr>
            <w:tcW w:w="289" w:type="pct"/>
          </w:tcPr>
          <w:p w14:paraId="55F353EA" w14:textId="77777777" w:rsidR="002C6A0A" w:rsidRPr="0079015D" w:rsidRDefault="002C6A0A" w:rsidP="002C6A0A">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317" w:type="pct"/>
          </w:tcPr>
          <w:p w14:paraId="72E72194"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Atitiktis 93/42/EEC direktyvai/ ar lygiaverčiai</w:t>
            </w:r>
          </w:p>
        </w:tc>
        <w:tc>
          <w:tcPr>
            <w:tcW w:w="1258" w:type="pct"/>
            <w:gridSpan w:val="2"/>
          </w:tcPr>
          <w:p w14:paraId="28002859" w14:textId="77777777" w:rsidR="002C6A0A" w:rsidRPr="0079015D" w:rsidRDefault="002C6A0A" w:rsidP="002C6A0A">
            <w:pPr>
              <w:spacing w:after="0" w:line="240" w:lineRule="auto"/>
              <w:rPr>
                <w:rFonts w:ascii="Arial" w:eastAsiaTheme="minorHAnsi" w:hAnsi="Arial" w:cs="Arial"/>
                <w:sz w:val="22"/>
                <w:szCs w:val="22"/>
                <w:lang w:eastAsia="en-US"/>
              </w:rPr>
            </w:pPr>
            <w:r w:rsidRPr="009C07D3">
              <w:rPr>
                <w:rFonts w:ascii="Arial" w:eastAsiaTheme="minorHAnsi" w:hAnsi="Arial" w:cs="Arial"/>
                <w:sz w:val="22"/>
                <w:szCs w:val="22"/>
                <w:lang w:eastAsia="en-US"/>
              </w:rPr>
              <w:t>Būtina</w:t>
            </w:r>
          </w:p>
        </w:tc>
        <w:tc>
          <w:tcPr>
            <w:tcW w:w="1191" w:type="pct"/>
            <w:tcBorders>
              <w:top w:val="single" w:sz="4" w:space="0" w:color="000000"/>
              <w:left w:val="single" w:sz="4" w:space="0" w:color="000000"/>
              <w:bottom w:val="single" w:sz="4" w:space="0" w:color="000000"/>
              <w:right w:val="single" w:sz="4" w:space="0" w:color="000000"/>
            </w:tcBorders>
          </w:tcPr>
          <w:p w14:paraId="2918A24B" w14:textId="77777777" w:rsidR="002C6A0A" w:rsidRDefault="002C6A0A" w:rsidP="002C6A0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3116E76C" w14:textId="77777777" w:rsidR="002C6A0A" w:rsidRDefault="002C6A0A" w:rsidP="002C6A0A">
            <w:pPr>
              <w:spacing w:after="0" w:line="240" w:lineRule="auto"/>
              <w:rPr>
                <w:rFonts w:ascii="Arial" w:eastAsia="Times New Roman" w:hAnsi="Arial" w:cs="Arial"/>
                <w:color w:val="00B050"/>
              </w:rPr>
            </w:pPr>
            <w:r>
              <w:rPr>
                <w:rFonts w:ascii="Arial" w:eastAsia="Times New Roman" w:hAnsi="Arial" w:cs="Arial"/>
                <w:color w:val="00B050"/>
              </w:rPr>
              <w:t>................</w:t>
            </w:r>
          </w:p>
          <w:p w14:paraId="56B8DB59" w14:textId="77777777" w:rsidR="002C6A0A" w:rsidRPr="0079015D" w:rsidRDefault="002C6A0A" w:rsidP="002C6A0A">
            <w:pPr>
              <w:spacing w:after="0" w:line="240" w:lineRule="auto"/>
              <w:rPr>
                <w:rFonts w:ascii="Arial" w:hAnsi="Arial" w:cs="Arial"/>
                <w:color w:val="00B050"/>
                <w:kern w:val="2"/>
                <w:sz w:val="22"/>
                <w:szCs w:val="22"/>
                <w:lang w:eastAsia="en-US"/>
                <w14:ligatures w14:val="standardContextual"/>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CC3B941" w14:textId="77777777" w:rsidR="002C6A0A" w:rsidRPr="0079015D" w:rsidRDefault="002C6A0A" w:rsidP="002C6A0A">
            <w:pPr>
              <w:spacing w:after="0" w:line="240" w:lineRule="auto"/>
              <w:jc w:val="center"/>
              <w:rPr>
                <w:rFonts w:ascii="Arial" w:hAnsi="Arial" w:cs="Arial"/>
                <w:color w:val="00B050"/>
                <w:kern w:val="2"/>
                <w:sz w:val="22"/>
                <w:szCs w:val="22"/>
                <w:lang w:eastAsia="en-US"/>
                <w14:ligatures w14:val="standardContextual"/>
              </w:rPr>
            </w:pPr>
            <w:r w:rsidRPr="00A63BFD">
              <w:rPr>
                <w:rFonts w:ascii="Arial" w:hAnsi="Arial" w:cs="Arial"/>
                <w:i/>
                <w:iCs/>
                <w:kern w:val="2"/>
                <w:sz w:val="22"/>
                <w:szCs w:val="22"/>
                <w:lang w:eastAsia="en-US"/>
                <w14:ligatures w14:val="standardContextual"/>
              </w:rPr>
              <w:t>[pildo Tiekėjas]</w:t>
            </w:r>
          </w:p>
        </w:tc>
      </w:tr>
    </w:tbl>
    <w:p w14:paraId="55C2750F" w14:textId="77777777" w:rsidR="004D3A1E" w:rsidRDefault="004D3A1E" w:rsidP="004D3A1E">
      <w:pPr>
        <w:spacing w:after="0" w:line="240" w:lineRule="auto"/>
        <w:jc w:val="center"/>
        <w:rPr>
          <w:rFonts w:ascii="Times New Roman" w:eastAsiaTheme="minorHAnsi" w:hAnsi="Times New Roman"/>
          <w:sz w:val="24"/>
          <w:szCs w:val="24"/>
          <w:lang w:eastAsia="en-US"/>
        </w:rPr>
      </w:pPr>
    </w:p>
    <w:p w14:paraId="64143511" w14:textId="77777777" w:rsidR="004D3A1E" w:rsidRDefault="004D3A1E" w:rsidP="004D3A1E"/>
    <w:p w14:paraId="453429AD" w14:textId="3B36319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77777777"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85C29D6" w14:textId="75BACCC4" w:rsidR="0079015D"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34CF0D" w14:textId="77777777" w:rsidR="00ED77F7" w:rsidRDefault="00ED77F7">
      <w:pPr>
        <w:rPr>
          <w:rFonts w:ascii="Arial" w:eastAsia="Calibri" w:hAnsi="Arial" w:cs="Arial"/>
          <w:sz w:val="24"/>
          <w:szCs w:val="24"/>
        </w:rPr>
      </w:pP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8"/>
      <w:bookmarkEnd w:id="49"/>
      <w:bookmarkEnd w:id="50"/>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6"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8"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1"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2"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DD5059">
        <w:rPr>
          <w:rStyle w:val="Puslapioinaosnuoroda"/>
          <w:rFonts w:ascii="Arial" w:hAnsi="Arial" w:cs="Arial"/>
          <w:b/>
          <w:sz w:val="24"/>
          <w:szCs w:val="24"/>
        </w:rPr>
        <w:footnoteReference w:id="7"/>
      </w:r>
    </w:p>
    <w:bookmarkEnd w:id="57"/>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8"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2"/>
      <w:bookmarkEnd w:id="53"/>
      <w:bookmarkEnd w:id="54"/>
      <w:bookmarkEnd w:id="55"/>
    </w:p>
    <w:bookmarkEnd w:id="58"/>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9" w:name="_Ref38291379"/>
      <w:bookmarkStart w:id="60" w:name="_Ref38291394"/>
      <w:bookmarkStart w:id="61" w:name="_Ref38898251"/>
      <w:bookmarkStart w:id="62"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3"/>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9"/>
      <w:bookmarkEnd w:id="60"/>
      <w:bookmarkEnd w:id="61"/>
      <w:bookmarkEnd w:id="62"/>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3"/>
      <w:bookmarkEnd w:id="64"/>
      <w:bookmarkEnd w:id="65"/>
      <w:bookmarkEnd w:id="66"/>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34156005" w:rsidR="00F71ADD" w:rsidRPr="00DD5059" w:rsidRDefault="00635804" w:rsidP="00F71ADD">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Viešajai įstaigai Vilkaviškio ligoninė</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5B586158" w14:textId="29CF062A" w:rsidR="00F71ADD" w:rsidRDefault="00E0447D" w:rsidP="00F71ADD">
      <w:pPr>
        <w:spacing w:after="0" w:line="240" w:lineRule="auto"/>
        <w:jc w:val="center"/>
        <w:rPr>
          <w:rFonts w:ascii="Arial" w:hAnsi="Arial" w:cs="Arial"/>
          <w:b/>
          <w:sz w:val="24"/>
          <w:szCs w:val="24"/>
        </w:rPr>
      </w:pPr>
      <w:r w:rsidRPr="00E0447D">
        <w:rPr>
          <w:rFonts w:ascii="Arial" w:hAnsi="Arial" w:cs="Arial"/>
          <w:b/>
          <w:sz w:val="24"/>
          <w:szCs w:val="24"/>
        </w:rPr>
        <w:t>OPTINIS KOHERENTINIS TOMOGRAFAS</w:t>
      </w:r>
    </w:p>
    <w:p w14:paraId="3F6C3D96" w14:textId="77777777" w:rsidR="00E0447D" w:rsidRPr="00DD5059" w:rsidRDefault="00E0447D" w:rsidP="00F71ADD">
      <w:pPr>
        <w:spacing w:after="0" w:line="240" w:lineRule="auto"/>
        <w:jc w:val="center"/>
        <w:rPr>
          <w:rFonts w:ascii="Arial" w:hAnsi="Arial" w:cs="Arial"/>
          <w:b/>
          <w:bCs/>
          <w:sz w:val="24"/>
          <w:szCs w:val="24"/>
        </w:rPr>
      </w:pP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7"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37CBAF61" w14:textId="6DFF0DA9" w:rsidR="008E2238" w:rsidRPr="00DD5059" w:rsidRDefault="008E2238" w:rsidP="004A5232">
            <w:pPr>
              <w:tabs>
                <w:tab w:val="left" w:pos="340"/>
                <w:tab w:val="left" w:pos="1210"/>
              </w:tabs>
              <w:spacing w:after="0" w:line="240" w:lineRule="auto"/>
              <w:jc w:val="both"/>
              <w:rPr>
                <w:rFonts w:ascii="Arial" w:hAnsi="Arial" w:cs="Arial"/>
                <w:sz w:val="24"/>
                <w:szCs w:val="24"/>
              </w:rPr>
            </w:pPr>
            <w:r>
              <w:rPr>
                <w:rFonts w:ascii="Arial" w:hAnsi="Arial" w:cs="Arial"/>
                <w:sz w:val="24"/>
                <w:szCs w:val="24"/>
              </w:rPr>
              <w:t>O</w:t>
            </w:r>
            <w:r w:rsidRPr="008E2238">
              <w:rPr>
                <w:rFonts w:ascii="Arial" w:hAnsi="Arial" w:cs="Arial"/>
                <w:sz w:val="24"/>
                <w:szCs w:val="24"/>
              </w:rPr>
              <w:t xml:space="preserve">ptinis </w:t>
            </w:r>
            <w:proofErr w:type="spellStart"/>
            <w:r w:rsidRPr="00175F1D">
              <w:rPr>
                <w:rFonts w:ascii="Arial" w:hAnsi="Arial" w:cs="Arial"/>
                <w:sz w:val="24"/>
                <w:szCs w:val="24"/>
              </w:rPr>
              <w:t>koherentinis</w:t>
            </w:r>
            <w:proofErr w:type="spellEnd"/>
            <w:r w:rsidRPr="00175F1D">
              <w:rPr>
                <w:rFonts w:ascii="Arial" w:hAnsi="Arial" w:cs="Arial"/>
                <w:sz w:val="24"/>
                <w:szCs w:val="24"/>
              </w:rPr>
              <w:t xml:space="preserve"> tomografas, 1 vnt.</w:t>
            </w:r>
            <w:r w:rsidRPr="00DD5059">
              <w:rPr>
                <w:rFonts w:ascii="Arial" w:hAnsi="Arial" w:cs="Arial"/>
                <w:sz w:val="24"/>
                <w:szCs w:val="24"/>
              </w:rPr>
              <w:t xml:space="preserve"> </w:t>
            </w: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41B0573E" w14:textId="77777777" w:rsidR="008E2238" w:rsidRDefault="008E2238" w:rsidP="008E2238">
      <w:pPr>
        <w:ind w:firstLine="567"/>
        <w:contextualSpacing/>
        <w:jc w:val="both"/>
        <w:rPr>
          <w:rFonts w:ascii="Arial" w:eastAsia="Calibri" w:hAnsi="Arial" w:cs="Arial"/>
          <w:sz w:val="24"/>
          <w:szCs w:val="24"/>
          <w:lang w:eastAsia="en-US"/>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lastRenderedPageBreak/>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lastRenderedPageBreak/>
              <w:t xml:space="preserve">Paaiškinimas, kokia konkreti informacija dokumente yra konfidenciali ir pagrindimas, </w:t>
            </w:r>
            <w:r w:rsidRPr="00DD5059">
              <w:rPr>
                <w:rFonts w:ascii="Arial" w:hAnsi="Arial"/>
                <w:b/>
                <w:bCs/>
                <w:sz w:val="24"/>
                <w:szCs w:val="24"/>
                <w:lang w:val="lt-LT"/>
              </w:rPr>
              <w:lastRenderedPageBreak/>
              <w:t>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8" w:name="_Ref39484039"/>
      <w:bookmarkStart w:id="69" w:name="_Ref40278562"/>
      <w:bookmarkStart w:id="70"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8"/>
      <w:bookmarkEnd w:id="69"/>
      <w:bookmarkEnd w:id="70"/>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F3238B" w:rsidRDefault="00535AB0" w:rsidP="004E720A">
      <w:pPr>
        <w:spacing w:after="0"/>
        <w:rPr>
          <w:rFonts w:ascii="Arial" w:hAnsi="Arial" w:cs="Arial"/>
          <w:b/>
          <w:bCs/>
          <w:sz w:val="24"/>
          <w:szCs w:val="24"/>
        </w:rPr>
      </w:pPr>
    </w:p>
    <w:p w14:paraId="02515684" w14:textId="5F0ABB19" w:rsidR="004264E5" w:rsidRDefault="008E2238" w:rsidP="004664FC">
      <w:pPr>
        <w:pStyle w:val="Sraopastraipa"/>
        <w:spacing w:after="0"/>
        <w:ind w:left="710"/>
        <w:jc w:val="both"/>
        <w:rPr>
          <w:rFonts w:ascii="Arial" w:hAnsi="Arial" w:cs="Arial"/>
          <w:sz w:val="24"/>
          <w:szCs w:val="24"/>
        </w:rPr>
      </w:pPr>
      <w:r w:rsidRPr="00F3238B">
        <w:rPr>
          <w:rFonts w:ascii="Arial" w:hAnsi="Arial" w:cs="Arial"/>
          <w:sz w:val="24"/>
          <w:szCs w:val="24"/>
        </w:rPr>
        <w:t xml:space="preserve">Šiame pirkime ekonomiškai naudingiausias pasiūlymas bus išrenkamas pagal </w:t>
      </w:r>
      <w:r w:rsidR="00635804">
        <w:rPr>
          <w:rFonts w:ascii="Arial" w:hAnsi="Arial" w:cs="Arial"/>
          <w:sz w:val="24"/>
          <w:szCs w:val="24"/>
        </w:rPr>
        <w:t>mažiausią kainą</w:t>
      </w:r>
      <w:r w:rsidRPr="00F3238B">
        <w:rPr>
          <w:rFonts w:ascii="Arial" w:hAnsi="Arial" w:cs="Arial"/>
          <w:sz w:val="24"/>
          <w:szCs w:val="24"/>
        </w:rPr>
        <w:t xml:space="preserve">. </w:t>
      </w: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4B3C494D" w:rsidR="00CB3211" w:rsidRPr="00541A26" w:rsidRDefault="00635804" w:rsidP="00CB3211">
      <w:pPr>
        <w:spacing w:after="120" w:line="257"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VšĮ Vilkaviškio ligoninei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1" w:name="_Hlk146983908"/>
      <w:bookmarkStart w:id="72"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1"/>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2"/>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ADD8DB4"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Pareigos </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DD5059"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6B288932" w:rsidR="00395243" w:rsidRPr="00E0447D" w:rsidRDefault="00E0447D" w:rsidP="00E73E2D">
            <w:pPr>
              <w:spacing w:after="0" w:line="240" w:lineRule="auto"/>
              <w:jc w:val="both"/>
              <w:rPr>
                <w:rFonts w:ascii="Arial" w:eastAsia="Times New Roman" w:hAnsi="Arial" w:cs="Arial"/>
                <w:b/>
                <w:bCs/>
                <w:sz w:val="24"/>
                <w:szCs w:val="24"/>
              </w:rPr>
            </w:pPr>
            <w:r w:rsidRPr="00E0447D">
              <w:rPr>
                <w:rFonts w:ascii="Arial" w:eastAsia="Times New Roman" w:hAnsi="Arial" w:cs="Arial"/>
                <w:b/>
                <w:bCs/>
                <w:sz w:val="24"/>
                <w:szCs w:val="24"/>
              </w:rPr>
              <w:t xml:space="preserve">OPTINIS KOHERENTINIS TOMOGRAFAS </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6EF070D6"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 xml:space="preserve">VšĮ </w:t>
            </w:r>
            <w:r w:rsidR="00635804">
              <w:rPr>
                <w:rFonts w:ascii="Arial" w:hAnsi="Arial" w:cs="Arial"/>
                <w:b/>
                <w:sz w:val="24"/>
                <w:szCs w:val="24"/>
                <w:lang w:eastAsia="zh-CN"/>
              </w:rPr>
              <w:t>Vilkaviškio ligoninė</w:t>
            </w:r>
            <w:r w:rsidRPr="00DD5059">
              <w:rPr>
                <w:rFonts w:ascii="Arial" w:hAnsi="Arial" w:cs="Arial"/>
                <w:b/>
                <w:sz w:val="24"/>
                <w:szCs w:val="24"/>
                <w:lang w:eastAsia="zh-CN"/>
              </w:rPr>
              <w:t xml:space="preserve"> </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0C793C4E"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220B3249"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2294EBF8"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462D4D94" w:rsidR="0008407C" w:rsidRPr="00DD5059" w:rsidRDefault="0008407C" w:rsidP="0008407C">
            <w:pPr>
              <w:spacing w:before="40" w:after="40" w:line="240" w:lineRule="auto"/>
              <w:rPr>
                <w:rFonts w:ascii="Arial" w:eastAsia="Times New Roman" w:hAnsi="Arial" w:cs="Arial"/>
                <w:sz w:val="24"/>
                <w:szCs w:val="24"/>
              </w:rPr>
            </w:pP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5306015A"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286ECAB0" w:rsidR="0008407C" w:rsidRPr="00DD5059" w:rsidRDefault="0008407C" w:rsidP="0008407C">
            <w:pPr>
              <w:tabs>
                <w:tab w:val="left" w:pos="230"/>
              </w:tabs>
              <w:spacing w:after="0" w:line="240" w:lineRule="auto"/>
              <w:ind w:left="89" w:hanging="89"/>
              <w:rPr>
                <w:rFonts w:ascii="Arial" w:eastAsia="Times New Roman" w:hAnsi="Arial" w:cs="Arial"/>
                <w:sz w:val="24"/>
                <w:szCs w:val="24"/>
              </w:rPr>
            </w:pP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D62987B"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0A8078A9"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w:t>
            </w:r>
            <w:r w:rsidRPr="00DD5059">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12BAD05B" w14:textId="77777777" w:rsidR="00635804" w:rsidRPr="00DD5059" w:rsidRDefault="00635804" w:rsidP="00635804">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3D7E7E3" w14:textId="77777777" w:rsidR="00635804" w:rsidRPr="00DD5059" w:rsidRDefault="00635804" w:rsidP="00635804">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(jam(-ai) nesant – jį(-ą) pavaduojantis asmuo).</w:t>
            </w:r>
          </w:p>
          <w:p w14:paraId="500E64DF" w14:textId="77777777" w:rsidR="00395243" w:rsidRPr="00DD5059" w:rsidRDefault="00395243" w:rsidP="00635804">
            <w:pPr>
              <w:spacing w:after="0" w:line="240" w:lineRule="auto"/>
              <w:jc w:val="both"/>
              <w:rPr>
                <w:rFonts w:ascii="Arial" w:eastAsia="Times New Roman" w:hAnsi="Arial" w:cs="Arial"/>
                <w:sz w:val="24"/>
                <w:szCs w:val="24"/>
              </w:rPr>
            </w:pP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CF9CA62" w14:textId="2CE7A51D"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6A7A8AF1" w:rsidR="00395243" w:rsidRPr="00C87CA2" w:rsidRDefault="00E06983" w:rsidP="002B237A">
            <w:pPr>
              <w:spacing w:after="0" w:line="240" w:lineRule="auto"/>
              <w:jc w:val="both"/>
              <w:rPr>
                <w:rFonts w:ascii="Arial" w:hAnsi="Arial" w:cs="Arial"/>
                <w:i/>
                <w:iCs/>
                <w:sz w:val="24"/>
                <w:szCs w:val="24"/>
              </w:rPr>
            </w:pPr>
            <w:r w:rsidRPr="00E06983">
              <w:rPr>
                <w:rFonts w:ascii="Arial" w:hAnsi="Arial" w:cs="Arial"/>
                <w:b/>
                <w:bCs/>
                <w:sz w:val="24"/>
                <w:szCs w:val="24"/>
              </w:rPr>
              <w:t xml:space="preserve">Optinį </w:t>
            </w:r>
            <w:proofErr w:type="spellStart"/>
            <w:r w:rsidRPr="00E06983">
              <w:rPr>
                <w:rFonts w:ascii="Arial" w:hAnsi="Arial" w:cs="Arial"/>
                <w:b/>
                <w:bCs/>
                <w:sz w:val="24"/>
                <w:szCs w:val="24"/>
              </w:rPr>
              <w:t>koherentinį</w:t>
            </w:r>
            <w:proofErr w:type="spellEnd"/>
            <w:r w:rsidRPr="00E06983">
              <w:rPr>
                <w:rFonts w:ascii="Arial" w:hAnsi="Arial" w:cs="Arial"/>
                <w:b/>
                <w:bCs/>
                <w:sz w:val="24"/>
                <w:szCs w:val="24"/>
              </w:rPr>
              <w:t xml:space="preserve"> tomografą</w:t>
            </w:r>
            <w:r w:rsidR="00C87CA2">
              <w:rPr>
                <w:rFonts w:ascii="Arial" w:hAnsi="Arial" w:cs="Arial"/>
                <w:sz w:val="24"/>
                <w:szCs w:val="24"/>
              </w:rPr>
              <w:t xml:space="preserve"> (1 vnt.)</w:t>
            </w:r>
            <w:r w:rsidR="00C5517B">
              <w:rPr>
                <w:rFonts w:ascii="Arial" w:hAnsi="Arial" w:cs="Arial"/>
                <w:sz w:val="24"/>
                <w:szCs w:val="24"/>
              </w:rPr>
              <w:t xml:space="preserve"> </w:t>
            </w:r>
            <w:r w:rsidR="00C5517B" w:rsidRPr="006646CB">
              <w:rPr>
                <w:rFonts w:ascii="Arial" w:hAnsi="Arial" w:cs="Arial"/>
                <w:sz w:val="24"/>
                <w:szCs w:val="24"/>
              </w:rPr>
              <w:t xml:space="preserve">(taip pat  instaliuoti/įdiegti/pajungti, apmokyti personalą, teikti garantinio aptarnavimo ir priežiūros paslaugas, atlikti techninę patikrą garantiniu laikotarpiu)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804"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3" w:name="_Hlk162966553"/>
            <w:r w:rsidRPr="00263216">
              <w:rPr>
                <w:rFonts w:ascii="Arial" w:eastAsia="Times New Roman" w:hAnsi="Arial" w:cs="Arial"/>
                <w:b/>
                <w:bCs/>
                <w:sz w:val="24"/>
                <w:szCs w:val="24"/>
              </w:rPr>
              <w:t>Informacija apie Europos Sąjungos lėšomis finansuojamą projektą arba kitą projektą</w:t>
            </w:r>
            <w:bookmarkEnd w:id="73"/>
          </w:p>
        </w:tc>
        <w:tc>
          <w:tcPr>
            <w:tcW w:w="6804" w:type="dxa"/>
            <w:gridSpan w:val="2"/>
          </w:tcPr>
          <w:p w14:paraId="5521AC9D" w14:textId="344B7A82" w:rsidR="00263216" w:rsidRPr="00263216"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Projektas „Sveikatos centro sveikatos priežiūros paslaug</w:t>
            </w:r>
            <w:r w:rsidR="00BD6C9C">
              <w:rPr>
                <w:rFonts w:ascii="Arial" w:eastAsia="Times New Roman" w:hAnsi="Arial" w:cs="Arial"/>
                <w:sz w:val="24"/>
                <w:szCs w:val="24"/>
              </w:rPr>
              <w:t>oms</w:t>
            </w:r>
            <w:r w:rsidRPr="00263216">
              <w:rPr>
                <w:rFonts w:ascii="Arial" w:eastAsia="Times New Roman" w:hAnsi="Arial" w:cs="Arial"/>
                <w:sz w:val="24"/>
                <w:szCs w:val="24"/>
              </w:rPr>
              <w:t xml:space="preserve"> </w:t>
            </w:r>
            <w:r w:rsidR="00BD6C9C">
              <w:rPr>
                <w:rFonts w:ascii="Arial" w:eastAsia="Times New Roman" w:hAnsi="Arial" w:cs="Arial"/>
                <w:sz w:val="24"/>
                <w:szCs w:val="24"/>
              </w:rPr>
              <w:t>teikti reikiamos infrastruktūros modernizavimas Vilkaviškio rajono savivaldybėje</w:t>
            </w:r>
            <w:r w:rsidRPr="00263216">
              <w:rPr>
                <w:rFonts w:ascii="Arial" w:eastAsia="Times New Roman" w:hAnsi="Arial" w:cs="Arial"/>
                <w:sz w:val="24"/>
                <w:szCs w:val="24"/>
              </w:rPr>
              <w:t>“, projekto numeris Nr. 09-022-P-003</w:t>
            </w:r>
            <w:r w:rsidR="00BD6C9C">
              <w:rPr>
                <w:rFonts w:ascii="Arial" w:eastAsia="Times New Roman" w:hAnsi="Arial" w:cs="Arial"/>
                <w:sz w:val="24"/>
                <w:szCs w:val="24"/>
              </w:rPr>
              <w:t>5</w:t>
            </w:r>
            <w:r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4FFD8547" w:rsidR="00D31390" w:rsidRPr="00DD5059" w:rsidRDefault="00263216" w:rsidP="00D31390">
            <w:pPr>
              <w:spacing w:after="0" w:line="240" w:lineRule="auto"/>
              <w:rPr>
                <w:rFonts w:ascii="Arial" w:eastAsia="Times New Roman" w:hAnsi="Arial" w:cs="Arial"/>
                <w:sz w:val="24"/>
                <w:szCs w:val="24"/>
              </w:rPr>
            </w:pPr>
            <w:r w:rsidRPr="00263216">
              <w:rPr>
                <w:rFonts w:ascii="Arial" w:eastAsia="Times New Roman" w:hAnsi="Arial" w:cs="Arial"/>
                <w:sz w:val="24"/>
                <w:szCs w:val="24"/>
              </w:rPr>
              <w:t>Finansavimo šaltinis –</w:t>
            </w:r>
            <w:r w:rsidR="00D31390">
              <w:rPr>
                <w:rFonts w:ascii="Arial" w:eastAsia="Times New Roman" w:hAnsi="Arial" w:cs="Arial"/>
                <w:sz w:val="24"/>
                <w:szCs w:val="24"/>
              </w:rPr>
              <w:t xml:space="preserve">  </w:t>
            </w:r>
            <w:r w:rsidR="00D31390">
              <w:rPr>
                <w:rFonts w:ascii="Arial" w:eastAsia="Times New Roman" w:hAnsi="Arial" w:cs="Arial"/>
                <w:sz w:val="24"/>
                <w:szCs w:val="24"/>
              </w:rPr>
              <w:t>E</w:t>
            </w:r>
            <w:r w:rsidR="00D31390" w:rsidRPr="00D31390">
              <w:rPr>
                <w:rFonts w:ascii="Arial" w:eastAsia="Times New Roman" w:hAnsi="Arial" w:cs="Arial"/>
                <w:sz w:val="24"/>
                <w:szCs w:val="24"/>
              </w:rPr>
              <w:t>uropos regioninės plėtros fondas (ERPF)</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4A1776F1" w14:textId="5FC867ED"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635804">
              <w:rPr>
                <w:rFonts w:ascii="Arial" w:hAnsi="Arial" w:cs="Arial"/>
                <w:bCs/>
                <w:iCs/>
                <w:sz w:val="24"/>
                <w:szCs w:val="24"/>
              </w:rPr>
              <w:t>2</w:t>
            </w:r>
            <w:r w:rsidRPr="00C5517B">
              <w:rPr>
                <w:rFonts w:ascii="Arial" w:hAnsi="Arial" w:cs="Arial"/>
                <w:b/>
                <w:iCs/>
                <w:sz w:val="24"/>
                <w:szCs w:val="24"/>
              </w:rPr>
              <w:t xml:space="preserve"> mėnesius</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0A8FA6D2"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4664FC">
              <w:rPr>
                <w:rFonts w:ascii="Arial" w:eastAsia="Times New Roman" w:hAnsi="Arial" w:cs="Arial"/>
                <w:iCs/>
                <w:sz w:val="24"/>
                <w:szCs w:val="24"/>
              </w:rPr>
              <w:t>Maironio g. 25, Vilkaviškis</w:t>
            </w: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804"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lastRenderedPageBreak/>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C87CA2" w:rsidRPr="00DD5059" w14:paraId="28E588D9" w14:textId="77777777" w:rsidTr="0017733E">
        <w:trPr>
          <w:trHeight w:val="300"/>
        </w:trPr>
        <w:tc>
          <w:tcPr>
            <w:tcW w:w="2977" w:type="dxa"/>
          </w:tcPr>
          <w:p w14:paraId="674C2A4C" w14:textId="279AF10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5747FC">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4BDD5CF7" w14:textId="6B36D3D0" w:rsidR="00C87CA2" w:rsidRPr="002C4025" w:rsidRDefault="00C87CA2" w:rsidP="00C87CA2">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sidR="005747FC">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1B37144D" w:rsidR="00C87CA2" w:rsidRPr="002C4025" w:rsidRDefault="00C87CA2" w:rsidP="00C87CA2">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sidR="005747FC">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065105FF" w14:textId="01477B95" w:rsidR="00C87CA2" w:rsidRPr="002C4025" w:rsidRDefault="00C87CA2" w:rsidP="00C87CA2">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sidR="005747FC">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33BCA22B" w:rsidR="00C87CA2" w:rsidRPr="006646CB" w:rsidRDefault="00C87CA2" w:rsidP="00C87CA2">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sidR="005747FC">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2FB409B7" w14:textId="0B618ADD" w:rsidR="00C87CA2" w:rsidRPr="00DD5059" w:rsidRDefault="00C87CA2" w:rsidP="00C87CA2">
            <w:pPr>
              <w:spacing w:after="0" w:line="240" w:lineRule="auto"/>
              <w:jc w:val="both"/>
              <w:rPr>
                <w:rFonts w:ascii="Arial" w:eastAsia="Times New Roman" w:hAnsi="Arial" w:cs="Arial"/>
                <w:sz w:val="24"/>
                <w:szCs w:val="24"/>
              </w:rPr>
            </w:pPr>
            <w:r w:rsidRPr="006646CB">
              <w:rPr>
                <w:rFonts w:ascii="Arial" w:hAnsi="Arial" w:cs="Arial"/>
                <w:sz w:val="24"/>
                <w:szCs w:val="24"/>
              </w:rPr>
              <w:t>4.</w:t>
            </w:r>
            <w:r w:rsidR="005747FC">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w:t>
            </w:r>
            <w:r w:rsidRPr="00DD5059">
              <w:rPr>
                <w:rFonts w:ascii="Arial" w:eastAsia="Times New Roman" w:hAnsi="Arial" w:cs="Arial"/>
                <w:sz w:val="24"/>
                <w:szCs w:val="24"/>
              </w:rPr>
              <w:lastRenderedPageBreak/>
              <w:t xml:space="preserve">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lastRenderedPageBreak/>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4"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4"/>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4016F42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4664FC">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66A4B670" w14:textId="542FA4F1"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 xml:space="preserve">irkėjui teikia išsamias konsultacijas </w:t>
            </w:r>
            <w:r w:rsidRPr="00584395">
              <w:rPr>
                <w:rFonts w:ascii="Arial" w:hAnsi="Arial" w:cs="Arial"/>
                <w:sz w:val="24"/>
                <w:szCs w:val="24"/>
              </w:rPr>
              <w:lastRenderedPageBreak/>
              <w:t>ir paaiškinimus. Garantinio gedimo atveju, nemokamai remontuoja arba keičia sugedusias dalis (detales), medžiagas.</w:t>
            </w:r>
          </w:p>
          <w:p w14:paraId="558F05D4" w14:textId="77777777" w:rsidR="00436725"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Garantinio termino laikotarpiu Tiekėjas, gavęs pranešimą apie Prekės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436725">
            <w:pPr>
              <w:spacing w:after="0" w:line="240" w:lineRule="auto"/>
              <w:ind w:firstLine="165"/>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3B0FD4">
            <w:pPr>
              <w:spacing w:after="0" w:line="240" w:lineRule="auto"/>
              <w:ind w:firstLine="165"/>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39B1A3F8" w14:textId="67219E6F" w:rsidR="00C87CA2"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C390D7B" w14:textId="77777777" w:rsidR="00436725" w:rsidRPr="00436725" w:rsidRDefault="00436725" w:rsidP="00C87CA2">
            <w:pPr>
              <w:spacing w:after="0" w:line="240" w:lineRule="auto"/>
              <w:jc w:val="both"/>
              <w:rPr>
                <w:rFonts w:ascii="Arial" w:eastAsia="Times New Roman" w:hAnsi="Arial" w:cs="Arial"/>
                <w:sz w:val="24"/>
                <w:szCs w:val="24"/>
              </w:rPr>
            </w:pP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7797A40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10 % (dešimt) procentų dydžio bauda nuo Pradinės Sutarties vertės be PVM taikomą už kiekvieną pažeidimo atvejį. </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50E6817B"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lang w:eastAsia="zh-CN" w:bidi="hi-IN"/>
              </w:rPr>
              <w:t>5 % (penkių</w:t>
            </w:r>
            <w:r w:rsidRPr="00DD5059">
              <w:rPr>
                <w:rFonts w:ascii="Arial" w:hAnsi="Arial" w:cs="Arial"/>
                <w:kern w:val="2"/>
                <w:sz w:val="24"/>
                <w:szCs w:val="24"/>
              </w:rPr>
              <w:t>) procentų dydžio bauda nuo Pradinės Sutarties vertės be PVM .</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w:t>
            </w:r>
            <w:r w:rsidRPr="00DD5059">
              <w:rPr>
                <w:rFonts w:ascii="Arial" w:eastAsia="Times New Roman" w:hAnsi="Arial" w:cs="Arial"/>
                <w:b/>
                <w:bCs/>
                <w:sz w:val="24"/>
                <w:szCs w:val="24"/>
              </w:rPr>
              <w:lastRenderedPageBreak/>
              <w:t xml:space="preserve">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7D4D9ED9"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0C9C0D11"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33D37D49" w14:textId="02C4295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789379C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Prekės pristatymo terminą ir dėl Prekės pristatymo vėlavimo Prekė tampa nebereikalinga;</w:t>
            </w:r>
          </w:p>
          <w:p w14:paraId="0DEC71D1" w14:textId="578C60D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Prekę, kuri neatitinka Sutartyje ir (ar) Įstatymuose nustatytų reikalavimų Prekei;</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27E3134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77777777"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57064479" w14:textId="4FF01EF0"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lastRenderedPageBreak/>
              <w:t>Tiekėjas turi užtikrinti galimybę atnaujinti Prekės sudėtines dalis/sistemas, siekiant prailginti Prekės efektyvaus panaudojimo laiką.</w:t>
            </w: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0B642806" w:rsidR="001F7B9D" w:rsidRPr="00DD5059" w:rsidRDefault="004664FC" w:rsidP="001F7B9D">
      <w:pPr>
        <w:jc w:val="center"/>
        <w:rPr>
          <w:rFonts w:ascii="Arial" w:hAnsi="Arial" w:cs="Arial"/>
          <w:i/>
          <w:iCs/>
          <w:sz w:val="24"/>
          <w:szCs w:val="24"/>
        </w:rPr>
      </w:pPr>
      <w:r>
        <w:rPr>
          <w:rFonts w:ascii="Arial" w:hAnsi="Arial" w:cs="Arial"/>
          <w:i/>
          <w:iCs/>
          <w:sz w:val="24"/>
          <w:szCs w:val="24"/>
        </w:rPr>
        <w:t>Vilkaviškis</w:t>
      </w:r>
    </w:p>
    <w:p w14:paraId="59436A83" w14:textId="77777777" w:rsidR="001F7B9D" w:rsidRPr="00DD5059" w:rsidRDefault="001F7B9D" w:rsidP="001F7B9D">
      <w:pPr>
        <w:jc w:val="center"/>
        <w:rPr>
          <w:rFonts w:ascii="Arial" w:hAnsi="Arial" w:cs="Arial"/>
          <w:sz w:val="24"/>
          <w:szCs w:val="24"/>
        </w:rPr>
      </w:pPr>
    </w:p>
    <w:p w14:paraId="0A5A13D6" w14:textId="2741AFAC"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 xml:space="preserve">VšĮ </w:t>
      </w:r>
      <w:r w:rsidR="004664FC">
        <w:rPr>
          <w:rFonts w:ascii="Arial" w:hAnsi="Arial" w:cs="Arial"/>
          <w:b/>
          <w:sz w:val="24"/>
          <w:szCs w:val="24"/>
        </w:rPr>
        <w:t>Vilkaviškio</w:t>
      </w:r>
      <w:r w:rsidRPr="00DD5059">
        <w:rPr>
          <w:rFonts w:ascii="Arial" w:hAnsi="Arial" w:cs="Arial"/>
          <w:b/>
          <w:sz w:val="24"/>
          <w:szCs w:val="24"/>
        </w:rPr>
        <w:t xml:space="preserve"> ligoninė</w:t>
      </w:r>
      <w:r w:rsidRPr="00DD5059">
        <w:rPr>
          <w:rFonts w:ascii="Arial" w:hAnsi="Arial" w:cs="Arial"/>
          <w:sz w:val="24"/>
          <w:szCs w:val="24"/>
        </w:rPr>
        <w:t xml:space="preserve">, kodas </w:t>
      </w:r>
      <w:r w:rsidR="004664FC">
        <w:rPr>
          <w:rFonts w:ascii="Arial" w:hAnsi="Arial" w:cs="Arial"/>
          <w:sz w:val="24"/>
          <w:szCs w:val="24"/>
        </w:rPr>
        <w:t>....................</w:t>
      </w:r>
      <w:r w:rsidRPr="00DD5059">
        <w:rPr>
          <w:rFonts w:ascii="Arial" w:hAnsi="Arial" w:cs="Arial"/>
          <w:sz w:val="24"/>
          <w:szCs w:val="24"/>
        </w:rPr>
        <w:t xml:space="preserve">(toliau — </w:t>
      </w:r>
      <w:r w:rsidRPr="00136C12">
        <w:rPr>
          <w:rFonts w:ascii="Arial" w:hAnsi="Arial" w:cs="Arial"/>
          <w:sz w:val="24"/>
          <w:szCs w:val="24"/>
        </w:rPr>
        <w:t>Pirkėjas</w:t>
      </w:r>
      <w:r w:rsidRPr="00DD5059">
        <w:rPr>
          <w:rFonts w:ascii="Arial" w:hAnsi="Arial" w:cs="Arial"/>
          <w:sz w:val="24"/>
          <w:szCs w:val="24"/>
        </w:rPr>
        <w:t xml:space="preserve">), kurios buveinė — </w:t>
      </w:r>
      <w:r w:rsidR="004664FC">
        <w:rPr>
          <w:rFonts w:ascii="Arial" w:hAnsi="Arial" w:cs="Arial"/>
          <w:sz w:val="24"/>
          <w:szCs w:val="24"/>
        </w:rPr>
        <w:t>.......................................</w:t>
      </w:r>
      <w:r w:rsidRPr="00DD5059">
        <w:rPr>
          <w:rFonts w:ascii="Arial" w:hAnsi="Arial" w:cs="Arial"/>
          <w:sz w:val="24"/>
          <w:szCs w:val="24"/>
        </w:rPr>
        <w:t>, atstovaujama</w:t>
      </w:r>
      <w:r w:rsidR="00B26AEF" w:rsidRPr="00DD5059">
        <w:rPr>
          <w:rFonts w:ascii="Arial" w:hAnsi="Arial" w:cs="Arial"/>
          <w:sz w:val="24"/>
          <w:szCs w:val="24"/>
        </w:rPr>
        <w:t xml:space="preserve">  </w:t>
      </w:r>
      <w:r w:rsidR="004664FC">
        <w:rPr>
          <w:rFonts w:ascii="Arial" w:hAnsi="Arial" w:cs="Arial"/>
          <w:sz w:val="24"/>
          <w:szCs w:val="24"/>
        </w:rPr>
        <w:t>.................................................</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22C7" w14:textId="77777777" w:rsidR="00A27D35" w:rsidRDefault="00A27D35" w:rsidP="00D05666">
      <w:r>
        <w:separator/>
      </w:r>
    </w:p>
  </w:endnote>
  <w:endnote w:type="continuationSeparator" w:id="0">
    <w:p w14:paraId="5AFBAD1E" w14:textId="77777777" w:rsidR="00A27D35" w:rsidRDefault="00A27D35" w:rsidP="00D05666">
      <w:r>
        <w:continuationSeparator/>
      </w:r>
    </w:p>
  </w:endnote>
  <w:endnote w:type="continuationNotice" w:id="1">
    <w:p w14:paraId="58B6C4D8" w14:textId="77777777" w:rsidR="00A27D35" w:rsidRDefault="00A27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BADA" w14:textId="77777777" w:rsidR="00A27D35" w:rsidRDefault="00A27D35" w:rsidP="00D05666">
      <w:r>
        <w:separator/>
      </w:r>
    </w:p>
  </w:footnote>
  <w:footnote w:type="continuationSeparator" w:id="0">
    <w:p w14:paraId="52934065" w14:textId="77777777" w:rsidR="00A27D35" w:rsidRDefault="00A27D35" w:rsidP="00D05666">
      <w:r>
        <w:continuationSeparator/>
      </w:r>
    </w:p>
  </w:footnote>
  <w:footnote w:type="continuationNotice" w:id="1">
    <w:p w14:paraId="6AB5DADD" w14:textId="77777777" w:rsidR="00A27D35" w:rsidRDefault="00A27D35">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8"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872969"/>
    <w:multiLevelType w:val="multilevel"/>
    <w:tmpl w:val="00000010"/>
    <w:numStyleLink w:val="WW8Num101"/>
  </w:abstractNum>
  <w:abstractNum w:abstractNumId="3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60702105">
    <w:abstractNumId w:val="2"/>
  </w:num>
  <w:num w:numId="3" w16cid:durableId="1959680082">
    <w:abstractNumId w:val="25"/>
  </w:num>
  <w:num w:numId="4" w16cid:durableId="1219630361">
    <w:abstractNumId w:val="19"/>
  </w:num>
  <w:num w:numId="5" w16cid:durableId="1943417952">
    <w:abstractNumId w:val="35"/>
  </w:num>
  <w:num w:numId="6" w16cid:durableId="426192694">
    <w:abstractNumId w:val="1"/>
  </w:num>
  <w:num w:numId="7" w16cid:durableId="986590014">
    <w:abstractNumId w:val="31"/>
  </w:num>
  <w:num w:numId="8" w16cid:durableId="671638903">
    <w:abstractNumId w:val="28"/>
  </w:num>
  <w:num w:numId="9" w16cid:durableId="256065419">
    <w:abstractNumId w:val="13"/>
  </w:num>
  <w:num w:numId="10" w16cid:durableId="1977879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0"/>
  </w:num>
  <w:num w:numId="12" w16cid:durableId="1958638489">
    <w:abstractNumId w:val="32"/>
  </w:num>
  <w:num w:numId="13" w16cid:durableId="305166607">
    <w:abstractNumId w:val="33"/>
  </w:num>
  <w:num w:numId="14" w16cid:durableId="176583507">
    <w:abstractNumId w:val="6"/>
  </w:num>
  <w:num w:numId="15" w16cid:durableId="192041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2"/>
  </w:num>
  <w:num w:numId="18" w16cid:durableId="1249542018">
    <w:abstractNumId w:val="23"/>
  </w:num>
  <w:num w:numId="19" w16cid:durableId="43142227">
    <w:abstractNumId w:val="26"/>
  </w:num>
  <w:num w:numId="20" w16cid:durableId="1834221728">
    <w:abstractNumId w:val="36"/>
  </w:num>
  <w:num w:numId="21" w16cid:durableId="310643114">
    <w:abstractNumId w:val="29"/>
  </w:num>
  <w:num w:numId="22" w16cid:durableId="433550192">
    <w:abstractNumId w:val="11"/>
  </w:num>
  <w:num w:numId="23" w16cid:durableId="42483322">
    <w:abstractNumId w:val="12"/>
  </w:num>
  <w:num w:numId="24" w16cid:durableId="1495142378">
    <w:abstractNumId w:val="4"/>
  </w:num>
  <w:num w:numId="25" w16cid:durableId="993877465">
    <w:abstractNumId w:val="8"/>
  </w:num>
  <w:num w:numId="26" w16cid:durableId="928274545">
    <w:abstractNumId w:val="14"/>
  </w:num>
  <w:num w:numId="27" w16cid:durableId="1965691535">
    <w:abstractNumId w:val="30"/>
  </w:num>
  <w:num w:numId="28" w16cid:durableId="1007559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4"/>
  </w:num>
  <w:num w:numId="31" w16cid:durableId="1346127925">
    <w:abstractNumId w:val="21"/>
  </w:num>
  <w:num w:numId="32" w16cid:durableId="196703368">
    <w:abstractNumId w:val="16"/>
  </w:num>
  <w:num w:numId="33" w16cid:durableId="766344139">
    <w:abstractNumId w:val="27"/>
  </w:num>
  <w:num w:numId="34" w16cid:durableId="1821656253">
    <w:abstractNumId w:val="18"/>
  </w:num>
  <w:num w:numId="35" w16cid:durableId="1611742744">
    <w:abstractNumId w:val="0"/>
  </w:num>
  <w:num w:numId="36" w16cid:durableId="1480073760">
    <w:abstractNumId w:val="34"/>
    <w:lvlOverride w:ilvl="0">
      <w:lvl w:ilvl="0">
        <w:start w:val="1"/>
        <w:numFmt w:val="decimal"/>
        <w:lvlText w:val="%1."/>
        <w:lvlJc w:val="left"/>
        <w:pPr>
          <w:tabs>
            <w:tab w:val="num" w:pos="1080"/>
          </w:tabs>
          <w:ind w:left="1080" w:hanging="360"/>
        </w:pPr>
        <w:rPr>
          <w:rFonts w:cs="Times New Roman"/>
          <w:color w:val="auto"/>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9DF"/>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D1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A0A"/>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4FC"/>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4370"/>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0D"/>
    <w:rsid w:val="00633F89"/>
    <w:rsid w:val="0063491E"/>
    <w:rsid w:val="006349FB"/>
    <w:rsid w:val="00634E47"/>
    <w:rsid w:val="00635013"/>
    <w:rsid w:val="006350D9"/>
    <w:rsid w:val="0063557A"/>
    <w:rsid w:val="00635804"/>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42E"/>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6F27"/>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1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4A8B"/>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57FF"/>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27D35"/>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6C9C"/>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69B"/>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6C0"/>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390"/>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57E"/>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27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aldas.riklius@vilkaviskioligonin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43F49"/>
    <w:rsid w:val="0006086F"/>
    <w:rsid w:val="000641D8"/>
    <w:rsid w:val="000753E2"/>
    <w:rsid w:val="000758F2"/>
    <w:rsid w:val="00080A4E"/>
    <w:rsid w:val="00083F85"/>
    <w:rsid w:val="000A6E54"/>
    <w:rsid w:val="000D2411"/>
    <w:rsid w:val="000F0B72"/>
    <w:rsid w:val="001015B2"/>
    <w:rsid w:val="001172C8"/>
    <w:rsid w:val="00123D1D"/>
    <w:rsid w:val="00133461"/>
    <w:rsid w:val="00143623"/>
    <w:rsid w:val="00165D49"/>
    <w:rsid w:val="001C2E4D"/>
    <w:rsid w:val="001C7C2C"/>
    <w:rsid w:val="001F4E79"/>
    <w:rsid w:val="00202541"/>
    <w:rsid w:val="0020650D"/>
    <w:rsid w:val="002165D3"/>
    <w:rsid w:val="00254FCB"/>
    <w:rsid w:val="00294455"/>
    <w:rsid w:val="002E2A43"/>
    <w:rsid w:val="003043F2"/>
    <w:rsid w:val="003A36E5"/>
    <w:rsid w:val="00446D21"/>
    <w:rsid w:val="0048165E"/>
    <w:rsid w:val="0048508A"/>
    <w:rsid w:val="004927AC"/>
    <w:rsid w:val="004A77E3"/>
    <w:rsid w:val="004F6777"/>
    <w:rsid w:val="00514370"/>
    <w:rsid w:val="005330D6"/>
    <w:rsid w:val="005512F8"/>
    <w:rsid w:val="005968C6"/>
    <w:rsid w:val="005E6180"/>
    <w:rsid w:val="00607D41"/>
    <w:rsid w:val="00627103"/>
    <w:rsid w:val="00630FE5"/>
    <w:rsid w:val="00697303"/>
    <w:rsid w:val="006A6596"/>
    <w:rsid w:val="006C7FA4"/>
    <w:rsid w:val="006D0F7F"/>
    <w:rsid w:val="00752A59"/>
    <w:rsid w:val="007C0282"/>
    <w:rsid w:val="007D0099"/>
    <w:rsid w:val="00893AB8"/>
    <w:rsid w:val="008E7E27"/>
    <w:rsid w:val="008F51F4"/>
    <w:rsid w:val="00904D49"/>
    <w:rsid w:val="00907232"/>
    <w:rsid w:val="009239B1"/>
    <w:rsid w:val="00923E5D"/>
    <w:rsid w:val="009452B4"/>
    <w:rsid w:val="00963A88"/>
    <w:rsid w:val="009A6D78"/>
    <w:rsid w:val="00A05C86"/>
    <w:rsid w:val="00A47626"/>
    <w:rsid w:val="00A66AEA"/>
    <w:rsid w:val="00A95821"/>
    <w:rsid w:val="00AB0BB3"/>
    <w:rsid w:val="00B31D3F"/>
    <w:rsid w:val="00B850FC"/>
    <w:rsid w:val="00B8693F"/>
    <w:rsid w:val="00BC3567"/>
    <w:rsid w:val="00BE2776"/>
    <w:rsid w:val="00BF7CCD"/>
    <w:rsid w:val="00C37F62"/>
    <w:rsid w:val="00C44095"/>
    <w:rsid w:val="00C6271C"/>
    <w:rsid w:val="00C81B78"/>
    <w:rsid w:val="00C96A89"/>
    <w:rsid w:val="00CB558C"/>
    <w:rsid w:val="00CC3469"/>
    <w:rsid w:val="00D20E2B"/>
    <w:rsid w:val="00D21702"/>
    <w:rsid w:val="00D27EB5"/>
    <w:rsid w:val="00D3063F"/>
    <w:rsid w:val="00D81705"/>
    <w:rsid w:val="00DA5595"/>
    <w:rsid w:val="00DF257E"/>
    <w:rsid w:val="00E063D1"/>
    <w:rsid w:val="00E15823"/>
    <w:rsid w:val="00E213F8"/>
    <w:rsid w:val="00E50B22"/>
    <w:rsid w:val="00E81183"/>
    <w:rsid w:val="00E845D4"/>
    <w:rsid w:val="00E84B13"/>
    <w:rsid w:val="00E926B7"/>
    <w:rsid w:val="00EA0F55"/>
    <w:rsid w:val="00EB4766"/>
    <w:rsid w:val="00EE7754"/>
    <w:rsid w:val="00F07C54"/>
    <w:rsid w:val="00F5154C"/>
    <w:rsid w:val="00F96D2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69</Pages>
  <Words>112970</Words>
  <Characters>64393</Characters>
  <Application>Microsoft Office Word</Application>
  <DocSecurity>0</DocSecurity>
  <Lines>536</Lines>
  <Paragraphs>354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4</cp:revision>
  <dcterms:created xsi:type="dcterms:W3CDTF">2025-05-26T08:22:00Z</dcterms:created>
  <dcterms:modified xsi:type="dcterms:W3CDTF">2025-05-26T18:09:00Z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