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4BCF0A71" w:rsidR="001C24BC" w:rsidRPr="00742FA1" w:rsidRDefault="001C24BC" w:rsidP="004E4612">
          <w:pPr>
            <w:spacing w:after="120" w:line="20" w:lineRule="atLeast"/>
            <w:ind w:left="5245"/>
            <w:contextualSpacing/>
            <w:rPr>
              <w:rFonts w:ascii="Times New Roman" w:hAnsi="Times New Roman" w:cs="Times New Roman"/>
              <w:sz w:val="22"/>
              <w:szCs w:val="22"/>
            </w:rPr>
          </w:pPr>
          <w:r w:rsidRPr="00742FA1">
            <w:rPr>
              <w:rFonts w:ascii="Times New Roman" w:hAnsi="Times New Roman" w:cs="Times New Roman"/>
              <w:sz w:val="22"/>
              <w:szCs w:val="22"/>
            </w:rPr>
            <w:t xml:space="preserve">Perkančiosios organizacijos Viešųjų pirkimų komisijos </w:t>
          </w:r>
          <w:r w:rsidR="00DF6958" w:rsidRPr="00742FA1">
            <w:rPr>
              <w:rFonts w:ascii="Times New Roman" w:hAnsi="Times New Roman" w:cs="Times New Roman"/>
              <w:sz w:val="22"/>
              <w:szCs w:val="22"/>
            </w:rPr>
            <w:t>20</w:t>
          </w:r>
          <w:r w:rsidR="00051721" w:rsidRPr="00742FA1">
            <w:rPr>
              <w:rFonts w:ascii="Times New Roman" w:hAnsi="Times New Roman" w:cs="Times New Roman"/>
              <w:sz w:val="22"/>
              <w:szCs w:val="22"/>
            </w:rPr>
            <w:t>25-</w:t>
          </w:r>
          <w:r w:rsidR="00B62E99" w:rsidRPr="00742FA1">
            <w:rPr>
              <w:rFonts w:ascii="Times New Roman" w:hAnsi="Times New Roman" w:cs="Times New Roman"/>
              <w:sz w:val="22"/>
              <w:szCs w:val="22"/>
            </w:rPr>
            <w:t>0</w:t>
          </w:r>
          <w:r w:rsidR="00CE0D07" w:rsidRPr="00742FA1">
            <w:rPr>
              <w:rFonts w:ascii="Times New Roman" w:hAnsi="Times New Roman" w:cs="Times New Roman"/>
              <w:sz w:val="22"/>
              <w:szCs w:val="22"/>
            </w:rPr>
            <w:t>5</w:t>
          </w:r>
          <w:r w:rsidR="00B62E99" w:rsidRPr="00742FA1">
            <w:rPr>
              <w:rFonts w:ascii="Times New Roman" w:hAnsi="Times New Roman" w:cs="Times New Roman"/>
              <w:sz w:val="22"/>
              <w:szCs w:val="22"/>
            </w:rPr>
            <w:t>-2</w:t>
          </w:r>
          <w:r w:rsidR="00F13CFC" w:rsidRPr="00742FA1">
            <w:rPr>
              <w:rFonts w:ascii="Times New Roman" w:hAnsi="Times New Roman" w:cs="Times New Roman"/>
              <w:sz w:val="22"/>
              <w:szCs w:val="22"/>
            </w:rPr>
            <w:t>7</w:t>
          </w:r>
          <w:r w:rsidR="00705224" w:rsidRPr="00742FA1">
            <w:rPr>
              <w:rFonts w:ascii="Times New Roman" w:hAnsi="Times New Roman" w:cs="Times New Roman"/>
              <w:sz w:val="22"/>
              <w:szCs w:val="22"/>
            </w:rPr>
            <w:t xml:space="preserve"> </w:t>
          </w:r>
          <w:r w:rsidRPr="00742FA1">
            <w:rPr>
              <w:rFonts w:ascii="Times New Roman" w:hAnsi="Times New Roman" w:cs="Times New Roman"/>
              <w:sz w:val="22"/>
              <w:szCs w:val="22"/>
            </w:rPr>
            <w:t xml:space="preserve">protokolu Nr. </w:t>
          </w:r>
          <w:r w:rsidR="00F13CFC" w:rsidRPr="00742FA1">
            <w:rPr>
              <w:rFonts w:ascii="Times New Roman" w:hAnsi="Times New Roman" w:cs="Times New Roman"/>
              <w:sz w:val="22"/>
              <w:szCs w:val="22"/>
            </w:rPr>
            <w:t>4</w:t>
          </w:r>
          <w:r w:rsidR="002D7913" w:rsidRPr="00742FA1">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2C0F5E85" w:rsidR="00C41505" w:rsidRDefault="0099324E" w:rsidP="00B17479">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p>
        <w:p w14:paraId="56ECFEA0" w14:textId="77777777" w:rsidR="004450A2" w:rsidRDefault="004450A2" w:rsidP="00B17479">
          <w:pPr>
            <w:spacing w:after="120" w:line="20" w:lineRule="atLeast"/>
            <w:contextualSpacing/>
            <w:jc w:val="center"/>
            <w:rPr>
              <w:rFonts w:ascii="Times New Roman" w:hAnsi="Times New Roman" w:cs="Times New Roman"/>
              <w:b/>
              <w:bCs/>
              <w:sz w:val="22"/>
              <w:szCs w:val="22"/>
            </w:rPr>
          </w:pPr>
        </w:p>
        <w:p w14:paraId="694175E0" w14:textId="16D327CE" w:rsidR="0037093C" w:rsidRPr="00A50E94" w:rsidRDefault="00A268C3"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TEKSTILĖS ATLIEKŲ SURINKIMO KONTEINERIAI</w:t>
          </w:r>
        </w:p>
        <w:p w14:paraId="18ACC6AD" w14:textId="2DCD44FE"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4EC84A6D" w14:textId="1993C6E3" w:rsidR="00752160" w:rsidRDefault="00085700" w:rsidP="00085700">
              <w:pPr>
                <w:pStyle w:val="Betarp"/>
                <w:rPr>
                  <w:rStyle w:val="Hipersaitas"/>
                  <w:noProof/>
                </w:rPr>
              </w:pPr>
              <w:r w:rsidRPr="00BC43E7">
                <w:rPr>
                  <w:rStyle w:val="Hipersaitas"/>
                  <w:noProof/>
                </w:rPr>
                <w:t>Pirkimo sąlygų 8 prieda</w:t>
              </w:r>
              <w:r w:rsidR="006D72E7">
                <w:rPr>
                  <w:rStyle w:val="Hipersaitas"/>
                  <w:noProof/>
                </w:rPr>
                <w:t>s "Sutarties projektas"</w:t>
              </w:r>
            </w:p>
            <w:p w14:paraId="3027D2B3" w14:textId="2973EE30" w:rsidR="00A65B27" w:rsidRPr="00752160" w:rsidRDefault="00A65B27" w:rsidP="00085700">
              <w:pPr>
                <w:pStyle w:val="Betarp"/>
                <w:rPr>
                  <w:rStyle w:val="Hipersaitas"/>
                  <w:rFonts w:eastAsia="Calibri"/>
                  <w:szCs w:val="24"/>
                </w:rPr>
              </w:pPr>
              <w:r>
                <w:rPr>
                  <w:rStyle w:val="Hipersaitas"/>
                  <w:noProof/>
                </w:rPr>
                <w:t xml:space="preserve">Pirkimo sąlygų </w:t>
              </w:r>
              <w:r w:rsidR="000142BA">
                <w:rPr>
                  <w:rStyle w:val="Hipersaitas"/>
                  <w:noProof/>
                </w:rPr>
                <w:t>9 priedas "Tiekėjo įvykdytos sutartys"</w:t>
              </w:r>
            </w:p>
            <w:bookmarkEnd w:id="0"/>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C96D60E" w14:textId="77777777" w:rsidR="00304285" w:rsidRPr="000F5EDD" w:rsidRDefault="00AD0C79" w:rsidP="00304285">
      <w:pPr>
        <w:pStyle w:val="Sraopastraipa"/>
        <w:spacing w:after="0" w:line="240" w:lineRule="auto"/>
        <w:ind w:left="0" w:firstLine="567"/>
        <w:jc w:val="both"/>
        <w:rPr>
          <w:rFonts w:cstheme="minorHAnsi"/>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patvirtinimo“ pakeitimo“ </w:t>
      </w:r>
      <w:r w:rsidR="008F5717" w:rsidRPr="000F5EDD">
        <w:rPr>
          <w:rFonts w:cstheme="minorHAnsi"/>
          <w:color w:val="000000" w:themeColor="text1"/>
          <w:lang w:eastAsia="en-US"/>
        </w:rPr>
        <w:t xml:space="preserve">4.4.1. papunkčiu: </w:t>
      </w:r>
      <w:r w:rsidR="00304285" w:rsidRPr="000F5EDD">
        <w:rPr>
          <w:rFonts w:cstheme="minorHAnsi"/>
        </w:rPr>
        <w:t>punktu (-</w:t>
      </w:r>
      <w:proofErr w:type="spellStart"/>
      <w:r w:rsidR="00304285" w:rsidRPr="000F5EDD">
        <w:rPr>
          <w:rFonts w:cstheme="minorHAnsi"/>
        </w:rPr>
        <w:t>ais</w:t>
      </w:r>
      <w:proofErr w:type="spellEnd"/>
      <w:r w:rsidR="00304285" w:rsidRPr="000F5EDD">
        <w:rPr>
          <w:rFonts w:cstheme="minorHAnsi"/>
        </w:rPr>
        <w:t>) (</w:t>
      </w:r>
      <w:r w:rsidR="00304285" w:rsidRPr="000F5EDD">
        <w:rPr>
          <w:rFonts w:cstheme="minorHAnsi"/>
          <w:i/>
          <w:iCs/>
        </w:rPr>
        <w:t>Maišai ir krepšiai, kuriais pakeičiami plastikiniai maišeliai; dėžės, dėžutės, konteineriai ir kitos talpyklos, skirtos atliekoms laikyti ir pervežti;&lt;...&gt;)</w:t>
      </w:r>
      <w:r w:rsidR="00304285" w:rsidRPr="000F5EDD">
        <w:rPr>
          <w:rFonts w:cstheme="minorHAnsi"/>
        </w:rPr>
        <w:t>. Aplinkos apsaugos kriterijai nustatyti Specialiųjų sąlygų 8 priedo 13.1. punkte</w:t>
      </w:r>
      <w:r w:rsidR="00304285" w:rsidRPr="000F5EDD">
        <w:rPr>
          <w:rFonts w:cstheme="minorHAnsi"/>
          <w:color w:val="00B050"/>
        </w:rPr>
        <w:t>.</w:t>
      </w:r>
    </w:p>
    <w:p w14:paraId="68663B70" w14:textId="77777777" w:rsidR="00CB5005" w:rsidRDefault="007C5954" w:rsidP="00304285">
      <w:pPr>
        <w:pStyle w:val="Betarp"/>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proofErr w:type="spellStart"/>
      <w:r w:rsidR="00E32C8E" w:rsidRPr="00CB5005">
        <w:rPr>
          <w:rFonts w:cstheme="minorHAnsi"/>
          <w:i/>
          <w:iCs/>
          <w:lang w:eastAsia="en-US"/>
        </w:rPr>
        <w:t>ex</w:t>
      </w:r>
      <w:proofErr w:type="spellEnd"/>
      <w:r w:rsidR="00E32C8E" w:rsidRPr="00CB5005">
        <w:rPr>
          <w:rFonts w:cstheme="minorHAnsi"/>
          <w:i/>
          <w:iCs/>
          <w:lang w:eastAsia="en-US"/>
        </w:rPr>
        <w:t xml:space="preserve">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4ADB00DD"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w:t>
      </w:r>
      <w:r w:rsidRPr="00041BA5">
        <w:rPr>
          <w:rFonts w:eastAsia="Calibri"/>
          <w:sz w:val="22"/>
          <w:szCs w:val="22"/>
        </w:rPr>
        <w:t xml:space="preserve">numato įsigyti </w:t>
      </w:r>
      <w:r w:rsidR="005C2867">
        <w:rPr>
          <w:rFonts w:eastAsia="Calibri"/>
          <w:b/>
          <w:bCs/>
          <w:sz w:val="22"/>
          <w:szCs w:val="22"/>
        </w:rPr>
        <w:t xml:space="preserve">tekstilės </w:t>
      </w:r>
      <w:r w:rsidR="002542CC">
        <w:rPr>
          <w:rFonts w:eastAsia="Calibri"/>
          <w:b/>
          <w:bCs/>
          <w:sz w:val="22"/>
          <w:szCs w:val="22"/>
        </w:rPr>
        <w:t>atliekų surinkimo konteinerius</w:t>
      </w:r>
      <w:r w:rsidR="00041BA5" w:rsidRPr="00041BA5">
        <w:rPr>
          <w:rFonts w:eastAsia="Calibri"/>
          <w:b/>
          <w:bCs/>
          <w:sz w:val="22"/>
          <w:szCs w:val="22"/>
        </w:rPr>
        <w:t>.</w:t>
      </w:r>
      <w:r w:rsidR="00293285" w:rsidRPr="00041BA5">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39AE852F" w14:textId="454C4F36" w:rsidR="005079A7" w:rsidRPr="00197142" w:rsidRDefault="00DD5144" w:rsidP="00197142">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5E56BB9F" w14:textId="77777777" w:rsidR="00963E01" w:rsidRPr="008254CB" w:rsidRDefault="00963E01" w:rsidP="00963E01">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0930E9CF" w:rsidR="008C172F" w:rsidRPr="00F90CEA" w:rsidRDefault="008C172F" w:rsidP="00C46082">
      <w:pPr>
        <w:spacing w:after="0" w:line="240" w:lineRule="auto"/>
        <w:ind w:firstLine="851"/>
        <w:jc w:val="both"/>
        <w:rPr>
          <w:rFonts w:ascii="Calibri" w:eastAsia="Times New Roman" w:hAnsi="Calibri" w:cs="Calibri"/>
          <w:b/>
        </w:rPr>
      </w:pPr>
      <w:r w:rsidRPr="00F90CEA">
        <w:rPr>
          <w:rFonts w:ascii="Calibri" w:hAnsi="Calibri" w:cs="Calibri"/>
        </w:rPr>
        <w:t>6.1.</w:t>
      </w:r>
      <w:r w:rsidR="00E123FC" w:rsidRPr="00F90CEA">
        <w:rPr>
          <w:rFonts w:ascii="Calibri" w:hAnsi="Calibri" w:cs="Calibri"/>
        </w:rPr>
        <w:t>9</w:t>
      </w:r>
      <w:r w:rsidRPr="00F90CEA">
        <w:rPr>
          <w:rFonts w:ascii="Calibri" w:hAnsi="Calibri" w:cs="Calibri"/>
        </w:rPr>
        <w:t xml:space="preserve">. </w:t>
      </w:r>
      <w:r w:rsidR="00C46082" w:rsidRPr="00F90CEA">
        <w:rPr>
          <w:rFonts w:ascii="Calibri" w:eastAsia="Times New Roman" w:hAnsi="Calibri" w:cs="Calibri"/>
          <w:b/>
        </w:rPr>
        <w:t>pateikiama užpildyta 2 priedo „Techninė specifikacija“ lentelė ,,Techniniai reikalavimai konteineriams“.</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w:t>
      </w:r>
      <w:r w:rsidR="0048587E" w:rsidRPr="00FE241B">
        <w:lastRenderedPageBreak/>
        <w:t xml:space="preserve">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6ACF670B" w14:textId="1D8854BA" w:rsidR="002D714D" w:rsidRPr="00937C4F" w:rsidRDefault="008254CB" w:rsidP="002D714D">
      <w:pPr>
        <w:pStyle w:val="Sraopastraipa"/>
        <w:numPr>
          <w:ilvl w:val="1"/>
          <w:numId w:val="42"/>
        </w:numPr>
        <w:spacing w:after="0" w:line="240" w:lineRule="auto"/>
        <w:ind w:left="0" w:firstLine="709"/>
        <w:jc w:val="both"/>
        <w:rPr>
          <w:rFonts w:ascii="Calibri" w:hAnsi="Calibri" w:cs="Calibri"/>
        </w:rPr>
      </w:pPr>
      <w:bookmarkStart w:id="28" w:name="_Hlk177393742"/>
      <w:bookmarkStart w:id="29"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bookmarkEnd w:id="28"/>
      <w:bookmarkEnd w:id="29"/>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0"/>
      <w:bookmarkEnd w:id="31"/>
      <w:bookmarkEnd w:id="32"/>
      <w:bookmarkEnd w:id="33"/>
      <w:bookmarkEnd w:id="34"/>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5"/>
      <w:bookmarkEnd w:id="36"/>
      <w:bookmarkEnd w:id="37"/>
      <w:bookmarkEnd w:id="38"/>
      <w:bookmarkEnd w:id="39"/>
    </w:p>
    <w:p w14:paraId="780D7D2B" w14:textId="4A0A9F2B" w:rsidR="00B63C90" w:rsidRPr="00174FA1" w:rsidRDefault="00B63C90" w:rsidP="00B63C90">
      <w:pPr>
        <w:spacing w:after="0" w:line="240" w:lineRule="auto"/>
        <w:ind w:firstLine="709"/>
        <w:jc w:val="both"/>
        <w:rPr>
          <w:rFonts w:eastAsia="Calibri" w:cstheme="minorHAnsi"/>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6E5862">
        <w:rPr>
          <w:rFonts w:eastAsia="Calibri" w:cstheme="minorHAnsi"/>
        </w:rPr>
        <w:t xml:space="preserve">specialiųjų pirkimo sąlygų </w:t>
      </w:r>
      <w:bookmarkEnd w:id="40"/>
      <w:r w:rsidR="006E5862" w:rsidRPr="006E5862">
        <w:rPr>
          <w:rFonts w:eastAsia="Calibri" w:cstheme="minorHAnsi"/>
        </w:rPr>
        <w:t>6</w:t>
      </w:r>
      <w:r w:rsidRPr="006E5862">
        <w:rPr>
          <w:rFonts w:eastAsia="Calibri" w:cstheme="minorHAnsi"/>
        </w:rPr>
        <w:t xml:space="preserve"> priede. </w:t>
      </w:r>
    </w:p>
    <w:p w14:paraId="3887E1B8" w14:textId="77777777" w:rsidR="00B63C90" w:rsidRPr="00454EE0" w:rsidRDefault="00B63C90" w:rsidP="00B63C90">
      <w:pPr>
        <w:spacing w:after="0" w:line="240" w:lineRule="auto"/>
        <w:ind w:firstLine="709"/>
        <w:jc w:val="both"/>
        <w:rPr>
          <w:rFonts w:cstheme="minorHAnsi"/>
        </w:rPr>
      </w:pPr>
      <w:r w:rsidRPr="00454EE0">
        <w:rPr>
          <w:rFonts w:eastAsia="Calibri" w:cstheme="minorHAnsi"/>
        </w:rPr>
        <w:t xml:space="preserve">9.2. </w:t>
      </w:r>
      <w:r w:rsidRPr="00454EE0">
        <w:rPr>
          <w:rFonts w:cstheme="minorHAnsi"/>
        </w:rPr>
        <w:t xml:space="preserve">Laimėjusiu pasiūlymu galės būti pripažintas tik 1 (vienas) ekonomiškai naudingiausias pasiūlymas, esantis pasiūlymų eilės pirmojoje vietoje. </w:t>
      </w:r>
    </w:p>
    <w:p w14:paraId="0E899FF8" w14:textId="77777777" w:rsidR="00B63C90" w:rsidRDefault="00B63C90" w:rsidP="00F95F14">
      <w:pPr>
        <w:spacing w:line="240" w:lineRule="auto"/>
        <w:ind w:firstLine="567"/>
        <w:jc w:val="both"/>
        <w:rPr>
          <w:rFonts w:cstheme="minorHAns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Sutarties sudarymas</w:t>
      </w:r>
      <w:bookmarkEnd w:id="41"/>
      <w:bookmarkEnd w:id="42"/>
      <w:bookmarkEnd w:id="43"/>
    </w:p>
    <w:p w14:paraId="300518BE" w14:textId="794C27D2" w:rsidR="00452E66" w:rsidRPr="00787837" w:rsidRDefault="00D24929" w:rsidP="00787837">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141F0A">
        <w:rPr>
          <w:rFonts w:cstheme="minorHAnsi"/>
          <w:b/>
          <w:bCs/>
        </w:rPr>
        <w:t>8</w:t>
      </w:r>
      <w:r w:rsidR="00651F24" w:rsidRPr="00E36AA2">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58D23C1" w14:textId="003EE5BA" w:rsidR="00A70EF6" w:rsidRPr="008F12AB" w:rsidRDefault="00EF78C6"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3695BF95" w14:textId="77777777" w:rsidR="000B4111" w:rsidRDefault="000B4111" w:rsidP="000B4111">
      <w:pPr>
        <w:pStyle w:val="Antrat2"/>
        <w:jc w:val="right"/>
        <w:rPr>
          <w:b/>
          <w:color w:val="0070C0"/>
          <w:sz w:val="20"/>
          <w:szCs w:val="20"/>
        </w:rPr>
      </w:pPr>
      <w:r>
        <w:rPr>
          <w:b/>
          <w:color w:val="0070C0"/>
          <w:sz w:val="20"/>
          <w:szCs w:val="20"/>
        </w:rPr>
        <w:lastRenderedPageBreak/>
        <w:t>P</w:t>
      </w:r>
      <w:r w:rsidRPr="000D0FC2">
        <w:rPr>
          <w:b/>
          <w:color w:val="0070C0"/>
          <w:sz w:val="20"/>
          <w:szCs w:val="20"/>
        </w:rPr>
        <w:t>irkimo sąlygų 1 priedas „Terminai“</w:t>
      </w:r>
    </w:p>
    <w:p w14:paraId="0C0151A2" w14:textId="77777777" w:rsidR="00A70EF6" w:rsidRDefault="00A70EF6" w:rsidP="00A70EF6">
      <w:pPr>
        <w:pStyle w:val="Antrat2"/>
        <w:jc w:val="right"/>
        <w:rPr>
          <w:b/>
          <w:color w:val="0070C0"/>
          <w:sz w:val="20"/>
          <w:szCs w:val="20"/>
        </w:rPr>
      </w:pPr>
    </w:p>
    <w:p w14:paraId="757AEAA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B4111" w:rsidRPr="000B4111" w14:paraId="0DB5E5E5" w14:textId="77777777" w:rsidTr="000B4111">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078829BD"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p>
        </w:tc>
      </w:tr>
      <w:tr w:rsidR="000B4111" w:rsidRPr="00676DB4" w14:paraId="3725E3DA" w14:textId="77777777" w:rsidTr="000B4111">
        <w:trPr>
          <w:trHeight w:val="20"/>
        </w:trPr>
        <w:tc>
          <w:tcPr>
            <w:tcW w:w="844" w:type="dxa"/>
            <w:tcBorders>
              <w:top w:val="single" w:sz="4" w:space="0" w:color="auto"/>
            </w:tcBorders>
            <w:shd w:val="clear" w:color="auto" w:fill="D9D9D9"/>
            <w:tcMar>
              <w:top w:w="0" w:type="dxa"/>
              <w:left w:w="108" w:type="dxa"/>
              <w:bottom w:w="0" w:type="dxa"/>
              <w:right w:w="108" w:type="dxa"/>
            </w:tcMar>
          </w:tcPr>
          <w:p w14:paraId="1641387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5F1F0E02"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45693D17"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DATA/DIENŲ SKAIČIUS/ LAIKAS</w:t>
            </w:r>
          </w:p>
          <w:p w14:paraId="71597771" w14:textId="77777777" w:rsidR="000B4111" w:rsidRPr="000B4111" w:rsidRDefault="000B4111" w:rsidP="000B4111">
            <w:pPr>
              <w:spacing w:after="0" w:line="240" w:lineRule="auto"/>
              <w:jc w:val="center"/>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10480CF6"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PASTABOS</w:t>
            </w:r>
          </w:p>
        </w:tc>
      </w:tr>
      <w:tr w:rsidR="000B4111" w:rsidRPr="000B4111" w14:paraId="28477C34" w14:textId="77777777" w:rsidTr="007A08BA">
        <w:trPr>
          <w:trHeight w:val="20"/>
        </w:trPr>
        <w:tc>
          <w:tcPr>
            <w:tcW w:w="844" w:type="dxa"/>
            <w:shd w:val="clear" w:color="auto" w:fill="auto"/>
            <w:tcMar>
              <w:top w:w="0" w:type="dxa"/>
              <w:left w:w="108" w:type="dxa"/>
              <w:bottom w:w="0" w:type="dxa"/>
              <w:right w:w="108" w:type="dxa"/>
            </w:tcMar>
          </w:tcPr>
          <w:p w14:paraId="43A2FBA9"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w:t>
            </w:r>
          </w:p>
        </w:tc>
        <w:tc>
          <w:tcPr>
            <w:tcW w:w="2486" w:type="dxa"/>
            <w:shd w:val="clear" w:color="auto" w:fill="auto"/>
            <w:tcMar>
              <w:top w:w="0" w:type="dxa"/>
              <w:left w:w="108" w:type="dxa"/>
              <w:bottom w:w="0" w:type="dxa"/>
              <w:right w:w="108" w:type="dxa"/>
            </w:tcMar>
          </w:tcPr>
          <w:p w14:paraId="5E9D5796"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Pasiūlymų pateikimo terminas</w:t>
            </w:r>
          </w:p>
        </w:tc>
        <w:tc>
          <w:tcPr>
            <w:tcW w:w="3542" w:type="dxa"/>
            <w:shd w:val="clear" w:color="auto" w:fill="auto"/>
            <w:tcMar>
              <w:top w:w="0" w:type="dxa"/>
              <w:left w:w="108" w:type="dxa"/>
              <w:bottom w:w="0" w:type="dxa"/>
              <w:right w:w="108" w:type="dxa"/>
            </w:tcMar>
          </w:tcPr>
          <w:p w14:paraId="5536037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nurodytas skelbime </w:t>
            </w:r>
          </w:p>
        </w:tc>
        <w:tc>
          <w:tcPr>
            <w:tcW w:w="2874" w:type="dxa"/>
            <w:shd w:val="clear" w:color="auto" w:fill="auto"/>
            <w:tcMar>
              <w:top w:w="0" w:type="dxa"/>
              <w:left w:w="108" w:type="dxa"/>
              <w:bottom w:w="0" w:type="dxa"/>
              <w:right w:w="108" w:type="dxa"/>
            </w:tcMar>
          </w:tcPr>
          <w:p w14:paraId="14309EC4"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color w:val="000000"/>
                <w:kern w:val="28"/>
                <w:lang w:eastAsia="en-US"/>
              </w:rPr>
              <w:t>Perkančioji organizacija turi teisę pratęsti pasiūlymų pateikimo terminą.</w:t>
            </w:r>
          </w:p>
        </w:tc>
      </w:tr>
      <w:tr w:rsidR="000B4111" w:rsidRPr="000B4111" w14:paraId="2330BEB2" w14:textId="77777777" w:rsidTr="007A08BA">
        <w:trPr>
          <w:trHeight w:val="20"/>
        </w:trPr>
        <w:tc>
          <w:tcPr>
            <w:tcW w:w="844" w:type="dxa"/>
            <w:shd w:val="clear" w:color="auto" w:fill="auto"/>
            <w:tcMar>
              <w:top w:w="0" w:type="dxa"/>
              <w:left w:w="108" w:type="dxa"/>
              <w:bottom w:w="0" w:type="dxa"/>
              <w:right w:w="108" w:type="dxa"/>
            </w:tcMar>
          </w:tcPr>
          <w:p w14:paraId="597496CE"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2.</w:t>
            </w:r>
          </w:p>
        </w:tc>
        <w:tc>
          <w:tcPr>
            <w:tcW w:w="2486" w:type="dxa"/>
            <w:shd w:val="clear" w:color="auto" w:fill="auto"/>
            <w:tcMar>
              <w:top w:w="0" w:type="dxa"/>
              <w:left w:w="108" w:type="dxa"/>
              <w:bottom w:w="0" w:type="dxa"/>
              <w:right w:w="108" w:type="dxa"/>
            </w:tcMar>
          </w:tcPr>
          <w:p w14:paraId="68CA345A"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Pradinis susipažinimas su CVP IS priemonėmis gautais pasiūlymais</w:t>
            </w:r>
          </w:p>
        </w:tc>
        <w:tc>
          <w:tcPr>
            <w:tcW w:w="3542" w:type="dxa"/>
            <w:shd w:val="clear" w:color="auto" w:fill="auto"/>
            <w:tcMar>
              <w:top w:w="0" w:type="dxa"/>
              <w:left w:w="108" w:type="dxa"/>
              <w:bottom w:w="0" w:type="dxa"/>
              <w:right w:w="108" w:type="dxa"/>
            </w:tcMar>
          </w:tcPr>
          <w:p w14:paraId="30474088"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Pradedamas ne anksčiau nei po 30 minučių po pasiūlymų pateikimo termino pabaigos</w:t>
            </w:r>
          </w:p>
        </w:tc>
        <w:tc>
          <w:tcPr>
            <w:tcW w:w="2874" w:type="dxa"/>
            <w:shd w:val="clear" w:color="auto" w:fill="auto"/>
            <w:tcMar>
              <w:top w:w="0" w:type="dxa"/>
              <w:left w:w="108" w:type="dxa"/>
              <w:bottom w:w="0" w:type="dxa"/>
              <w:right w:w="108" w:type="dxa"/>
            </w:tcMar>
          </w:tcPr>
          <w:p w14:paraId="38836119"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p>
        </w:tc>
      </w:tr>
      <w:tr w:rsidR="000B4111" w:rsidRPr="000B4111" w14:paraId="753E4B7D" w14:textId="77777777" w:rsidTr="007A08BA">
        <w:trPr>
          <w:trHeight w:val="20"/>
        </w:trPr>
        <w:tc>
          <w:tcPr>
            <w:tcW w:w="844" w:type="dxa"/>
            <w:shd w:val="clear" w:color="auto" w:fill="auto"/>
            <w:tcMar>
              <w:top w:w="0" w:type="dxa"/>
              <w:left w:w="108" w:type="dxa"/>
              <w:bottom w:w="0" w:type="dxa"/>
              <w:right w:w="108" w:type="dxa"/>
            </w:tcMar>
          </w:tcPr>
          <w:p w14:paraId="20107880"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w:t>
            </w:r>
          </w:p>
        </w:tc>
        <w:tc>
          <w:tcPr>
            <w:tcW w:w="2486" w:type="dxa"/>
            <w:shd w:val="clear" w:color="auto" w:fill="auto"/>
            <w:tcMar>
              <w:top w:w="0" w:type="dxa"/>
              <w:left w:w="108" w:type="dxa"/>
              <w:bottom w:w="0" w:type="dxa"/>
              <w:right w:w="108" w:type="dxa"/>
            </w:tcMar>
          </w:tcPr>
          <w:p w14:paraId="32EB8511"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Prašymą paaiškinti, patikslinti pirkimo sąlygas tiekėjas turi pateikti ne vėliau kaip:</w:t>
            </w:r>
          </w:p>
        </w:tc>
        <w:tc>
          <w:tcPr>
            <w:tcW w:w="3542" w:type="dxa"/>
            <w:shd w:val="clear" w:color="auto" w:fill="auto"/>
            <w:tcMar>
              <w:top w:w="0" w:type="dxa"/>
              <w:left w:w="108" w:type="dxa"/>
              <w:bottom w:w="0" w:type="dxa"/>
              <w:right w:w="108" w:type="dxa"/>
            </w:tcMar>
          </w:tcPr>
          <w:p w14:paraId="105CAA5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kern w:val="28"/>
                <w:lang w:eastAsia="en-US"/>
              </w:rPr>
              <w:t xml:space="preserve">6 </w:t>
            </w:r>
            <w:r w:rsidRPr="000B4111">
              <w:rPr>
                <w:rFonts w:ascii="Times New Roman" w:eastAsia="Times New Roman" w:hAnsi="Times New Roman" w:cs="Times New Roman"/>
                <w:color w:val="000000"/>
                <w:kern w:val="28"/>
                <w:lang w:eastAsia="en-US"/>
              </w:rPr>
              <w:t>dienų iki pasiūlymų pateikimo termino dienos</w:t>
            </w:r>
          </w:p>
        </w:tc>
        <w:tc>
          <w:tcPr>
            <w:tcW w:w="2874" w:type="dxa"/>
            <w:shd w:val="clear" w:color="auto" w:fill="auto"/>
            <w:tcMar>
              <w:top w:w="0" w:type="dxa"/>
              <w:left w:w="108" w:type="dxa"/>
              <w:bottom w:w="0" w:type="dxa"/>
              <w:right w:w="108" w:type="dxa"/>
            </w:tcMar>
          </w:tcPr>
          <w:p w14:paraId="4E001BFB" w14:textId="77777777" w:rsidR="000B4111" w:rsidRPr="000B4111" w:rsidRDefault="000B4111" w:rsidP="000B4111">
            <w:pPr>
              <w:spacing w:after="0" w:line="240" w:lineRule="auto"/>
              <w:rPr>
                <w:rFonts w:ascii="Times New Roman" w:eastAsia="Times New Roman" w:hAnsi="Times New Roman" w:cs="Times New Roman"/>
                <w:iCs/>
                <w:color w:val="7030A0"/>
                <w:kern w:val="28"/>
                <w:lang w:eastAsia="en-US"/>
              </w:rPr>
            </w:pPr>
          </w:p>
        </w:tc>
      </w:tr>
      <w:tr w:rsidR="000B4111" w:rsidRPr="000B4111" w14:paraId="583EFED2" w14:textId="77777777" w:rsidTr="007A08BA">
        <w:trPr>
          <w:trHeight w:val="20"/>
        </w:trPr>
        <w:tc>
          <w:tcPr>
            <w:tcW w:w="844" w:type="dxa"/>
            <w:shd w:val="clear" w:color="auto" w:fill="auto"/>
            <w:tcMar>
              <w:top w:w="0" w:type="dxa"/>
              <w:left w:w="108" w:type="dxa"/>
              <w:bottom w:w="0" w:type="dxa"/>
              <w:right w:w="108" w:type="dxa"/>
            </w:tcMar>
          </w:tcPr>
          <w:p w14:paraId="71E2FC6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4.</w:t>
            </w:r>
          </w:p>
        </w:tc>
        <w:tc>
          <w:tcPr>
            <w:tcW w:w="2486" w:type="dxa"/>
            <w:shd w:val="clear" w:color="auto" w:fill="auto"/>
            <w:tcMar>
              <w:top w:w="0" w:type="dxa"/>
              <w:left w:w="108" w:type="dxa"/>
              <w:bottom w:w="0" w:type="dxa"/>
              <w:right w:w="108" w:type="dxa"/>
            </w:tcMar>
          </w:tcPr>
          <w:p w14:paraId="2BFA27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pirkimo sąlygų paaiškinimą, patikslinimą pateikia visiems tiekėjams ne vėliau kaip:</w:t>
            </w:r>
          </w:p>
        </w:tc>
        <w:tc>
          <w:tcPr>
            <w:tcW w:w="3542" w:type="dxa"/>
            <w:shd w:val="clear" w:color="auto" w:fill="auto"/>
            <w:tcMar>
              <w:top w:w="0" w:type="dxa"/>
              <w:left w:w="108" w:type="dxa"/>
              <w:bottom w:w="0" w:type="dxa"/>
              <w:right w:w="108" w:type="dxa"/>
            </w:tcMar>
          </w:tcPr>
          <w:p w14:paraId="36D10877"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4 dienos iki pasiūlymų pateikimo termino dienos</w:t>
            </w:r>
          </w:p>
        </w:tc>
        <w:tc>
          <w:tcPr>
            <w:tcW w:w="2874" w:type="dxa"/>
            <w:shd w:val="clear" w:color="auto" w:fill="auto"/>
            <w:tcMar>
              <w:top w:w="0" w:type="dxa"/>
              <w:left w:w="108" w:type="dxa"/>
              <w:bottom w:w="0" w:type="dxa"/>
              <w:right w:w="108" w:type="dxa"/>
            </w:tcMar>
          </w:tcPr>
          <w:p w14:paraId="0C3E974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E46A98A" w14:textId="77777777" w:rsidTr="007A08BA">
        <w:trPr>
          <w:trHeight w:val="20"/>
        </w:trPr>
        <w:tc>
          <w:tcPr>
            <w:tcW w:w="844" w:type="dxa"/>
            <w:shd w:val="clear" w:color="auto" w:fill="auto"/>
            <w:tcMar>
              <w:top w:w="0" w:type="dxa"/>
              <w:left w:w="108" w:type="dxa"/>
              <w:bottom w:w="0" w:type="dxa"/>
              <w:right w:w="108" w:type="dxa"/>
            </w:tcMar>
          </w:tcPr>
          <w:p w14:paraId="03C2B1A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5.</w:t>
            </w:r>
          </w:p>
        </w:tc>
        <w:tc>
          <w:tcPr>
            <w:tcW w:w="2486" w:type="dxa"/>
            <w:shd w:val="clear" w:color="auto" w:fill="auto"/>
            <w:tcMar>
              <w:top w:w="0" w:type="dxa"/>
              <w:left w:w="108" w:type="dxa"/>
              <w:bottom w:w="0" w:type="dxa"/>
              <w:right w:w="108" w:type="dxa"/>
            </w:tcMar>
          </w:tcPr>
          <w:p w14:paraId="5F272F8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Objekto apžiūra bus vykdoma:</w:t>
            </w:r>
          </w:p>
        </w:tc>
        <w:tc>
          <w:tcPr>
            <w:tcW w:w="3542" w:type="dxa"/>
            <w:shd w:val="clear" w:color="auto" w:fill="auto"/>
            <w:tcMar>
              <w:top w:w="0" w:type="dxa"/>
              <w:left w:w="108" w:type="dxa"/>
              <w:bottom w:w="0" w:type="dxa"/>
              <w:right w:w="108" w:type="dxa"/>
            </w:tcMar>
          </w:tcPr>
          <w:p w14:paraId="7D58687F" w14:textId="77777777" w:rsidR="000B4111" w:rsidRPr="000B4111" w:rsidRDefault="000B4111" w:rsidP="000B4111">
            <w:pPr>
              <w:spacing w:after="0" w:line="240" w:lineRule="auto"/>
              <w:rPr>
                <w:rFonts w:ascii="Times New Roman" w:eastAsia="Times New Roman" w:hAnsi="Times New Roman" w:cs="Times New Roman"/>
                <w:iCs/>
                <w:color w:val="FF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43ADD1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04153FB5" w14:textId="77777777" w:rsidTr="007A08BA">
        <w:trPr>
          <w:trHeight w:val="20"/>
        </w:trPr>
        <w:tc>
          <w:tcPr>
            <w:tcW w:w="844" w:type="dxa"/>
            <w:shd w:val="clear" w:color="auto" w:fill="auto"/>
            <w:tcMar>
              <w:top w:w="0" w:type="dxa"/>
              <w:left w:w="108" w:type="dxa"/>
              <w:bottom w:w="0" w:type="dxa"/>
              <w:right w:w="108" w:type="dxa"/>
            </w:tcMar>
          </w:tcPr>
          <w:p w14:paraId="77E306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6.</w:t>
            </w:r>
          </w:p>
        </w:tc>
        <w:tc>
          <w:tcPr>
            <w:tcW w:w="2486" w:type="dxa"/>
            <w:shd w:val="clear" w:color="auto" w:fill="auto"/>
            <w:tcMar>
              <w:top w:w="0" w:type="dxa"/>
              <w:left w:w="108" w:type="dxa"/>
              <w:bottom w:w="0" w:type="dxa"/>
              <w:right w:w="108" w:type="dxa"/>
            </w:tcMar>
          </w:tcPr>
          <w:p w14:paraId="5B7E1207"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rengs susitikimus su tiekėjais dėl pirkimo sąlygų paaiškinimo</w:t>
            </w:r>
          </w:p>
        </w:tc>
        <w:tc>
          <w:tcPr>
            <w:tcW w:w="3542" w:type="dxa"/>
            <w:shd w:val="clear" w:color="auto" w:fill="auto"/>
            <w:tcMar>
              <w:top w:w="0" w:type="dxa"/>
              <w:left w:w="108" w:type="dxa"/>
              <w:bottom w:w="0" w:type="dxa"/>
              <w:right w:w="108" w:type="dxa"/>
            </w:tcMar>
          </w:tcPr>
          <w:p w14:paraId="0E867E2C"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58A3197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2414CDB" w14:textId="77777777" w:rsidTr="007A08BA">
        <w:trPr>
          <w:trHeight w:val="20"/>
        </w:trPr>
        <w:tc>
          <w:tcPr>
            <w:tcW w:w="844" w:type="dxa"/>
            <w:shd w:val="clear" w:color="auto" w:fill="auto"/>
            <w:tcMar>
              <w:top w:w="0" w:type="dxa"/>
              <w:left w:w="108" w:type="dxa"/>
              <w:bottom w:w="0" w:type="dxa"/>
              <w:right w:w="108" w:type="dxa"/>
            </w:tcMar>
          </w:tcPr>
          <w:p w14:paraId="3E39A2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7.</w:t>
            </w:r>
          </w:p>
        </w:tc>
        <w:tc>
          <w:tcPr>
            <w:tcW w:w="2486" w:type="dxa"/>
            <w:shd w:val="clear" w:color="auto" w:fill="auto"/>
            <w:tcMar>
              <w:top w:w="0" w:type="dxa"/>
              <w:left w:w="108" w:type="dxa"/>
              <w:bottom w:w="0" w:type="dxa"/>
              <w:right w:w="108" w:type="dxa"/>
            </w:tcMar>
          </w:tcPr>
          <w:p w14:paraId="4428489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Tiekėjai turi pateikti prekių pavyzdžius</w:t>
            </w:r>
          </w:p>
        </w:tc>
        <w:tc>
          <w:tcPr>
            <w:tcW w:w="3542" w:type="dxa"/>
            <w:shd w:val="clear" w:color="auto" w:fill="auto"/>
            <w:tcMar>
              <w:top w:w="0" w:type="dxa"/>
              <w:left w:w="108" w:type="dxa"/>
              <w:bottom w:w="0" w:type="dxa"/>
              <w:right w:w="108" w:type="dxa"/>
            </w:tcMar>
          </w:tcPr>
          <w:p w14:paraId="58760E84" w14:textId="77777777" w:rsidR="000B4111" w:rsidRPr="000B4111" w:rsidRDefault="000B4111" w:rsidP="000B4111">
            <w:pPr>
              <w:suppressAutoHyphens/>
              <w:spacing w:after="0" w:line="240" w:lineRule="auto"/>
              <w:jc w:val="both"/>
              <w:rPr>
                <w:rFonts w:ascii="Times New Roman" w:eastAsia="Arial Unicode MS" w:hAnsi="Times New Roman" w:cs="Times New Roman"/>
                <w:lang w:eastAsia="en-US"/>
              </w:rPr>
            </w:pPr>
            <w:r w:rsidRPr="000B4111">
              <w:rPr>
                <w:rFonts w:ascii="Times New Roman" w:eastAsia="Arial Unicode MS" w:hAnsi="Times New Roman" w:cs="Times New Roman"/>
                <w:lang w:eastAsia="en-US"/>
              </w:rPr>
              <w:t>NETAIKOMA</w:t>
            </w:r>
          </w:p>
          <w:p w14:paraId="4417BE3C" w14:textId="77777777" w:rsidR="000B4111" w:rsidRPr="000B4111" w:rsidRDefault="000B4111" w:rsidP="000B4111">
            <w:pPr>
              <w:spacing w:after="0" w:line="240" w:lineRule="auto"/>
              <w:rPr>
                <w:rFonts w:ascii="Times New Roman" w:eastAsia="Times New Roman" w:hAnsi="Times New Roman" w:cs="Times New Roman"/>
                <w:iCs/>
                <w:color w:val="00B050"/>
                <w:kern w:val="28"/>
                <w:lang w:eastAsia="en-US"/>
              </w:rPr>
            </w:pPr>
            <w:r w:rsidRPr="000B4111">
              <w:rPr>
                <w:rFonts w:ascii="Times New Roman" w:eastAsia="Times New Roman" w:hAnsi="Times New Roman" w:cs="Times New Roman"/>
                <w:i/>
                <w:iCs/>
                <w:color w:val="7030A0"/>
                <w:kern w:val="28"/>
                <w:lang w:eastAsia="en-US"/>
              </w:rPr>
              <w:t xml:space="preserve"> </w:t>
            </w:r>
          </w:p>
        </w:tc>
        <w:tc>
          <w:tcPr>
            <w:tcW w:w="2874" w:type="dxa"/>
            <w:shd w:val="clear" w:color="auto" w:fill="auto"/>
            <w:tcMar>
              <w:top w:w="0" w:type="dxa"/>
              <w:left w:w="108" w:type="dxa"/>
              <w:bottom w:w="0" w:type="dxa"/>
              <w:right w:w="108" w:type="dxa"/>
            </w:tcMar>
          </w:tcPr>
          <w:p w14:paraId="5DE9ED4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67F69DD9" w14:textId="77777777" w:rsidTr="007A08BA">
        <w:trPr>
          <w:trHeight w:val="20"/>
        </w:trPr>
        <w:tc>
          <w:tcPr>
            <w:tcW w:w="844" w:type="dxa"/>
            <w:shd w:val="clear" w:color="auto" w:fill="auto"/>
            <w:tcMar>
              <w:top w:w="0" w:type="dxa"/>
              <w:left w:w="108" w:type="dxa"/>
              <w:bottom w:w="0" w:type="dxa"/>
              <w:right w:w="108" w:type="dxa"/>
            </w:tcMar>
          </w:tcPr>
          <w:p w14:paraId="4E2E5C0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8.</w:t>
            </w:r>
          </w:p>
        </w:tc>
        <w:tc>
          <w:tcPr>
            <w:tcW w:w="2486" w:type="dxa"/>
            <w:shd w:val="clear" w:color="auto" w:fill="auto"/>
            <w:tcMar>
              <w:top w:w="0" w:type="dxa"/>
              <w:left w:w="108" w:type="dxa"/>
              <w:bottom w:w="0" w:type="dxa"/>
              <w:right w:w="108" w:type="dxa"/>
            </w:tcMar>
          </w:tcPr>
          <w:p w14:paraId="638C624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Pasiūlymo galiojimo ir pasiūlymo galiojimo užtikrinimo (jei taikoma) terminas ne trumpesnis kaip</w:t>
            </w:r>
          </w:p>
        </w:tc>
        <w:tc>
          <w:tcPr>
            <w:tcW w:w="3542" w:type="dxa"/>
            <w:shd w:val="clear" w:color="auto" w:fill="auto"/>
            <w:tcMar>
              <w:top w:w="0" w:type="dxa"/>
              <w:left w:w="108" w:type="dxa"/>
              <w:bottom w:w="0" w:type="dxa"/>
              <w:right w:w="108" w:type="dxa"/>
            </w:tcMar>
          </w:tcPr>
          <w:p w14:paraId="1BA469A3"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r w:rsidRPr="000B4111">
              <w:rPr>
                <w:rFonts w:ascii="Times New Roman" w:eastAsia="Times New Roman" w:hAnsi="Times New Roman" w:cs="Times New Roman"/>
                <w:iCs/>
                <w:kern w:val="28"/>
                <w:lang w:eastAsia="en-US"/>
              </w:rPr>
              <w:t>90 (devyniasdešimt) dienų nuo pasiūlymų pateikimo galutinio termino pabaigos</w:t>
            </w:r>
          </w:p>
        </w:tc>
        <w:tc>
          <w:tcPr>
            <w:tcW w:w="2874" w:type="dxa"/>
            <w:shd w:val="clear" w:color="auto" w:fill="auto"/>
            <w:tcMar>
              <w:top w:w="0" w:type="dxa"/>
              <w:left w:w="108" w:type="dxa"/>
              <w:bottom w:w="0" w:type="dxa"/>
              <w:right w:w="108" w:type="dxa"/>
            </w:tcMar>
          </w:tcPr>
          <w:p w14:paraId="0D754C2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46D3BB9" w14:textId="77777777" w:rsidTr="007A08BA">
        <w:trPr>
          <w:trHeight w:val="20"/>
        </w:trPr>
        <w:tc>
          <w:tcPr>
            <w:tcW w:w="844" w:type="dxa"/>
            <w:shd w:val="clear" w:color="auto" w:fill="auto"/>
            <w:tcMar>
              <w:top w:w="0" w:type="dxa"/>
              <w:left w:w="108" w:type="dxa"/>
              <w:bottom w:w="0" w:type="dxa"/>
              <w:right w:w="108" w:type="dxa"/>
            </w:tcMar>
          </w:tcPr>
          <w:p w14:paraId="7B128471"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9.</w:t>
            </w:r>
          </w:p>
        </w:tc>
        <w:tc>
          <w:tcPr>
            <w:tcW w:w="2486" w:type="dxa"/>
            <w:shd w:val="clear" w:color="auto" w:fill="auto"/>
            <w:tcMar>
              <w:top w:w="0" w:type="dxa"/>
              <w:left w:w="108" w:type="dxa"/>
              <w:bottom w:w="0" w:type="dxa"/>
              <w:right w:w="108" w:type="dxa"/>
            </w:tcMar>
          </w:tcPr>
          <w:p w14:paraId="106FD18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shd w:val="clear" w:color="auto" w:fill="auto"/>
            <w:tcMar>
              <w:top w:w="0" w:type="dxa"/>
              <w:left w:w="108" w:type="dxa"/>
              <w:bottom w:w="0" w:type="dxa"/>
              <w:right w:w="108" w:type="dxa"/>
            </w:tcMar>
          </w:tcPr>
          <w:p w14:paraId="2CC4C516"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iCs/>
                <w:kern w:val="28"/>
                <w:lang w:eastAsia="en-US"/>
              </w:rPr>
              <w:t>NETAIKOMA</w:t>
            </w:r>
          </w:p>
          <w:p w14:paraId="13C9AF91"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p>
        </w:tc>
        <w:tc>
          <w:tcPr>
            <w:tcW w:w="2874" w:type="dxa"/>
            <w:shd w:val="clear" w:color="auto" w:fill="auto"/>
            <w:tcMar>
              <w:top w:w="0" w:type="dxa"/>
              <w:left w:w="108" w:type="dxa"/>
              <w:bottom w:w="0" w:type="dxa"/>
              <w:right w:w="108" w:type="dxa"/>
            </w:tcMar>
          </w:tcPr>
          <w:p w14:paraId="3B61079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20465FE" w14:textId="77777777" w:rsidTr="007A08BA">
        <w:trPr>
          <w:trHeight w:val="20"/>
        </w:trPr>
        <w:tc>
          <w:tcPr>
            <w:tcW w:w="844" w:type="dxa"/>
            <w:shd w:val="clear" w:color="auto" w:fill="auto"/>
            <w:tcMar>
              <w:top w:w="0" w:type="dxa"/>
              <w:left w:w="108" w:type="dxa"/>
              <w:bottom w:w="0" w:type="dxa"/>
              <w:right w:w="108" w:type="dxa"/>
            </w:tcMar>
          </w:tcPr>
          <w:p w14:paraId="3D98D21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10.</w:t>
            </w:r>
          </w:p>
        </w:tc>
        <w:tc>
          <w:tcPr>
            <w:tcW w:w="2486" w:type="dxa"/>
            <w:shd w:val="clear" w:color="auto" w:fill="auto"/>
            <w:tcMar>
              <w:top w:w="0" w:type="dxa"/>
              <w:left w:w="108" w:type="dxa"/>
              <w:bottom w:w="0" w:type="dxa"/>
              <w:right w:w="108" w:type="dxa"/>
            </w:tcMar>
          </w:tcPr>
          <w:p w14:paraId="2AC0AAC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Pasiūlymo galiojimo užtikrinimas pirkimo dalyviui grąžinamas (arba atsisakoma teisių į jį) per</w:t>
            </w:r>
          </w:p>
        </w:tc>
        <w:tc>
          <w:tcPr>
            <w:tcW w:w="3542" w:type="dxa"/>
            <w:shd w:val="clear" w:color="auto" w:fill="auto"/>
            <w:tcMar>
              <w:top w:w="0" w:type="dxa"/>
              <w:left w:w="108" w:type="dxa"/>
              <w:bottom w:w="0" w:type="dxa"/>
              <w:right w:w="108" w:type="dxa"/>
            </w:tcMar>
          </w:tcPr>
          <w:p w14:paraId="3C654A46"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NETAIKOMA</w:t>
            </w:r>
          </w:p>
          <w:p w14:paraId="14DF2411"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p>
        </w:tc>
        <w:tc>
          <w:tcPr>
            <w:tcW w:w="2874" w:type="dxa"/>
            <w:shd w:val="clear" w:color="auto" w:fill="auto"/>
            <w:tcMar>
              <w:top w:w="0" w:type="dxa"/>
              <w:left w:w="108" w:type="dxa"/>
              <w:bottom w:w="0" w:type="dxa"/>
              <w:right w:w="108" w:type="dxa"/>
            </w:tcMar>
          </w:tcPr>
          <w:p w14:paraId="4F776256"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281801D4" w14:textId="77777777" w:rsidTr="007A08BA">
        <w:trPr>
          <w:trHeight w:val="20"/>
        </w:trPr>
        <w:tc>
          <w:tcPr>
            <w:tcW w:w="844" w:type="dxa"/>
            <w:shd w:val="clear" w:color="auto" w:fill="auto"/>
            <w:tcMar>
              <w:top w:w="0" w:type="dxa"/>
              <w:left w:w="108" w:type="dxa"/>
              <w:bottom w:w="0" w:type="dxa"/>
              <w:right w:w="108" w:type="dxa"/>
            </w:tcMar>
          </w:tcPr>
          <w:p w14:paraId="6DC9989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11.</w:t>
            </w:r>
          </w:p>
        </w:tc>
        <w:tc>
          <w:tcPr>
            <w:tcW w:w="2486" w:type="dxa"/>
            <w:shd w:val="clear" w:color="auto" w:fill="auto"/>
            <w:tcMar>
              <w:top w:w="0" w:type="dxa"/>
              <w:left w:w="108" w:type="dxa"/>
              <w:bottom w:w="0" w:type="dxa"/>
              <w:right w:w="108" w:type="dxa"/>
            </w:tcMar>
          </w:tcPr>
          <w:p w14:paraId="69EEBD9A"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informuoja pirkimo dalyvius apie EBVPD vertinimo rezultatus ne vėliau kaip per</w:t>
            </w:r>
          </w:p>
        </w:tc>
        <w:tc>
          <w:tcPr>
            <w:tcW w:w="3542" w:type="dxa"/>
            <w:shd w:val="clear" w:color="auto" w:fill="auto"/>
            <w:tcMar>
              <w:top w:w="0" w:type="dxa"/>
              <w:left w:w="108" w:type="dxa"/>
              <w:bottom w:w="0" w:type="dxa"/>
              <w:right w:w="108" w:type="dxa"/>
            </w:tcMar>
          </w:tcPr>
          <w:p w14:paraId="06ECAF5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shd w:val="clear" w:color="auto" w:fill="auto"/>
            <w:tcMar>
              <w:top w:w="0" w:type="dxa"/>
              <w:left w:w="108" w:type="dxa"/>
              <w:bottom w:w="0" w:type="dxa"/>
              <w:right w:w="108" w:type="dxa"/>
            </w:tcMar>
          </w:tcPr>
          <w:p w14:paraId="4110444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2F7621AC" w14:textId="77777777" w:rsidTr="007A08BA">
        <w:trPr>
          <w:trHeight w:val="20"/>
        </w:trPr>
        <w:tc>
          <w:tcPr>
            <w:tcW w:w="844" w:type="dxa"/>
            <w:shd w:val="clear" w:color="auto" w:fill="auto"/>
            <w:tcMar>
              <w:top w:w="0" w:type="dxa"/>
              <w:left w:w="108" w:type="dxa"/>
              <w:bottom w:w="0" w:type="dxa"/>
              <w:right w:w="108" w:type="dxa"/>
            </w:tcMar>
          </w:tcPr>
          <w:p w14:paraId="3C0AF80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12.</w:t>
            </w:r>
          </w:p>
        </w:tc>
        <w:tc>
          <w:tcPr>
            <w:tcW w:w="2486" w:type="dxa"/>
            <w:shd w:val="clear" w:color="auto" w:fill="auto"/>
            <w:tcMar>
              <w:top w:w="0" w:type="dxa"/>
              <w:left w:w="108" w:type="dxa"/>
              <w:bottom w:w="0" w:type="dxa"/>
              <w:right w:w="108" w:type="dxa"/>
            </w:tcMar>
          </w:tcPr>
          <w:p w14:paraId="0BDA38D4"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pirkimo dalyviams praneša apie priimtą </w:t>
            </w:r>
            <w:r w:rsidRPr="000B4111">
              <w:rPr>
                <w:rFonts w:ascii="Times New Roman" w:eastAsia="Times New Roman" w:hAnsi="Times New Roman" w:cs="Times New Roman"/>
                <w:bCs/>
                <w:color w:val="000000"/>
                <w:kern w:val="28"/>
                <w:lang w:eastAsia="en-US"/>
              </w:rPr>
              <w:lastRenderedPageBreak/>
              <w:t xml:space="preserve">sprendimą nustatyti laimėjusį pasiūlymą, </w:t>
            </w:r>
            <w:r w:rsidRPr="000B4111">
              <w:rPr>
                <w:rFonts w:ascii="Times New Roman" w:eastAsia="Times New Roman" w:hAnsi="Times New Roman" w:cs="Times New Roman"/>
                <w:color w:val="000000"/>
                <w:kern w:val="28"/>
                <w:lang w:eastAsia="en-US"/>
              </w:rPr>
              <w:t>dėl kurio bus sudaroma</w:t>
            </w:r>
            <w:r w:rsidRPr="000B4111">
              <w:rPr>
                <w:rFonts w:ascii="Times New Roman" w:eastAsia="Times New Roman" w:hAnsi="Times New Roman" w:cs="Times New Roman"/>
                <w:bCs/>
                <w:color w:val="000000"/>
                <w:kern w:val="28"/>
                <w:lang w:eastAsia="en-US"/>
              </w:rPr>
              <w:t xml:space="preserve"> sutartis ne vėliau kaip per</w:t>
            </w:r>
          </w:p>
        </w:tc>
        <w:tc>
          <w:tcPr>
            <w:tcW w:w="3542" w:type="dxa"/>
            <w:shd w:val="clear" w:color="auto" w:fill="auto"/>
            <w:tcMar>
              <w:top w:w="0" w:type="dxa"/>
              <w:left w:w="108" w:type="dxa"/>
              <w:bottom w:w="0" w:type="dxa"/>
              <w:right w:w="108" w:type="dxa"/>
            </w:tcMar>
          </w:tcPr>
          <w:p w14:paraId="4DC2E26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lastRenderedPageBreak/>
              <w:t>3 (tris) darbo dienas nuo sprendimo priėmimo dienos</w:t>
            </w:r>
          </w:p>
        </w:tc>
        <w:tc>
          <w:tcPr>
            <w:tcW w:w="2874" w:type="dxa"/>
            <w:shd w:val="clear" w:color="auto" w:fill="auto"/>
            <w:tcMar>
              <w:top w:w="0" w:type="dxa"/>
              <w:left w:w="108" w:type="dxa"/>
              <w:bottom w:w="0" w:type="dxa"/>
              <w:right w:w="108" w:type="dxa"/>
            </w:tcMar>
          </w:tcPr>
          <w:p w14:paraId="4874448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9E49A5D" w14:textId="77777777" w:rsidTr="007A08BA">
        <w:trPr>
          <w:trHeight w:val="20"/>
        </w:trPr>
        <w:tc>
          <w:tcPr>
            <w:tcW w:w="844" w:type="dxa"/>
            <w:shd w:val="clear" w:color="auto" w:fill="auto"/>
            <w:tcMar>
              <w:top w:w="0" w:type="dxa"/>
              <w:left w:w="108" w:type="dxa"/>
              <w:bottom w:w="0" w:type="dxa"/>
              <w:right w:w="108" w:type="dxa"/>
            </w:tcMar>
          </w:tcPr>
          <w:p w14:paraId="61F69E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13.</w:t>
            </w:r>
          </w:p>
        </w:tc>
        <w:tc>
          <w:tcPr>
            <w:tcW w:w="2486" w:type="dxa"/>
            <w:shd w:val="clear" w:color="auto" w:fill="auto"/>
            <w:tcMar>
              <w:top w:w="0" w:type="dxa"/>
              <w:left w:w="108" w:type="dxa"/>
              <w:bottom w:w="0" w:type="dxa"/>
              <w:right w:w="108" w:type="dxa"/>
            </w:tcMar>
          </w:tcPr>
          <w:p w14:paraId="4D2C48C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pirkimo dalyviui raštu paprašius, jam pateikia VPĮ 58 straipsnio 2 dalyje nustatytą informaciją ne vėliau kaip per</w:t>
            </w:r>
          </w:p>
        </w:tc>
        <w:tc>
          <w:tcPr>
            <w:tcW w:w="3542" w:type="dxa"/>
            <w:shd w:val="clear" w:color="auto" w:fill="auto"/>
            <w:tcMar>
              <w:top w:w="0" w:type="dxa"/>
              <w:left w:w="108" w:type="dxa"/>
              <w:bottom w:w="0" w:type="dxa"/>
              <w:right w:w="108" w:type="dxa"/>
            </w:tcMar>
          </w:tcPr>
          <w:p w14:paraId="36EFF84B"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15 (penkiolika) dienų nuo pirkimo dalyvio raštu pateikto prašymo gavimo dienos</w:t>
            </w:r>
          </w:p>
        </w:tc>
        <w:tc>
          <w:tcPr>
            <w:tcW w:w="2874" w:type="dxa"/>
            <w:shd w:val="clear" w:color="auto" w:fill="auto"/>
            <w:tcMar>
              <w:top w:w="0" w:type="dxa"/>
              <w:left w:w="108" w:type="dxa"/>
              <w:bottom w:w="0" w:type="dxa"/>
              <w:right w:w="108" w:type="dxa"/>
            </w:tcMar>
          </w:tcPr>
          <w:p w14:paraId="2F152978" w14:textId="77777777" w:rsidR="000B4111" w:rsidRPr="000B4111" w:rsidRDefault="000B4111" w:rsidP="000B4111">
            <w:pPr>
              <w:shd w:val="clear" w:color="auto" w:fill="FFFFFF"/>
              <w:spacing w:after="0" w:line="240" w:lineRule="auto"/>
              <w:ind w:firstLine="313"/>
              <w:rPr>
                <w:rFonts w:ascii="Times New Roman" w:eastAsia="Times New Roman" w:hAnsi="Times New Roman" w:cs="Times New Roman"/>
              </w:rPr>
            </w:pPr>
          </w:p>
        </w:tc>
      </w:tr>
      <w:tr w:rsidR="000B4111" w:rsidRPr="000B4111" w14:paraId="7A787AC2" w14:textId="77777777" w:rsidTr="007A08BA">
        <w:trPr>
          <w:trHeight w:val="20"/>
        </w:trPr>
        <w:tc>
          <w:tcPr>
            <w:tcW w:w="844" w:type="dxa"/>
            <w:shd w:val="clear" w:color="auto" w:fill="auto"/>
            <w:tcMar>
              <w:top w:w="0" w:type="dxa"/>
              <w:left w:w="108" w:type="dxa"/>
              <w:bottom w:w="0" w:type="dxa"/>
              <w:right w:w="108" w:type="dxa"/>
            </w:tcMar>
          </w:tcPr>
          <w:p w14:paraId="3202BD5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14.</w:t>
            </w:r>
          </w:p>
        </w:tc>
        <w:tc>
          <w:tcPr>
            <w:tcW w:w="2486" w:type="dxa"/>
            <w:shd w:val="clear" w:color="auto" w:fill="auto"/>
            <w:tcMar>
              <w:top w:w="0" w:type="dxa"/>
              <w:left w:w="108" w:type="dxa"/>
              <w:bottom w:w="0" w:type="dxa"/>
              <w:right w:w="108" w:type="dxa"/>
            </w:tcMar>
          </w:tcPr>
          <w:p w14:paraId="2E26D7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shd w:val="clear" w:color="auto" w:fill="FFFFFF"/>
                <w:lang w:eastAsia="en-US"/>
              </w:rPr>
              <w:t xml:space="preserve">Tiekėjas turi teisę pateikti pretenziją perkančiajai organizacijai, pateikti prašymą ar pareikšti ieškinį teismui </w:t>
            </w:r>
            <w:r w:rsidRPr="000B4111">
              <w:rPr>
                <w:rFonts w:ascii="Times New Roman" w:eastAsia="Times New Roman" w:hAnsi="Times New Roman" w:cs="Times New Roman"/>
                <w:bCs/>
                <w:color w:val="000000"/>
                <w:kern w:val="28"/>
                <w:lang w:eastAsia="en-US"/>
              </w:rPr>
              <w:t>ne vėliau kaip per</w:t>
            </w:r>
          </w:p>
        </w:tc>
        <w:tc>
          <w:tcPr>
            <w:tcW w:w="3542" w:type="dxa"/>
            <w:shd w:val="clear" w:color="auto" w:fill="auto"/>
            <w:tcMar>
              <w:top w:w="0" w:type="dxa"/>
              <w:left w:w="108" w:type="dxa"/>
              <w:bottom w:w="0" w:type="dxa"/>
              <w:right w:w="108" w:type="dxa"/>
            </w:tcMar>
          </w:tcPr>
          <w:p w14:paraId="233280F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5 (penkias) darbo dienas</w:t>
            </w:r>
          </w:p>
          <w:p w14:paraId="638B1A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6A8035CF"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nuo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pranešimo raštu apie jos priimtą sprendimą išsiuntimo tiekėjams dienos arba nuo paskelbimo apie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priimtus sprendimus dienos, jei VPĮ nenumato reikalavimo raštu informuoti tiekėjus apie </w:t>
            </w:r>
            <w:r w:rsidRPr="000B4111">
              <w:rPr>
                <w:rFonts w:ascii="Times New Roman" w:eastAsia="Arial" w:hAnsi="Times New Roman" w:cs="Times New Roman"/>
                <w:color w:val="000000"/>
                <w:kern w:val="28"/>
                <w:lang w:eastAsia="en-US"/>
              </w:rPr>
              <w:t xml:space="preserve"> perkančiosios organizacijos</w:t>
            </w:r>
            <w:r w:rsidRPr="000B4111">
              <w:rPr>
                <w:rFonts w:ascii="Times New Roman" w:eastAsia="Times New Roman" w:hAnsi="Times New Roman" w:cs="Times New Roman"/>
                <w:color w:val="000000"/>
                <w:kern w:val="28"/>
                <w:lang w:eastAsia="en-US"/>
              </w:rPr>
              <w:t xml:space="preserve"> priimtus sprendimus;</w:t>
            </w:r>
          </w:p>
          <w:p w14:paraId="539D2AFA"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 (penkiolika) dienų nuo pranešimo išsiuntimo tiekėjams dienos, jeigu šis pranešimas nebuvo siunčiamas elektroninėmis priemonėmis.</w:t>
            </w:r>
          </w:p>
        </w:tc>
        <w:tc>
          <w:tcPr>
            <w:tcW w:w="2874" w:type="dxa"/>
            <w:shd w:val="clear" w:color="auto" w:fill="auto"/>
            <w:tcMar>
              <w:top w:w="0" w:type="dxa"/>
              <w:left w:w="108" w:type="dxa"/>
              <w:bottom w:w="0" w:type="dxa"/>
              <w:right w:w="108" w:type="dxa"/>
            </w:tcMar>
          </w:tcPr>
          <w:p w14:paraId="4F869E6C"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15868D4C" w14:textId="77777777" w:rsidTr="007A08BA">
        <w:trPr>
          <w:trHeight w:val="20"/>
        </w:trPr>
        <w:tc>
          <w:tcPr>
            <w:tcW w:w="844" w:type="dxa"/>
            <w:shd w:val="clear" w:color="auto" w:fill="auto"/>
            <w:tcMar>
              <w:top w:w="0" w:type="dxa"/>
              <w:left w:w="108" w:type="dxa"/>
              <w:bottom w:w="0" w:type="dxa"/>
              <w:right w:w="108" w:type="dxa"/>
            </w:tcMar>
          </w:tcPr>
          <w:p w14:paraId="7B0A696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w:t>
            </w:r>
          </w:p>
        </w:tc>
        <w:tc>
          <w:tcPr>
            <w:tcW w:w="2486" w:type="dxa"/>
            <w:shd w:val="clear" w:color="auto" w:fill="auto"/>
            <w:tcMar>
              <w:top w:w="0" w:type="dxa"/>
              <w:left w:w="108" w:type="dxa"/>
              <w:bottom w:w="0" w:type="dxa"/>
              <w:right w:w="108" w:type="dxa"/>
            </w:tcMar>
          </w:tcPr>
          <w:p w14:paraId="597A50E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shd w:val="clear" w:color="auto" w:fill="auto"/>
            <w:tcMar>
              <w:top w:w="0" w:type="dxa"/>
              <w:left w:w="108" w:type="dxa"/>
              <w:bottom w:w="0" w:type="dxa"/>
              <w:right w:w="108" w:type="dxa"/>
            </w:tcMar>
          </w:tcPr>
          <w:p w14:paraId="447DDE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6 (šešias) darbo dienas nuo pretenzijos gavimo dienos</w:t>
            </w:r>
          </w:p>
        </w:tc>
        <w:tc>
          <w:tcPr>
            <w:tcW w:w="2874" w:type="dxa"/>
            <w:shd w:val="clear" w:color="auto" w:fill="auto"/>
            <w:tcMar>
              <w:top w:w="0" w:type="dxa"/>
              <w:left w:w="108" w:type="dxa"/>
              <w:bottom w:w="0" w:type="dxa"/>
              <w:right w:w="108" w:type="dxa"/>
            </w:tcMar>
          </w:tcPr>
          <w:p w14:paraId="2BCA936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0D957D9" w14:textId="77777777" w:rsidTr="007A08BA">
        <w:trPr>
          <w:trHeight w:val="20"/>
        </w:trPr>
        <w:tc>
          <w:tcPr>
            <w:tcW w:w="844" w:type="dxa"/>
            <w:shd w:val="clear" w:color="auto" w:fill="auto"/>
            <w:tcMar>
              <w:top w:w="0" w:type="dxa"/>
              <w:left w:w="108" w:type="dxa"/>
              <w:bottom w:w="0" w:type="dxa"/>
              <w:right w:w="108" w:type="dxa"/>
            </w:tcMar>
          </w:tcPr>
          <w:p w14:paraId="65E7682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16.</w:t>
            </w:r>
          </w:p>
        </w:tc>
        <w:tc>
          <w:tcPr>
            <w:tcW w:w="2486" w:type="dxa"/>
            <w:shd w:val="clear" w:color="auto" w:fill="auto"/>
            <w:tcMar>
              <w:top w:w="0" w:type="dxa"/>
              <w:left w:w="108" w:type="dxa"/>
              <w:bottom w:w="0" w:type="dxa"/>
              <w:right w:w="108" w:type="dxa"/>
            </w:tcMar>
          </w:tcPr>
          <w:p w14:paraId="7992E42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Jeigu perkančioji organizacija per nustatytą terminą neišnagrinėja jai pateiktos pretenzijos, tiekėjas turi teisę pateikti prašymą ar pareikšti ieškinį teismui per</w:t>
            </w:r>
            <w:r w:rsidRPr="000B4111">
              <w:rPr>
                <w:rFonts w:ascii="Times New Roman" w:eastAsia="Times New Roman" w:hAnsi="Times New Roman" w:cs="Times New Roman"/>
                <w:bCs/>
                <w:color w:val="000000"/>
                <w:kern w:val="28"/>
                <w:lang w:eastAsia="en-US"/>
              </w:rPr>
              <w:t xml:space="preserve"> (išskyrus ieškinį dėl sutarties pripažinimo negaliojančia) </w:t>
            </w:r>
          </w:p>
        </w:tc>
        <w:tc>
          <w:tcPr>
            <w:tcW w:w="3542" w:type="dxa"/>
            <w:shd w:val="clear" w:color="auto" w:fill="auto"/>
            <w:tcMar>
              <w:top w:w="0" w:type="dxa"/>
              <w:left w:w="108" w:type="dxa"/>
              <w:bottom w:w="0" w:type="dxa"/>
              <w:right w:w="108" w:type="dxa"/>
            </w:tcMar>
          </w:tcPr>
          <w:p w14:paraId="1347730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shd w:val="clear" w:color="auto" w:fill="auto"/>
            <w:tcMar>
              <w:top w:w="0" w:type="dxa"/>
              <w:left w:w="108" w:type="dxa"/>
              <w:bottom w:w="0" w:type="dxa"/>
              <w:right w:w="108" w:type="dxa"/>
            </w:tcMar>
          </w:tcPr>
          <w:p w14:paraId="37158D4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BD46456" w14:textId="77777777" w:rsidTr="007A08BA">
        <w:trPr>
          <w:trHeight w:val="20"/>
        </w:trPr>
        <w:tc>
          <w:tcPr>
            <w:tcW w:w="844" w:type="dxa"/>
            <w:shd w:val="clear" w:color="auto" w:fill="auto"/>
            <w:tcMar>
              <w:top w:w="0" w:type="dxa"/>
              <w:left w:w="108" w:type="dxa"/>
              <w:bottom w:w="0" w:type="dxa"/>
              <w:right w:w="108" w:type="dxa"/>
            </w:tcMar>
          </w:tcPr>
          <w:p w14:paraId="3D0BFA1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17.</w:t>
            </w:r>
          </w:p>
        </w:tc>
        <w:tc>
          <w:tcPr>
            <w:tcW w:w="2486" w:type="dxa"/>
            <w:shd w:val="clear" w:color="auto" w:fill="auto"/>
            <w:tcMar>
              <w:top w:w="0" w:type="dxa"/>
              <w:left w:w="108" w:type="dxa"/>
              <w:bottom w:w="0" w:type="dxa"/>
              <w:right w:w="108" w:type="dxa"/>
            </w:tcMar>
          </w:tcPr>
          <w:p w14:paraId="0F874C6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negali sudaryti sutarties anksčiau kaip po</w:t>
            </w:r>
          </w:p>
        </w:tc>
        <w:tc>
          <w:tcPr>
            <w:tcW w:w="3542" w:type="dxa"/>
            <w:shd w:val="clear" w:color="auto" w:fill="auto"/>
            <w:tcMar>
              <w:top w:w="0" w:type="dxa"/>
              <w:left w:w="108" w:type="dxa"/>
              <w:bottom w:w="0" w:type="dxa"/>
              <w:right w:w="108" w:type="dxa"/>
            </w:tcMar>
          </w:tcPr>
          <w:p w14:paraId="548A0C44"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5 (penkių) darbo dienų,</w:t>
            </w:r>
            <w:r w:rsidRPr="000B4111">
              <w:rPr>
                <w:rFonts w:ascii="Times New Roman" w:eastAsia="Times New Roman" w:hAnsi="Times New Roman" w:cs="Times New Roman"/>
                <w:color w:val="000000"/>
                <w:kern w:val="28"/>
                <w:lang w:eastAsia="en-US"/>
              </w:rPr>
              <w:t xml:space="preserve"> nuo pranešimo apie sprendimą sudaryti sutartį (o jei buvo gauta pretenzija – nuo pranešimo raštu apie jos priimtą sprendimą dėl pretenzijos) išsiuntimo iš perkančiosios </w:t>
            </w:r>
            <w:r w:rsidRPr="000B4111">
              <w:rPr>
                <w:rFonts w:ascii="Times New Roman" w:eastAsia="Times New Roman" w:hAnsi="Times New Roman" w:cs="Times New Roman"/>
                <w:color w:val="000000"/>
                <w:kern w:val="28"/>
                <w:lang w:eastAsia="en-US"/>
              </w:rPr>
              <w:lastRenderedPageBreak/>
              <w:t>organizacijos pirkimo dalyviams dienos, o jeigu šis pranešimas nebuvo siunčiamas elektroninėmis priemonėmis, – ne anksčiau kaip po 15 (penkiolikos) dienų.</w:t>
            </w:r>
          </w:p>
        </w:tc>
        <w:tc>
          <w:tcPr>
            <w:tcW w:w="2874" w:type="dxa"/>
            <w:shd w:val="clear" w:color="auto" w:fill="auto"/>
            <w:tcMar>
              <w:top w:w="0" w:type="dxa"/>
              <w:left w:w="108" w:type="dxa"/>
              <w:bottom w:w="0" w:type="dxa"/>
              <w:right w:w="108" w:type="dxa"/>
            </w:tcMar>
          </w:tcPr>
          <w:p w14:paraId="4F055D2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7C02883" w14:textId="77777777" w:rsidTr="007A08BA">
        <w:trPr>
          <w:trHeight w:val="20"/>
        </w:trPr>
        <w:tc>
          <w:tcPr>
            <w:tcW w:w="844" w:type="dxa"/>
            <w:shd w:val="clear" w:color="auto" w:fill="auto"/>
            <w:tcMar>
              <w:top w:w="0" w:type="dxa"/>
              <w:left w:w="108" w:type="dxa"/>
              <w:bottom w:w="0" w:type="dxa"/>
              <w:right w:w="108" w:type="dxa"/>
            </w:tcMar>
          </w:tcPr>
          <w:p w14:paraId="3E19FA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18.</w:t>
            </w:r>
          </w:p>
        </w:tc>
        <w:tc>
          <w:tcPr>
            <w:tcW w:w="2486" w:type="dxa"/>
            <w:shd w:val="clear" w:color="auto" w:fill="auto"/>
            <w:tcMar>
              <w:top w:w="0" w:type="dxa"/>
              <w:left w:w="108" w:type="dxa"/>
              <w:bottom w:w="0" w:type="dxa"/>
              <w:right w:w="108" w:type="dxa"/>
            </w:tcMar>
          </w:tcPr>
          <w:p w14:paraId="05B2AAF9"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 xml:space="preserve">Jeigu </w:t>
            </w:r>
            <w:r w:rsidRPr="000B4111">
              <w:rPr>
                <w:rFonts w:ascii="Times New Roman" w:eastAsia="Times New Roman" w:hAnsi="Times New Roman" w:cs="Times New Roman"/>
                <w:iCs/>
                <w:kern w:val="28"/>
                <w:lang w:eastAsia="en-US"/>
              </w:rPr>
              <w:t>suinteresuotas dalyvis paprašys perkančiosios organizacijos pateikti laimėjusį pasiūlymą</w:t>
            </w:r>
          </w:p>
        </w:tc>
        <w:tc>
          <w:tcPr>
            <w:tcW w:w="3542" w:type="dxa"/>
            <w:shd w:val="clear" w:color="auto" w:fill="auto"/>
            <w:tcMar>
              <w:top w:w="0" w:type="dxa"/>
              <w:left w:w="108" w:type="dxa"/>
              <w:bottom w:w="0" w:type="dxa"/>
              <w:right w:w="108" w:type="dxa"/>
            </w:tcMar>
          </w:tcPr>
          <w:p w14:paraId="3255CA0E" w14:textId="77777777" w:rsidR="000B4111" w:rsidRPr="000B4111" w:rsidRDefault="000B4111" w:rsidP="000B4111">
            <w:pPr>
              <w:spacing w:after="0" w:line="240" w:lineRule="auto"/>
              <w:jc w:val="both"/>
              <w:rPr>
                <w:rFonts w:ascii="Times New Roman" w:eastAsia="Times New Roman" w:hAnsi="Times New Roman" w:cs="Times New Roman"/>
                <w:i/>
                <w:iCs/>
                <w:kern w:val="28"/>
                <w:lang w:eastAsia="en-US"/>
              </w:rPr>
            </w:pPr>
            <w:r w:rsidRPr="000B4111">
              <w:rPr>
                <w:rFonts w:ascii="Times New Roman" w:eastAsia="Times New Roman" w:hAnsi="Times New Roman" w:cs="Calibr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shd w:val="clear" w:color="auto" w:fill="auto"/>
            <w:tcMar>
              <w:top w:w="0" w:type="dxa"/>
              <w:left w:w="108" w:type="dxa"/>
              <w:bottom w:w="0" w:type="dxa"/>
              <w:right w:w="108" w:type="dxa"/>
            </w:tcMar>
          </w:tcPr>
          <w:p w14:paraId="20354C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bl>
    <w:p w14:paraId="61DF0C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20C3985E" w14:textId="1B20618D" w:rsidR="000B4111" w:rsidRPr="00676DB4" w:rsidRDefault="000B4111">
      <w:r w:rsidRPr="00676DB4">
        <w:br w:type="page"/>
      </w:r>
    </w:p>
    <w:p w14:paraId="444B24F4" w14:textId="690B5001" w:rsidR="000B4111" w:rsidRPr="000B4111" w:rsidRDefault="00644363" w:rsidP="000B4111">
      <w:r>
        <w:lastRenderedPageBreak/>
        <w:t xml:space="preserve"> </w:t>
      </w: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4" w:name="_Ref38539939"/>
      <w:bookmarkStart w:id="45" w:name="_Ref38541068"/>
      <w:bookmarkStart w:id="46" w:name="_Ref38885053"/>
      <w:bookmarkStart w:id="47" w:name="_Ref38899023"/>
      <w:bookmarkStart w:id="48" w:name="_Toc126333940"/>
      <w:r w:rsidRPr="008C100B">
        <w:rPr>
          <w:rFonts w:eastAsia="Calibri" w:cstheme="minorHAnsi"/>
          <w:color w:val="0070C0"/>
        </w:rPr>
        <w:t>Pirkimo sąlygų 2 priedas „Techninė specifikacija“</w:t>
      </w:r>
      <w:bookmarkEnd w:id="44"/>
      <w:bookmarkEnd w:id="45"/>
      <w:bookmarkEnd w:id="46"/>
      <w:bookmarkEnd w:id="47"/>
      <w:bookmarkEnd w:id="48"/>
    </w:p>
    <w:p w14:paraId="0ED1490A" w14:textId="77777777" w:rsidR="00BB3E8C" w:rsidRDefault="00BB3E8C" w:rsidP="008C100B">
      <w:pPr>
        <w:keepNext/>
        <w:keepLines/>
        <w:spacing w:before="120" w:after="0" w:line="240" w:lineRule="auto"/>
        <w:ind w:left="5103"/>
        <w:outlineLvl w:val="1"/>
        <w:rPr>
          <w:rFonts w:eastAsia="Calibri" w:cstheme="minorHAnsi"/>
          <w:color w:val="0070C0"/>
        </w:rPr>
      </w:pPr>
    </w:p>
    <w:p w14:paraId="369ECC50" w14:textId="77777777" w:rsidR="00A70AC9" w:rsidRDefault="00A70AC9" w:rsidP="00A70AC9">
      <w:pPr>
        <w:spacing w:after="0" w:line="240" w:lineRule="auto"/>
        <w:rPr>
          <w:rFonts w:ascii="Arial" w:hAnsi="Arial" w:cs="Arial"/>
          <w:sz w:val="24"/>
          <w:szCs w:val="24"/>
        </w:rPr>
      </w:pPr>
    </w:p>
    <w:p w14:paraId="47CAB6EB" w14:textId="7D801B28" w:rsidR="00A70AC9" w:rsidRPr="00A70AC9" w:rsidRDefault="00A70AC9" w:rsidP="00A70AC9">
      <w:pPr>
        <w:spacing w:after="0" w:line="240" w:lineRule="auto"/>
        <w:rPr>
          <w:rFonts w:ascii="Calibri" w:hAnsi="Calibri" w:cs="Calibri"/>
          <w:b/>
          <w:bCs/>
        </w:rPr>
      </w:pPr>
      <w:r w:rsidRPr="00A70AC9">
        <w:rPr>
          <w:rFonts w:ascii="Calibri" w:hAnsi="Calibri" w:cs="Calibri"/>
        </w:rPr>
        <w:t>Techninė specifikacija pridedama atskiru dokumentu</w:t>
      </w:r>
      <w:r w:rsidRPr="00A70AC9">
        <w:rPr>
          <w:rFonts w:ascii="Calibri" w:hAnsi="Calibri" w:cs="Calibri"/>
          <w:b/>
          <w:bCs/>
        </w:rPr>
        <w:t>.</w:t>
      </w:r>
    </w:p>
    <w:p w14:paraId="247B38D6" w14:textId="18C8C907" w:rsidR="00AC522B" w:rsidRDefault="00AC522B">
      <w:pPr>
        <w:rPr>
          <w:rFonts w:eastAsia="Calibri" w:cstheme="minorHAnsi"/>
          <w:color w:val="0070C0"/>
        </w:rPr>
      </w:pPr>
      <w:r>
        <w:rPr>
          <w:rFonts w:eastAsia="Calibri" w:cstheme="minorHAnsi"/>
          <w:color w:val="0070C0"/>
        </w:rPr>
        <w:br w:type="page"/>
      </w:r>
    </w:p>
    <w:p w14:paraId="315A1CB4" w14:textId="77777777" w:rsidR="00F7463B" w:rsidRPr="008C100B" w:rsidRDefault="00F7463B" w:rsidP="008C100B">
      <w:pPr>
        <w:keepNext/>
        <w:keepLines/>
        <w:spacing w:before="120" w:after="0" w:line="240" w:lineRule="auto"/>
        <w:ind w:left="5103"/>
        <w:outlineLvl w:val="1"/>
        <w:rPr>
          <w:rFonts w:eastAsia="Calibri" w:cstheme="minorHAnsi"/>
          <w:color w:val="0070C0"/>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10E7C">
        <w:rPr>
          <w:rFonts w:eastAsia="Verdana" w:cstheme="minorHAnsi"/>
          <w:sz w:val="22"/>
          <w:szCs w:val="22"/>
        </w:rPr>
        <w:t>Certis</w:t>
      </w:r>
      <w:proofErr w:type="spellEnd"/>
      <w:r w:rsidRPr="00C10E7C">
        <w:rPr>
          <w:rFonts w:eastAsia="Verdana" w:cstheme="minorHAnsi"/>
          <w:sz w:val="22"/>
          <w:szCs w:val="22"/>
        </w:rPr>
        <w:t>“. Lentelės ketvirtame stulpelyje nurodomi doku</w:t>
      </w:r>
      <w:r w:rsidRPr="00C10E7C">
        <w:rPr>
          <w:rFonts w:eastAsia="Times New Roman"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10E7C">
        <w:rPr>
          <w:rFonts w:eastAsia="Times New Roman" w:cstheme="minorHAnsi"/>
          <w:sz w:val="22"/>
          <w:szCs w:val="22"/>
        </w:rPr>
        <w:t>Certis</w:t>
      </w:r>
      <w:proofErr w:type="spellEnd"/>
      <w:r w:rsidRPr="00C10E7C">
        <w:rPr>
          <w:rFonts w:eastAsia="Times New Roman" w:cstheme="minorHAnsi"/>
          <w:sz w:val="22"/>
          <w:szCs w:val="22"/>
        </w:rPr>
        <w:t xml:space="preserve">“,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C04EFA" w:rsidRDefault="00C10E7C" w:rsidP="00C10E7C">
      <w:pPr>
        <w:spacing w:after="0" w:line="240" w:lineRule="auto"/>
        <w:ind w:firstLine="851"/>
        <w:jc w:val="both"/>
        <w:rPr>
          <w:rFonts w:eastAsia="Times New Roman" w:cstheme="minorHAnsi"/>
          <w:i/>
          <w:iCs/>
          <w:sz w:val="22"/>
          <w:szCs w:val="22"/>
        </w:rPr>
      </w:pPr>
      <w:r w:rsidRPr="00C04EFA">
        <w:rPr>
          <w:rFonts w:eastAsia="Times New Roman" w:cstheme="minorHAnsi"/>
          <w:i/>
          <w:i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8) kitos valstybės tiekėjo atliktą nusikaltimą, apibrėžtą Direktyvos </w:t>
            </w:r>
            <w:r w:rsidRPr="00C10E7C">
              <w:rPr>
                <w:rFonts w:eastAsia="Times New Roman" w:cstheme="minorHAnsi"/>
                <w:bCs/>
                <w:sz w:val="20"/>
                <w:szCs w:val="20"/>
                <w:lang w:eastAsia="en-US"/>
              </w:rPr>
              <w:lastRenderedPageBreak/>
              <w:t>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lastRenderedPageBreak/>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w:t>
            </w:r>
            <w:r w:rsidRPr="00C10E7C">
              <w:rPr>
                <w:rFonts w:eastAsia="Times New Roman" w:cstheme="minorHAnsi"/>
                <w:sz w:val="20"/>
                <w:szCs w:val="20"/>
              </w:rPr>
              <w:lastRenderedPageBreak/>
              <w:t>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C10E7C">
              <w:rPr>
                <w:rFonts w:eastAsia="Times New Roman" w:cstheme="minorHAnsi"/>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nebuvimą, pateikti nereikalaujama. Jų </w:t>
            </w:r>
            <w:r w:rsidRPr="00C10E7C">
              <w:rPr>
                <w:rFonts w:eastAsia="Times New Roman" w:cstheme="minorHAnsi"/>
                <w:sz w:val="20"/>
                <w:szCs w:val="20"/>
              </w:rPr>
              <w:lastRenderedPageBreak/>
              <w:t>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10E7C">
              <w:rPr>
                <w:rFonts w:eastAsia="Times New Roman" w:cstheme="minorHAnsi"/>
                <w:bCs/>
                <w:sz w:val="20"/>
                <w:szCs w:val="20"/>
              </w:rPr>
              <w:lastRenderedPageBreak/>
              <w:t xml:space="preserve">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10E7C">
              <w:rPr>
                <w:rFonts w:eastAsia="Times New Roman" w:cstheme="minorHAnsi"/>
                <w:sz w:val="20"/>
                <w:szCs w:val="20"/>
              </w:rPr>
              <w:lastRenderedPageBreak/>
              <w:t xml:space="preserve">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 xml:space="preserve">yra padaręs draudimo sudaryti draudžiamus susitarimus, įtvirtinto Lietuvos Respublikos konkurencijos įstatyme ar </w:t>
            </w:r>
            <w:r w:rsidRPr="00C10E7C">
              <w:rPr>
                <w:rFonts w:eastAsia="Times New Roman" w:cstheme="minorHAnsi"/>
                <w:color w:val="000000"/>
                <w:sz w:val="20"/>
                <w:szCs w:val="20"/>
              </w:rPr>
              <w:lastRenderedPageBreak/>
              <w:t>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w:t>
            </w:r>
            <w:r w:rsidRPr="00C10E7C">
              <w:rPr>
                <w:rFonts w:eastAsia="Times New Roman" w:cstheme="minorHAnsi"/>
                <w:b/>
                <w:bCs/>
                <w:sz w:val="20"/>
                <w:szCs w:val="20"/>
              </w:rPr>
              <w:lastRenderedPageBreak/>
              <w:t xml:space="preserve">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6"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E642" w14:textId="1AD4EDA2" w:rsidR="004B2A5F" w:rsidRPr="00AE66DC" w:rsidRDefault="007F40C1" w:rsidP="00A02B93">
            <w:pPr>
              <w:spacing w:line="240" w:lineRule="auto"/>
              <w:jc w:val="both"/>
              <w:rPr>
                <w:b/>
                <w:bCs/>
                <w:iCs/>
                <w:sz w:val="20"/>
                <w:szCs w:val="20"/>
              </w:rPr>
            </w:pPr>
            <w:r w:rsidRPr="003B71C5">
              <w:t xml:space="preserve">Tiekėjas (bent vienas jungtinės veiklos partneris) per pastaruosius 3 (tris) metus arba per laiką nuo tiekėjo įregistravimo dienos (jei tiekėjas vykdo veiklą mažiau nei 3 metus) </w:t>
            </w:r>
            <w:r w:rsidRPr="003B71C5">
              <w:rPr>
                <w:b/>
                <w:bCs/>
              </w:rPr>
              <w:t xml:space="preserve">turi būti įvykdęs arba vykdo </w:t>
            </w:r>
            <w:r w:rsidRPr="003B71C5">
              <w:t>bent vieną ar daugiau panašių prekių (atliekų surinkimo konteinerių) pirkimo – pardavimo sutartį (-</w:t>
            </w:r>
            <w:proofErr w:type="spellStart"/>
            <w:r w:rsidRPr="003B71C5">
              <w:t>is</w:t>
            </w:r>
            <w:proofErr w:type="spellEnd"/>
            <w:r w:rsidRPr="003B71C5">
              <w:t xml:space="preserve">), kurių bendra vertė ne mažesnė nei </w:t>
            </w:r>
            <w:r w:rsidR="00AE66DC" w:rsidRPr="00AE66DC">
              <w:t>5</w:t>
            </w:r>
            <w:r w:rsidR="003B71C5" w:rsidRPr="00AE66DC">
              <w:rPr>
                <w:b/>
                <w:bCs/>
              </w:rPr>
              <w:t>0</w:t>
            </w:r>
            <w:r w:rsidRPr="00AE66DC">
              <w:rPr>
                <w:b/>
                <w:bCs/>
              </w:rPr>
              <w:t> 000,00 Eur</w:t>
            </w:r>
            <w:r w:rsidRPr="00AE66DC">
              <w:rPr>
                <w:b/>
                <w:bCs/>
                <w:sz w:val="20"/>
                <w:szCs w:val="20"/>
              </w:rPr>
              <w:t xml:space="preserve"> be PVM</w:t>
            </w:r>
            <w:r w:rsidRPr="00FF1094">
              <w:rPr>
                <w:sz w:val="20"/>
                <w:szCs w:val="20"/>
              </w:rPr>
              <w:t xml:space="preserve">. </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Pateikiamas užpildytas Pirkimo dokumentų 8 priedas „Tiekėjo įvykdytos sutartys“.</w:t>
            </w:r>
          </w:p>
        </w:tc>
      </w:tr>
      <w:bookmarkEnd w:id="56"/>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lastRenderedPageBreak/>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7" w:name="_Pirkimo_dokumentų_4_1"/>
      <w:bookmarkEnd w:id="57"/>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8" w:name="_Pirkimo_dokumentų_4_2"/>
      <w:bookmarkEnd w:id="58"/>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4405D05C"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Herbas arba prekių ženklas</w:t>
      </w:r>
    </w:p>
    <w:p w14:paraId="2E172480"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(Tiekėjo pavadinimas)</w:t>
      </w:r>
    </w:p>
    <w:p w14:paraId="48E01C7D"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1C704"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p>
    <w:p w14:paraId="372CDBF7" w14:textId="77777777" w:rsidR="00157EC8" w:rsidRPr="00157EC8" w:rsidRDefault="00157EC8" w:rsidP="00157EC8">
      <w:pPr>
        <w:widowControl w:val="0"/>
        <w:suppressAutoHyphens/>
        <w:overflowPunct w:val="0"/>
        <w:autoSpaceDN w:val="0"/>
        <w:adjustRightInd w:val="0"/>
        <w:spacing w:after="180" w:line="240" w:lineRule="auto"/>
        <w:ind w:right="-176"/>
        <w:textAlignment w:val="baseline"/>
        <w:rPr>
          <w:rFonts w:eastAsia="Times New Roman" w:cstheme="minorHAnsi"/>
          <w:b/>
          <w:bCs/>
          <w:color w:val="000000"/>
          <w:kern w:val="28"/>
          <w:lang w:eastAsia="en-US"/>
        </w:rPr>
      </w:pPr>
      <w:r w:rsidRPr="00157EC8">
        <w:rPr>
          <w:rFonts w:eastAsia="Times New Roman" w:cstheme="minorHAnsi"/>
          <w:b/>
          <w:bCs/>
          <w:color w:val="000000"/>
          <w:kern w:val="28"/>
          <w:lang w:eastAsia="en-US"/>
        </w:rPr>
        <w:t>UAB Tauragės regiono atliekų tvarkymo centras</w:t>
      </w:r>
    </w:p>
    <w:p w14:paraId="4EFF61B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3654217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54949B5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p>
    <w:p w14:paraId="6418FD0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 xml:space="preserve">PASIŪLYMAS </w:t>
      </w:r>
    </w:p>
    <w:p w14:paraId="2DB0B364" w14:textId="07F839AF" w:rsidR="00157EC8" w:rsidRPr="00602721" w:rsidRDefault="002835A7" w:rsidP="00157EC8">
      <w:pPr>
        <w:widowControl w:val="0"/>
        <w:suppressAutoHyphens/>
        <w:overflowPunct w:val="0"/>
        <w:adjustRightInd w:val="0"/>
        <w:spacing w:after="0" w:line="240" w:lineRule="auto"/>
        <w:jc w:val="center"/>
        <w:rPr>
          <w:rFonts w:eastAsia="Times New Roman" w:cstheme="minorHAnsi"/>
          <w:b/>
          <w:kern w:val="28"/>
        </w:rPr>
      </w:pPr>
      <w:r>
        <w:rPr>
          <w:rFonts w:eastAsia="Times New Roman" w:cstheme="minorHAnsi"/>
          <w:b/>
          <w:bCs/>
          <w:caps/>
          <w:kern w:val="28"/>
        </w:rPr>
        <w:t>tekstilės atliekų surinkimo konteineri</w:t>
      </w:r>
      <w:r w:rsidR="009242AD">
        <w:rPr>
          <w:rFonts w:eastAsia="Times New Roman" w:cstheme="minorHAnsi"/>
          <w:b/>
          <w:bCs/>
          <w:caps/>
          <w:kern w:val="28"/>
        </w:rPr>
        <w:t>AI</w:t>
      </w:r>
    </w:p>
    <w:p w14:paraId="6EDECAB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74146C1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2025 m. __________ Nr.______</w:t>
      </w:r>
    </w:p>
    <w:p w14:paraId="4E84318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(Data)</w:t>
      </w:r>
    </w:p>
    <w:p w14:paraId="406D13A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_____________</w:t>
      </w:r>
    </w:p>
    <w:p w14:paraId="339716E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(Sudarymo vieta)</w:t>
      </w:r>
    </w:p>
    <w:p w14:paraId="465668B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157EC8" w:rsidRPr="00157EC8" w14:paraId="1E3BFDC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BFC3BA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689433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p w14:paraId="2AE495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457A9597"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E8261C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AEDDD8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258031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74F8F2F"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0AC9A9B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580552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006B04C"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234EBF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Telefono numeris</w:t>
            </w:r>
          </w:p>
        </w:tc>
        <w:tc>
          <w:tcPr>
            <w:tcW w:w="4819" w:type="dxa"/>
            <w:tcBorders>
              <w:top w:val="single" w:sz="4" w:space="0" w:color="auto"/>
              <w:left w:val="single" w:sz="4" w:space="0" w:color="auto"/>
              <w:bottom w:val="single" w:sz="4" w:space="0" w:color="auto"/>
              <w:right w:val="single" w:sz="4" w:space="0" w:color="auto"/>
            </w:tcBorders>
          </w:tcPr>
          <w:p w14:paraId="634E5B0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4CF1BB9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BA639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El. pašto adresas</w:t>
            </w:r>
          </w:p>
        </w:tc>
        <w:tc>
          <w:tcPr>
            <w:tcW w:w="4819" w:type="dxa"/>
            <w:tcBorders>
              <w:top w:val="single" w:sz="4" w:space="0" w:color="auto"/>
              <w:left w:val="single" w:sz="4" w:space="0" w:color="auto"/>
              <w:bottom w:val="single" w:sz="4" w:space="0" w:color="auto"/>
              <w:right w:val="single" w:sz="4" w:space="0" w:color="auto"/>
            </w:tcBorders>
          </w:tcPr>
          <w:p w14:paraId="22F931A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70B5677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CC6C16C" w14:textId="462818AD" w:rsidR="00157EC8" w:rsidRPr="00E42313" w:rsidRDefault="00157EC8" w:rsidP="00E42313">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INFORMACIJA APIE ŪKIO SUBJEKTUS, KURIŲ PAJĖGUMAIS TIEKĖJAS REMIASI, KAD ATITIKTŲ PERKANČIOSIOS ORGANIZACIJOS KELIAMUS KVALIFIKACIJOS REIKALAVIMUS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2556"/>
        <w:gridCol w:w="3702"/>
        <w:gridCol w:w="3160"/>
      </w:tblGrid>
      <w:tr w:rsidR="00157EC8" w:rsidRPr="00157EC8" w14:paraId="635D3C53" w14:textId="77777777" w:rsidTr="000230CC">
        <w:tc>
          <w:tcPr>
            <w:tcW w:w="273" w:type="pct"/>
            <w:shd w:val="clear" w:color="auto" w:fill="FFFFFF"/>
          </w:tcPr>
          <w:p w14:paraId="0FF70568"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1283" w:type="pct"/>
            <w:shd w:val="clear" w:color="auto" w:fill="FFFFFF"/>
          </w:tcPr>
          <w:p w14:paraId="129730F7"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Ūkio subjekto pavadinimas, juridinio asmens kodas, adresas</w:t>
            </w:r>
          </w:p>
        </w:tc>
        <w:tc>
          <w:tcPr>
            <w:tcW w:w="1858" w:type="pct"/>
            <w:shd w:val="clear" w:color="auto" w:fill="FFFFFF"/>
          </w:tcPr>
          <w:p w14:paraId="4D3E207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Nuoroda į skelbimo apie pirkimą punkto sąlygą, kuriai atitikti remiamasi ūkio subjekto pajėgumais</w:t>
            </w:r>
          </w:p>
        </w:tc>
        <w:tc>
          <w:tcPr>
            <w:tcW w:w="1587" w:type="pct"/>
            <w:shd w:val="clear" w:color="auto" w:fill="FFFFFF"/>
          </w:tcPr>
          <w:p w14:paraId="63703990"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aprašymas</w:t>
            </w:r>
          </w:p>
        </w:tc>
      </w:tr>
      <w:tr w:rsidR="00157EC8" w:rsidRPr="00157EC8" w14:paraId="121FF4AD" w14:textId="77777777" w:rsidTr="000230CC">
        <w:tc>
          <w:tcPr>
            <w:tcW w:w="273" w:type="pct"/>
            <w:shd w:val="clear" w:color="auto" w:fill="auto"/>
          </w:tcPr>
          <w:p w14:paraId="0AE03564"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1283" w:type="pct"/>
            <w:shd w:val="clear" w:color="auto" w:fill="auto"/>
          </w:tcPr>
          <w:p w14:paraId="566CECC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shd w:val="clear" w:color="auto" w:fill="auto"/>
          </w:tcPr>
          <w:p w14:paraId="2BC3A77E"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shd w:val="clear" w:color="auto" w:fill="auto"/>
          </w:tcPr>
          <w:p w14:paraId="0BFD5E8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39C18D0C" w14:textId="77777777" w:rsidTr="000230CC">
        <w:tc>
          <w:tcPr>
            <w:tcW w:w="273" w:type="pct"/>
            <w:shd w:val="clear" w:color="auto" w:fill="auto"/>
          </w:tcPr>
          <w:p w14:paraId="6EFA5AF3"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1283" w:type="pct"/>
            <w:shd w:val="clear" w:color="auto" w:fill="auto"/>
          </w:tcPr>
          <w:p w14:paraId="15800EC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shd w:val="clear" w:color="auto" w:fill="auto"/>
          </w:tcPr>
          <w:p w14:paraId="6CC3640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shd w:val="clear" w:color="auto" w:fill="auto"/>
          </w:tcPr>
          <w:p w14:paraId="1EE1067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514CD755" w14:textId="77777777" w:rsidR="00157EC8" w:rsidRPr="00157EC8" w:rsidRDefault="00157EC8" w:rsidP="00157EC8">
      <w:pPr>
        <w:widowControl w:val="0"/>
        <w:suppressAutoHyphens/>
        <w:overflowPunct w:val="0"/>
        <w:adjustRightInd w:val="0"/>
        <w:spacing w:after="0" w:line="240" w:lineRule="auto"/>
        <w:rPr>
          <w:rFonts w:eastAsia="Calibri" w:cstheme="minorHAnsi"/>
          <w:color w:val="000000"/>
          <w:kern w:val="28"/>
        </w:rPr>
      </w:pPr>
    </w:p>
    <w:p w14:paraId="0BEDA6C8" w14:textId="77777777" w:rsidR="00157EC8" w:rsidRPr="00157EC8" w:rsidRDefault="00157EC8" w:rsidP="00157EC8">
      <w:pPr>
        <w:widowControl w:val="0"/>
        <w:tabs>
          <w:tab w:val="left" w:pos="567"/>
        </w:tabs>
        <w:suppressAutoHyphens/>
        <w:overflowPunct w:val="0"/>
        <w:adjustRightInd w:val="0"/>
        <w:spacing w:after="0" w:line="240" w:lineRule="auto"/>
        <w:contextualSpacing/>
        <w:jc w:val="center"/>
        <w:rPr>
          <w:rFonts w:eastAsia="Times New Roman" w:cstheme="minorHAnsi"/>
          <w:b/>
          <w:bCs/>
          <w:color w:val="000000"/>
          <w:kern w:val="28"/>
        </w:rPr>
      </w:pPr>
      <w:r w:rsidRPr="00157EC8">
        <w:rPr>
          <w:rFonts w:eastAsia="Times New Roman" w:cstheme="minorHAnsi"/>
          <w:b/>
          <w:bCs/>
          <w:kern w:val="28"/>
        </w:rPr>
        <w:t>INFORMACIJA APIE ŽINOMUS SUBTIEKĖJUS IR JIEMS PERDUODAMA VYKDYTI SUTARTIES DALIS</w:t>
      </w:r>
    </w:p>
    <w:p w14:paraId="37240466" w14:textId="77777777" w:rsidR="00157EC8" w:rsidRPr="00157EC8" w:rsidRDefault="00157EC8" w:rsidP="00157EC8">
      <w:pPr>
        <w:widowControl w:val="0"/>
        <w:suppressAutoHyphens/>
        <w:overflowPunct w:val="0"/>
        <w:adjustRightInd w:val="0"/>
        <w:spacing w:after="0" w:line="240" w:lineRule="auto"/>
        <w:ind w:left="567"/>
        <w:contextualSpacing/>
        <w:jc w:val="center"/>
        <w:rPr>
          <w:rFonts w:eastAsia="Times New Roman" w:cstheme="minorHAnsi"/>
          <w:i/>
          <w:iCs/>
          <w:color w:val="000000"/>
          <w:kern w:val="28"/>
        </w:rPr>
      </w:pPr>
      <w:r w:rsidRPr="00157EC8">
        <w:rPr>
          <w:rFonts w:eastAsia="Times New Roman" w:cstheme="minorHAnsi"/>
          <w:i/>
          <w:iCs/>
          <w:color w:val="000000"/>
          <w:kern w:val="28"/>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102"/>
        <w:gridCol w:w="5332"/>
      </w:tblGrid>
      <w:tr w:rsidR="00157EC8" w:rsidRPr="00157EC8" w14:paraId="2FB033D3" w14:textId="77777777" w:rsidTr="000230CC">
        <w:tc>
          <w:tcPr>
            <w:tcW w:w="265" w:type="pct"/>
            <w:shd w:val="clear" w:color="auto" w:fill="FFFFFF"/>
          </w:tcPr>
          <w:p w14:paraId="7BC98A4D"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2059" w:type="pct"/>
            <w:shd w:val="clear" w:color="auto" w:fill="FFFFFF"/>
          </w:tcPr>
          <w:p w14:paraId="7DCBB69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Subtiekėjo pavadinimas, juridinio asmens kodas, adresas</w:t>
            </w:r>
          </w:p>
        </w:tc>
        <w:tc>
          <w:tcPr>
            <w:tcW w:w="2675" w:type="pct"/>
            <w:shd w:val="clear" w:color="auto" w:fill="FFFFFF"/>
          </w:tcPr>
          <w:p w14:paraId="0B289A32"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subtiekėjui, aprašymas</w:t>
            </w:r>
          </w:p>
        </w:tc>
      </w:tr>
      <w:tr w:rsidR="00157EC8" w:rsidRPr="00157EC8" w14:paraId="2BAE1B4B" w14:textId="77777777" w:rsidTr="000230CC">
        <w:tc>
          <w:tcPr>
            <w:tcW w:w="265" w:type="pct"/>
            <w:shd w:val="clear" w:color="auto" w:fill="auto"/>
          </w:tcPr>
          <w:p w14:paraId="15C1005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2059" w:type="pct"/>
            <w:shd w:val="clear" w:color="auto" w:fill="auto"/>
          </w:tcPr>
          <w:p w14:paraId="2835F50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shd w:val="clear" w:color="auto" w:fill="auto"/>
          </w:tcPr>
          <w:p w14:paraId="3905B99A"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584972E5" w14:textId="77777777" w:rsidTr="000230CC">
        <w:tc>
          <w:tcPr>
            <w:tcW w:w="265" w:type="pct"/>
            <w:shd w:val="clear" w:color="auto" w:fill="auto"/>
          </w:tcPr>
          <w:p w14:paraId="5159D7A0"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2059" w:type="pct"/>
            <w:shd w:val="clear" w:color="auto" w:fill="auto"/>
          </w:tcPr>
          <w:p w14:paraId="7EB1E49F"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shd w:val="clear" w:color="auto" w:fill="auto"/>
          </w:tcPr>
          <w:p w14:paraId="099C9D41"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14C9A27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669AE6E"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lang w:eastAsia="da-DK"/>
        </w:rPr>
      </w:pPr>
      <w:r w:rsidRPr="00157EC8">
        <w:rPr>
          <w:rFonts w:eastAsia="Times New Roman" w:cstheme="minorHAnsi"/>
          <w:kern w:val="28"/>
        </w:rPr>
        <w:t>Šiuo pasiūlymu pažymime, kad sutinkame su visomis konkurso sąlygomis, nustatytomis:</w:t>
      </w:r>
    </w:p>
    <w:p w14:paraId="6F558295"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1) viešojo pirkimo skelbime, paskelbtame CVP IS;</w:t>
      </w:r>
    </w:p>
    <w:p w14:paraId="3E7F790D"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2) kituose pirkimo dokumentuose (jų paaiškinimuose, papildymuose).</w:t>
      </w:r>
    </w:p>
    <w:p w14:paraId="3B53C95B"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lastRenderedPageBreak/>
        <w:t>Siūlomos prekės visiškai atitinka konkurso sąlygose nurodytus reikalavimus.</w:t>
      </w:r>
    </w:p>
    <w:p w14:paraId="1860758A"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Pasirašydamas CVP IS priemonėmis pateiktą pasiūlymą, patvirtinu, kad dokumentų skaitmeninės kopijos ir elektroninėmis priemonėmis pateikti duomenys yra tikri.</w:t>
      </w:r>
    </w:p>
    <w:p w14:paraId="4789DB91"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EB91881" w14:textId="77777777" w:rsidR="00157EC8" w:rsidRDefault="00157EC8" w:rsidP="00157EC8">
      <w:pPr>
        <w:widowControl w:val="0"/>
        <w:numPr>
          <w:ilvl w:val="0"/>
          <w:numId w:val="39"/>
        </w:numPr>
        <w:pBdr>
          <w:top w:val="nil"/>
          <w:left w:val="nil"/>
          <w:bottom w:val="nil"/>
          <w:right w:val="nil"/>
          <w:between w:val="nil"/>
          <w:bar w:val="nil"/>
        </w:pBdr>
        <w:suppressAutoHyphens/>
        <w:overflowPunct w:val="0"/>
        <w:adjustRightInd w:val="0"/>
        <w:spacing w:after="0" w:line="240" w:lineRule="auto"/>
        <w:jc w:val="both"/>
        <w:rPr>
          <w:rFonts w:eastAsia="Arial Unicode MS" w:cstheme="minorHAnsi"/>
          <w:b/>
          <w:bdr w:val="nil"/>
          <w:lang w:eastAsia="en-US"/>
        </w:rPr>
      </w:pPr>
      <w:r w:rsidRPr="00157EC8">
        <w:rPr>
          <w:rFonts w:eastAsia="Arial Unicode MS" w:cstheme="minorHAnsi"/>
          <w:b/>
          <w:bdr w:val="nil"/>
          <w:lang w:eastAsia="en-US"/>
        </w:rPr>
        <w:t>Teikdami šį pasiūlymą, mes patvirtiname, kad į mūsų įkainius įskaičiuoti visi mokesčiai ir galimos išlaidos pagal konkurso sąlygose ar jo prieduose pateiktus reikalavimus.</w:t>
      </w:r>
    </w:p>
    <w:p w14:paraId="30882471" w14:textId="06D6AAE4" w:rsidR="008A2EBE" w:rsidRPr="009A7898" w:rsidRDefault="008A2EBE" w:rsidP="009A7898">
      <w:pPr>
        <w:spacing w:after="0" w:line="240" w:lineRule="auto"/>
        <w:ind w:firstLine="360"/>
        <w:jc w:val="both"/>
        <w:rPr>
          <w:rFonts w:ascii="Calibri" w:eastAsia="Times New Roman" w:hAnsi="Calibri" w:cs="Calibri"/>
          <w:b/>
          <w:color w:val="FF0000"/>
        </w:rPr>
      </w:pPr>
      <w:r w:rsidRPr="009A7898">
        <w:rPr>
          <w:rFonts w:ascii="Calibri" w:eastAsia="Times New Roman" w:hAnsi="Calibri" w:cs="Calibri"/>
          <w:b/>
          <w:color w:val="FF0000"/>
        </w:rPr>
        <w:t xml:space="preserve">Kartu su pasiūlymu pateikiama užpildyta 2 priedo „Techninė specifikacija“ lentelė ,,Techniniai reikalavimai </w:t>
      </w:r>
      <w:r w:rsidR="00FA542A" w:rsidRPr="009A7898">
        <w:rPr>
          <w:rFonts w:ascii="Calibri" w:eastAsia="Times New Roman" w:hAnsi="Calibri" w:cs="Calibri"/>
          <w:b/>
          <w:color w:val="FF0000"/>
        </w:rPr>
        <w:t>konteineriams</w:t>
      </w:r>
      <w:r w:rsidRPr="009A7898">
        <w:rPr>
          <w:rFonts w:ascii="Calibri" w:eastAsia="Times New Roman" w:hAnsi="Calibri" w:cs="Calibri"/>
          <w:b/>
          <w:color w:val="FF0000"/>
        </w:rPr>
        <w:t>“.</w:t>
      </w:r>
    </w:p>
    <w:p w14:paraId="6DEDC3A2"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p>
    <w:p w14:paraId="55771596"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r w:rsidRPr="00157EC8">
        <w:rPr>
          <w:rFonts w:eastAsia="Times New Roman" w:cstheme="minorHAnsi"/>
          <w:b/>
          <w:kern w:val="28"/>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260"/>
        <w:gridCol w:w="1082"/>
        <w:gridCol w:w="1414"/>
        <w:gridCol w:w="1512"/>
        <w:gridCol w:w="1412"/>
      </w:tblGrid>
      <w:tr w:rsidR="00157EC8" w:rsidRPr="00157EC8" w14:paraId="383A228E" w14:textId="77777777" w:rsidTr="000230CC">
        <w:trPr>
          <w:trHeight w:val="825"/>
          <w:jc w:val="center"/>
        </w:trPr>
        <w:tc>
          <w:tcPr>
            <w:tcW w:w="283" w:type="pct"/>
            <w:vAlign w:val="center"/>
          </w:tcPr>
          <w:p w14:paraId="5483FF8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Eil. Nr.</w:t>
            </w:r>
          </w:p>
        </w:tc>
        <w:tc>
          <w:tcPr>
            <w:tcW w:w="2076" w:type="pct"/>
            <w:shd w:val="clear" w:color="auto" w:fill="auto"/>
            <w:vAlign w:val="center"/>
          </w:tcPr>
          <w:p w14:paraId="66EE7DF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Pavadinimas</w:t>
            </w:r>
          </w:p>
        </w:tc>
        <w:tc>
          <w:tcPr>
            <w:tcW w:w="527" w:type="pct"/>
            <w:shd w:val="clear" w:color="auto" w:fill="auto"/>
            <w:vAlign w:val="center"/>
          </w:tcPr>
          <w:p w14:paraId="66632EBE"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vienetas, vnt.</w:t>
            </w:r>
          </w:p>
        </w:tc>
        <w:tc>
          <w:tcPr>
            <w:tcW w:w="689" w:type="pct"/>
            <w:shd w:val="clear" w:color="auto" w:fill="auto"/>
            <w:vAlign w:val="center"/>
          </w:tcPr>
          <w:p w14:paraId="060509D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Maksimalus kiekis</w:t>
            </w:r>
          </w:p>
        </w:tc>
        <w:tc>
          <w:tcPr>
            <w:tcW w:w="737" w:type="pct"/>
          </w:tcPr>
          <w:p w14:paraId="0A573648"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vieneto kaina Eur (be PVM)</w:t>
            </w:r>
          </w:p>
        </w:tc>
        <w:tc>
          <w:tcPr>
            <w:tcW w:w="688" w:type="pct"/>
            <w:vAlign w:val="center"/>
          </w:tcPr>
          <w:p w14:paraId="4ECA0BF9"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 xml:space="preserve">Pasiūlymo vertė, Eur (be PVM) </w:t>
            </w:r>
          </w:p>
        </w:tc>
      </w:tr>
      <w:tr w:rsidR="00157EC8" w:rsidRPr="00157EC8" w14:paraId="5E89D9F7" w14:textId="77777777" w:rsidTr="000230CC">
        <w:trPr>
          <w:trHeight w:val="241"/>
          <w:jc w:val="center"/>
        </w:trPr>
        <w:tc>
          <w:tcPr>
            <w:tcW w:w="283" w:type="pct"/>
            <w:vAlign w:val="center"/>
          </w:tcPr>
          <w:p w14:paraId="294C65EC"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1</w:t>
            </w:r>
          </w:p>
        </w:tc>
        <w:tc>
          <w:tcPr>
            <w:tcW w:w="2076" w:type="pct"/>
            <w:shd w:val="clear" w:color="auto" w:fill="auto"/>
            <w:vAlign w:val="center"/>
          </w:tcPr>
          <w:p w14:paraId="72EEDB6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2</w:t>
            </w:r>
          </w:p>
        </w:tc>
        <w:tc>
          <w:tcPr>
            <w:tcW w:w="527" w:type="pct"/>
            <w:shd w:val="clear" w:color="auto" w:fill="auto"/>
            <w:vAlign w:val="center"/>
          </w:tcPr>
          <w:p w14:paraId="506337D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3</w:t>
            </w:r>
          </w:p>
        </w:tc>
        <w:tc>
          <w:tcPr>
            <w:tcW w:w="689" w:type="pct"/>
            <w:shd w:val="clear" w:color="auto" w:fill="auto"/>
            <w:vAlign w:val="center"/>
          </w:tcPr>
          <w:p w14:paraId="0961E2B0"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w:t>
            </w:r>
          </w:p>
        </w:tc>
        <w:tc>
          <w:tcPr>
            <w:tcW w:w="737" w:type="pct"/>
          </w:tcPr>
          <w:p w14:paraId="0B423A8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5</w:t>
            </w:r>
          </w:p>
        </w:tc>
        <w:tc>
          <w:tcPr>
            <w:tcW w:w="688" w:type="pct"/>
          </w:tcPr>
          <w:p w14:paraId="06CC168D"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4*5=6</w:t>
            </w:r>
          </w:p>
        </w:tc>
      </w:tr>
      <w:tr w:rsidR="00157EC8" w:rsidRPr="00157EC8" w14:paraId="18B438A2" w14:textId="77777777" w:rsidTr="000230CC">
        <w:trPr>
          <w:trHeight w:val="214"/>
          <w:jc w:val="center"/>
        </w:trPr>
        <w:tc>
          <w:tcPr>
            <w:tcW w:w="283" w:type="pct"/>
          </w:tcPr>
          <w:p w14:paraId="697BC227" w14:textId="77777777" w:rsidR="00157EC8" w:rsidRPr="00157EC8" w:rsidRDefault="00157EC8" w:rsidP="00157EC8">
            <w:pPr>
              <w:spacing w:after="0" w:line="240" w:lineRule="auto"/>
              <w:rPr>
                <w:rFonts w:eastAsia="Times New Roman" w:cstheme="minorHAnsi"/>
                <w:kern w:val="28"/>
              </w:rPr>
            </w:pPr>
            <w:r w:rsidRPr="00157EC8">
              <w:rPr>
                <w:rFonts w:eastAsia="Times New Roman" w:cstheme="minorHAnsi"/>
                <w:kern w:val="28"/>
              </w:rPr>
              <w:t xml:space="preserve">1. </w:t>
            </w:r>
          </w:p>
        </w:tc>
        <w:tc>
          <w:tcPr>
            <w:tcW w:w="2076" w:type="pct"/>
            <w:shd w:val="clear" w:color="auto" w:fill="auto"/>
            <w:vAlign w:val="center"/>
          </w:tcPr>
          <w:p w14:paraId="4BD441D0" w14:textId="7287F502" w:rsidR="00157EC8" w:rsidRPr="00157EC8" w:rsidRDefault="00A25D16" w:rsidP="00157EC8">
            <w:pPr>
              <w:widowControl w:val="0"/>
              <w:suppressAutoHyphens/>
              <w:overflowPunct w:val="0"/>
              <w:adjustRightInd w:val="0"/>
              <w:spacing w:after="0" w:line="240" w:lineRule="auto"/>
              <w:rPr>
                <w:rFonts w:eastAsia="Times New Roman" w:cstheme="minorHAnsi"/>
                <w:kern w:val="28"/>
              </w:rPr>
            </w:pPr>
            <w:r>
              <w:rPr>
                <w:rFonts w:eastAsia="Times New Roman" w:cstheme="minorHAnsi"/>
                <w:kern w:val="28"/>
              </w:rPr>
              <w:t>Tekstilės atliekų surinkimo konteineriai</w:t>
            </w:r>
          </w:p>
        </w:tc>
        <w:tc>
          <w:tcPr>
            <w:tcW w:w="527" w:type="pct"/>
            <w:shd w:val="clear" w:color="auto" w:fill="auto"/>
            <w:vAlign w:val="center"/>
          </w:tcPr>
          <w:p w14:paraId="28ED94C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rPr>
            </w:pPr>
            <w:r w:rsidRPr="00157EC8">
              <w:rPr>
                <w:rFonts w:eastAsia="Times New Roman" w:cstheme="minorHAnsi"/>
                <w:kern w:val="28"/>
              </w:rPr>
              <w:t>vnt.</w:t>
            </w:r>
          </w:p>
        </w:tc>
        <w:tc>
          <w:tcPr>
            <w:tcW w:w="689" w:type="pct"/>
            <w:shd w:val="clear" w:color="auto" w:fill="auto"/>
            <w:vAlign w:val="center"/>
          </w:tcPr>
          <w:p w14:paraId="3D70F2A1" w14:textId="59E7733B" w:rsidR="00157EC8" w:rsidRPr="00157EC8" w:rsidRDefault="00A25D16" w:rsidP="00157EC8">
            <w:pPr>
              <w:widowControl w:val="0"/>
              <w:suppressAutoHyphens/>
              <w:overflowPunct w:val="0"/>
              <w:adjustRightInd w:val="0"/>
              <w:spacing w:after="0" w:line="240" w:lineRule="auto"/>
              <w:jc w:val="center"/>
              <w:rPr>
                <w:rFonts w:eastAsia="Times New Roman" w:cstheme="minorHAnsi"/>
                <w:kern w:val="28"/>
              </w:rPr>
            </w:pPr>
            <w:r>
              <w:rPr>
                <w:rFonts w:eastAsia="Times New Roman" w:cstheme="minorHAnsi"/>
                <w:kern w:val="28"/>
              </w:rPr>
              <w:t>72</w:t>
            </w:r>
          </w:p>
        </w:tc>
        <w:tc>
          <w:tcPr>
            <w:tcW w:w="737" w:type="pct"/>
          </w:tcPr>
          <w:p w14:paraId="3118D2A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c>
          <w:tcPr>
            <w:tcW w:w="688" w:type="pct"/>
          </w:tcPr>
          <w:p w14:paraId="2055DAB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5FE758D9" w14:textId="77777777" w:rsidTr="000230CC">
        <w:trPr>
          <w:trHeight w:val="263"/>
          <w:jc w:val="center"/>
        </w:trPr>
        <w:tc>
          <w:tcPr>
            <w:tcW w:w="4312" w:type="pct"/>
            <w:gridSpan w:val="5"/>
          </w:tcPr>
          <w:p w14:paraId="54ED6163"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PVM:</w:t>
            </w:r>
          </w:p>
        </w:tc>
        <w:tc>
          <w:tcPr>
            <w:tcW w:w="688" w:type="pct"/>
          </w:tcPr>
          <w:p w14:paraId="31BDF83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66E964F6" w14:textId="77777777" w:rsidTr="000230CC">
        <w:trPr>
          <w:trHeight w:val="248"/>
          <w:jc w:val="center"/>
        </w:trPr>
        <w:tc>
          <w:tcPr>
            <w:tcW w:w="4312" w:type="pct"/>
            <w:gridSpan w:val="5"/>
          </w:tcPr>
          <w:p w14:paraId="49486FFF"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 xml:space="preserve"> Bendra pasiūlymo kaina iš viso, Eur su PVM:</w:t>
            </w:r>
          </w:p>
        </w:tc>
        <w:tc>
          <w:tcPr>
            <w:tcW w:w="688" w:type="pct"/>
          </w:tcPr>
          <w:p w14:paraId="7AFD6A71"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bl>
    <w:p w14:paraId="22D33192"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1B217FB7"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r w:rsidRPr="00157EC8">
        <w:rPr>
          <w:rFonts w:eastAsia="Arial Unicode MS" w:cstheme="minorHAnsi"/>
          <w:b/>
          <w:i/>
          <w:u w:val="single"/>
          <w:bdr w:val="nil"/>
          <w:lang w:eastAsia="en-US"/>
        </w:rPr>
        <w:t>Viso pasiūlymo vertė (žodžiais)</w:t>
      </w:r>
      <w:r w:rsidRPr="00157EC8">
        <w:rPr>
          <w:rFonts w:eastAsia="Arial Unicode MS" w:cstheme="minorHAnsi"/>
          <w:b/>
          <w:i/>
          <w:bdr w:val="nil"/>
          <w:lang w:eastAsia="en-US"/>
        </w:rPr>
        <w:t>:</w:t>
      </w:r>
      <w:r w:rsidRPr="00157EC8">
        <w:rPr>
          <w:rFonts w:eastAsia="Arial Unicode MS" w:cstheme="minorHAnsi"/>
          <w:bdr w:val="nil"/>
          <w:lang w:eastAsia="en-US"/>
        </w:rPr>
        <w:t xml:space="preserve"> __________ eurai be PVM,  __________ eurai PVM, __________ eurai su PVM.</w:t>
      </w:r>
    </w:p>
    <w:p w14:paraId="6F2D4281"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p>
    <w:p w14:paraId="07073C7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val="fr-FR"/>
        </w:rPr>
      </w:pPr>
      <w:r w:rsidRPr="00157EC8">
        <w:rPr>
          <w:rFonts w:eastAsia="Times New Roman" w:cstheme="minorHAnsi"/>
          <w:kern w:val="28"/>
          <w:lang w:val="fr-FR"/>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157EC8" w:rsidRPr="00157EC8" w14:paraId="7776BA5B"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9D2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6F24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en-GB"/>
              </w:rPr>
            </w:pPr>
            <w:r w:rsidRPr="00157EC8">
              <w:rPr>
                <w:rFonts w:eastAsia="Times New Roman" w:cstheme="minorHAnsi"/>
                <w:b/>
                <w:kern w:val="28"/>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47DE"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Dokumento puslapių skaičius</w:t>
            </w:r>
          </w:p>
        </w:tc>
      </w:tr>
      <w:tr w:rsidR="00157EC8" w:rsidRPr="00157EC8" w14:paraId="51CD3BE6"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3A6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741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FF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497FCBD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6BC809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da-DK"/>
        </w:rPr>
      </w:pPr>
      <w:r w:rsidRPr="00157EC8">
        <w:rPr>
          <w:rFonts w:eastAsia="Times New Roman" w:cstheme="minorHAnsi"/>
          <w:kern w:val="28"/>
        </w:rPr>
        <w:t xml:space="preserve">Ši pasiūlyme nurodyta informacija yra </w:t>
      </w:r>
      <w:r w:rsidRPr="00157EC8">
        <w:rPr>
          <w:rFonts w:eastAsia="Times New Roman" w:cstheme="minorHAnsi"/>
          <w:b/>
          <w:kern w:val="28"/>
        </w:rPr>
        <w:t xml:space="preserve">konfidenciali </w:t>
      </w:r>
      <w:r w:rsidRPr="00157EC8">
        <w:rPr>
          <w:rFonts w:eastAsia="Times New Roman" w:cstheme="minorHAnsi"/>
          <w:kern w:val="28"/>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157EC8" w:rsidRPr="00157EC8" w14:paraId="68AF3B31" w14:textId="77777777" w:rsidTr="000230CC">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489D767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BD5D4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549BB9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Dokumentas yra įkeltas šioje CVP IS pasiūlymo lango eilutėje („Prisegti dokumentai“ arba „Kvalifikaciniai klausimai“ prie atsakymo į klausimą)</w:t>
            </w:r>
          </w:p>
        </w:tc>
      </w:tr>
      <w:tr w:rsidR="00157EC8" w:rsidRPr="00157EC8" w14:paraId="672F72BA"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57EB9B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09A879E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1F5A530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50694019"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251453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22D8AA7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6D116C0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bl>
    <w:p w14:paraId="70CCE1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i/>
          <w:kern w:val="28"/>
        </w:rPr>
      </w:pPr>
      <w:r w:rsidRPr="00157EC8">
        <w:rPr>
          <w:rFonts w:eastAsia="Times New Roman" w:cstheme="minorHAnsi"/>
          <w:b/>
          <w:i/>
          <w:kern w:val="28"/>
        </w:rPr>
        <w:t>Pastaba.</w:t>
      </w:r>
      <w:r w:rsidRPr="00157EC8">
        <w:rPr>
          <w:rFonts w:eastAsia="Times New Roman" w:cstheme="minorHAnsi"/>
          <w:i/>
          <w:kern w:val="28"/>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157EC8" w:rsidRPr="00157EC8" w14:paraId="79F5305B" w14:textId="77777777" w:rsidTr="000230CC">
        <w:trPr>
          <w:trHeight w:val="320"/>
        </w:trPr>
        <w:tc>
          <w:tcPr>
            <w:tcW w:w="9956" w:type="dxa"/>
            <w:gridSpan w:val="6"/>
          </w:tcPr>
          <w:p w14:paraId="7F0397E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lang w:eastAsia="da-DK"/>
              </w:rPr>
            </w:pPr>
          </w:p>
          <w:p w14:paraId="47E6BD33"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rPr>
            </w:pPr>
            <w:r w:rsidRPr="00157EC8">
              <w:rPr>
                <w:rFonts w:eastAsia="Times New Roman" w:cstheme="minorHAnsi"/>
                <w:b/>
                <w:i/>
                <w:kern w:val="28"/>
              </w:rPr>
              <w:t>Pasiūlymas galioja iki termino, nustatyto konkurso sąlygose, t. y. 90 dienų (nuo pasiūlymų pateikimo termino pabaigos).</w:t>
            </w:r>
          </w:p>
        </w:tc>
      </w:tr>
      <w:tr w:rsidR="00157EC8" w:rsidRPr="00157EC8" w14:paraId="05F09F1D" w14:textId="77777777" w:rsidTr="000230CC">
        <w:trPr>
          <w:trHeight w:val="373"/>
        </w:trPr>
        <w:tc>
          <w:tcPr>
            <w:tcW w:w="3368" w:type="dxa"/>
            <w:tcBorders>
              <w:top w:val="nil"/>
              <w:left w:val="nil"/>
              <w:bottom w:val="single" w:sz="4" w:space="0" w:color="000000"/>
              <w:right w:val="nil"/>
            </w:tcBorders>
          </w:tcPr>
          <w:p w14:paraId="4E4D034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19" w:type="dxa"/>
          </w:tcPr>
          <w:p w14:paraId="7B847EB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031" w:type="dxa"/>
            <w:tcBorders>
              <w:top w:val="nil"/>
              <w:left w:val="nil"/>
              <w:bottom w:val="single" w:sz="4" w:space="0" w:color="000000"/>
              <w:right w:val="nil"/>
            </w:tcBorders>
          </w:tcPr>
          <w:p w14:paraId="24FDC8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719" w:type="dxa"/>
          </w:tcPr>
          <w:p w14:paraId="37020C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tcBorders>
              <w:top w:val="nil"/>
              <w:left w:val="nil"/>
              <w:bottom w:val="single" w:sz="4" w:space="0" w:color="000000"/>
              <w:right w:val="nil"/>
            </w:tcBorders>
          </w:tcPr>
          <w:p w14:paraId="64AC2BF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541" w:type="dxa"/>
          </w:tcPr>
          <w:p w14:paraId="3C1ED57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1FBD39D4" w14:textId="77777777" w:rsidTr="000230CC">
        <w:trPr>
          <w:trHeight w:val="184"/>
        </w:trPr>
        <w:tc>
          <w:tcPr>
            <w:tcW w:w="3368" w:type="dxa"/>
            <w:hideMark/>
          </w:tcPr>
          <w:p w14:paraId="7B14BD5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arba jo įgalioto asmens pareigų pavadinimas)</w:t>
            </w:r>
          </w:p>
        </w:tc>
        <w:tc>
          <w:tcPr>
            <w:tcW w:w="619" w:type="dxa"/>
          </w:tcPr>
          <w:p w14:paraId="65B0164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031" w:type="dxa"/>
            <w:hideMark/>
          </w:tcPr>
          <w:p w14:paraId="2F53AF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(Parašas) </w:t>
            </w:r>
          </w:p>
        </w:tc>
        <w:tc>
          <w:tcPr>
            <w:tcW w:w="719" w:type="dxa"/>
          </w:tcPr>
          <w:p w14:paraId="38746E8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hideMark/>
          </w:tcPr>
          <w:p w14:paraId="65C1CDD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(Vardas ir pavardė) </w:t>
            </w:r>
          </w:p>
        </w:tc>
        <w:tc>
          <w:tcPr>
            <w:tcW w:w="541" w:type="dxa"/>
          </w:tcPr>
          <w:p w14:paraId="5702C1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0"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0"/>
    </w:p>
    <w:p w14:paraId="294B6091" w14:textId="77777777" w:rsidR="00472570" w:rsidRPr="00AB1949" w:rsidRDefault="00472570" w:rsidP="00472570">
      <w:pPr>
        <w:spacing w:after="0" w:line="240" w:lineRule="auto"/>
        <w:ind w:firstLine="851"/>
        <w:jc w:val="both"/>
        <w:rPr>
          <w:rFonts w:ascii="Times New Roman" w:eastAsia="Times New Roman" w:hAnsi="Times New Roman" w:cs="Times New Roman"/>
          <w:sz w:val="24"/>
          <w:szCs w:val="24"/>
          <w:lang w:eastAsia="en-GB"/>
        </w:rPr>
      </w:pPr>
    </w:p>
    <w:p w14:paraId="7BDD8971" w14:textId="77777777" w:rsidR="00472570" w:rsidRPr="00F0499F" w:rsidRDefault="00472570" w:rsidP="0037370D">
      <w:pPr>
        <w:jc w:val="center"/>
        <w:rPr>
          <w:b/>
          <w:szCs w:val="24"/>
        </w:rPr>
      </w:pPr>
    </w:p>
    <w:p w14:paraId="5BF4CDCF" w14:textId="6018C02C" w:rsidR="00757FE0" w:rsidRPr="00A45698" w:rsidRDefault="00A811F5" w:rsidP="00757FE0">
      <w:pPr>
        <w:rPr>
          <w:rFonts w:cstheme="minorHAnsi"/>
          <w:color w:val="7030A0"/>
        </w:rPr>
      </w:pPr>
      <w:r w:rsidRPr="003107CC">
        <w:rPr>
          <w:rFonts w:cstheme="minorHAnsi"/>
          <w:color w:val="7030A0"/>
        </w:rPr>
        <w:br w:type="page"/>
      </w:r>
      <w:bookmarkStart w:id="71" w:name="_Toc126333948"/>
    </w:p>
    <w:p w14:paraId="355399B1" w14:textId="7C188FE1"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4569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1"/>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0912742F" w:rsidR="007C2D2D" w:rsidRPr="007C2D2D" w:rsidRDefault="007C2D2D" w:rsidP="007C2D2D">
      <w:pPr>
        <w:pStyle w:val="Antrat2"/>
        <w:jc w:val="right"/>
        <w:rPr>
          <w:rFonts w:asciiTheme="minorHAnsi" w:hAnsiTheme="minorHAnsi" w:cstheme="minorHAnsi"/>
          <w:color w:val="0070C0"/>
          <w:sz w:val="21"/>
          <w:szCs w:val="21"/>
        </w:rPr>
      </w:pPr>
      <w:bookmarkStart w:id="72" w:name="_Toc190178591"/>
      <w:r w:rsidRPr="007C2D2D">
        <w:rPr>
          <w:rFonts w:asciiTheme="minorHAnsi" w:hAnsiTheme="minorHAnsi" w:cstheme="minorHAnsi"/>
          <w:color w:val="0070C0"/>
          <w:sz w:val="21"/>
          <w:szCs w:val="21"/>
        </w:rPr>
        <w:lastRenderedPageBreak/>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010CDF">
        <w:rPr>
          <w:rFonts w:asciiTheme="minorHAnsi" w:hAnsiTheme="minorHAnsi" w:cstheme="minorHAnsi"/>
          <w:color w:val="0070C0"/>
          <w:sz w:val="21"/>
          <w:szCs w:val="21"/>
        </w:rPr>
        <w:t>9</w:t>
      </w:r>
      <w:r w:rsidRPr="007C2D2D">
        <w:rPr>
          <w:rFonts w:asciiTheme="minorHAnsi" w:hAnsiTheme="minorHAnsi" w:cstheme="minorHAnsi"/>
          <w:color w:val="0070C0"/>
          <w:sz w:val="21"/>
          <w:szCs w:val="21"/>
        </w:rPr>
        <w:t xml:space="preserve"> priedas „Tiekėjo įvykdytos sutartys“</w:t>
      </w:r>
      <w:bookmarkEnd w:id="72"/>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3" w:name="_Hlk190162866"/>
      <w:r w:rsidRPr="001A3972">
        <w:rPr>
          <w:rFonts w:ascii="Times New Roman" w:hAnsi="Times New Roman" w:cs="Times New Roman"/>
          <w:caps/>
          <w:spacing w:val="20"/>
          <w:sz w:val="28"/>
          <w:szCs w:val="28"/>
        </w:rPr>
        <w:t>tiekėjo ĮVYKDYTOS SUTARTYS</w:t>
      </w:r>
    </w:p>
    <w:bookmarkEnd w:id="73"/>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4"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4"/>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FA15" w14:textId="77777777" w:rsidR="002E7B98" w:rsidRDefault="002E7B98" w:rsidP="00D05666">
      <w:r>
        <w:separator/>
      </w:r>
    </w:p>
  </w:endnote>
  <w:endnote w:type="continuationSeparator" w:id="0">
    <w:p w14:paraId="54324512" w14:textId="77777777" w:rsidR="002E7B98" w:rsidRDefault="002E7B98" w:rsidP="00D05666">
      <w:r>
        <w:continuationSeparator/>
      </w:r>
    </w:p>
  </w:endnote>
  <w:endnote w:type="continuationNotice" w:id="1">
    <w:p w14:paraId="75145FD3" w14:textId="77777777" w:rsidR="002E7B98" w:rsidRDefault="002E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End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6EAC" w14:textId="77777777" w:rsidR="002E7B98" w:rsidRDefault="002E7B98" w:rsidP="00D05666">
      <w:r>
        <w:separator/>
      </w:r>
    </w:p>
  </w:footnote>
  <w:footnote w:type="continuationSeparator" w:id="0">
    <w:p w14:paraId="23B7BCB9" w14:textId="77777777" w:rsidR="002E7B98" w:rsidRDefault="002E7B98" w:rsidP="00D05666">
      <w:r>
        <w:continuationSeparator/>
      </w:r>
    </w:p>
  </w:footnote>
  <w:footnote w:type="continuationNotice" w:id="1">
    <w:p w14:paraId="704E47D4" w14:textId="77777777" w:rsidR="002E7B98" w:rsidRDefault="002E7B98">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9"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6"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5"/>
  </w:num>
  <w:num w:numId="2" w16cid:durableId="1836416288">
    <w:abstractNumId w:val="7"/>
  </w:num>
  <w:num w:numId="3" w16cid:durableId="1689990146">
    <w:abstractNumId w:val="35"/>
  </w:num>
  <w:num w:numId="4" w16cid:durableId="775251366">
    <w:abstractNumId w:val="24"/>
  </w:num>
  <w:num w:numId="5" w16cid:durableId="1753231845">
    <w:abstractNumId w:val="21"/>
  </w:num>
  <w:num w:numId="6" w16cid:durableId="1432168918">
    <w:abstractNumId w:val="38"/>
  </w:num>
  <w:num w:numId="7" w16cid:durableId="394085911">
    <w:abstractNumId w:val="41"/>
  </w:num>
  <w:num w:numId="8" w16cid:durableId="772825885">
    <w:abstractNumId w:val="6"/>
  </w:num>
  <w:num w:numId="9" w16cid:durableId="1394816688">
    <w:abstractNumId w:val="31"/>
  </w:num>
  <w:num w:numId="10" w16cid:durableId="341249877">
    <w:abstractNumId w:val="22"/>
  </w:num>
  <w:num w:numId="11" w16cid:durableId="518204390">
    <w:abstractNumId w:val="2"/>
  </w:num>
  <w:num w:numId="12" w16cid:durableId="412043720">
    <w:abstractNumId w:val="40"/>
  </w:num>
  <w:num w:numId="13" w16cid:durableId="463961274">
    <w:abstractNumId w:val="19"/>
  </w:num>
  <w:num w:numId="14" w16cid:durableId="288557178">
    <w:abstractNumId w:val="25"/>
  </w:num>
  <w:num w:numId="15" w16cid:durableId="200559194">
    <w:abstractNumId w:val="23"/>
  </w:num>
  <w:num w:numId="16" w16cid:durableId="914900721">
    <w:abstractNumId w:val="27"/>
  </w:num>
  <w:num w:numId="17" w16cid:durableId="1599604278">
    <w:abstractNumId w:val="37"/>
  </w:num>
  <w:num w:numId="18" w16cid:durableId="1028675951">
    <w:abstractNumId w:val="18"/>
  </w:num>
  <w:num w:numId="19" w16cid:durableId="917833483">
    <w:abstractNumId w:val="1"/>
  </w:num>
  <w:num w:numId="20" w16cid:durableId="1882478278">
    <w:abstractNumId w:val="16"/>
  </w:num>
  <w:num w:numId="21" w16cid:durableId="1293633276">
    <w:abstractNumId w:val="14"/>
  </w:num>
  <w:num w:numId="22" w16cid:durableId="2039500310">
    <w:abstractNumId w:val="33"/>
  </w:num>
  <w:num w:numId="23" w16cid:durableId="1917978667">
    <w:abstractNumId w:val="10"/>
  </w:num>
  <w:num w:numId="24" w16cid:durableId="1458448821">
    <w:abstractNumId w:val="5"/>
  </w:num>
  <w:num w:numId="25" w16cid:durableId="1596397886">
    <w:abstractNumId w:val="8"/>
  </w:num>
  <w:num w:numId="26" w16cid:durableId="723792571">
    <w:abstractNumId w:val="26"/>
  </w:num>
  <w:num w:numId="27" w16cid:durableId="1981880093">
    <w:abstractNumId w:val="9"/>
  </w:num>
  <w:num w:numId="28" w16cid:durableId="835805365">
    <w:abstractNumId w:val="28"/>
  </w:num>
  <w:num w:numId="29" w16cid:durableId="1177885587">
    <w:abstractNumId w:val="34"/>
  </w:num>
  <w:num w:numId="30" w16cid:durableId="913902553">
    <w:abstractNumId w:val="17"/>
  </w:num>
  <w:num w:numId="31" w16cid:durableId="1789858266">
    <w:abstractNumId w:val="39"/>
  </w:num>
  <w:num w:numId="32" w16cid:durableId="1884630571">
    <w:abstractNumId w:val="20"/>
  </w:num>
  <w:num w:numId="33" w16cid:durableId="494614562">
    <w:abstractNumId w:val="32"/>
  </w:num>
  <w:num w:numId="34" w16cid:durableId="1473055655">
    <w:abstractNumId w:val="36"/>
  </w:num>
  <w:num w:numId="35" w16cid:durableId="510532351">
    <w:abstractNumId w:val="0"/>
  </w:num>
  <w:num w:numId="36" w16cid:durableId="163128702">
    <w:abstractNumId w:val="29"/>
  </w:num>
  <w:num w:numId="37" w16cid:durableId="1496719989">
    <w:abstractNumId w:val="11"/>
  </w:num>
  <w:num w:numId="38" w16cid:durableId="863712345">
    <w:abstractNumId w:val="13"/>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2"/>
  </w:num>
  <w:num w:numId="41" w16cid:durableId="1205946284">
    <w:abstractNumId w:val="4"/>
  </w:num>
  <w:num w:numId="42" w16cid:durableId="193451074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CDF"/>
    <w:rsid w:val="00010EAD"/>
    <w:rsid w:val="00010FA6"/>
    <w:rsid w:val="00011887"/>
    <w:rsid w:val="00011A8D"/>
    <w:rsid w:val="00011B40"/>
    <w:rsid w:val="00012892"/>
    <w:rsid w:val="00012BE7"/>
    <w:rsid w:val="000133D6"/>
    <w:rsid w:val="00013DF0"/>
    <w:rsid w:val="00013EF1"/>
    <w:rsid w:val="00013FF6"/>
    <w:rsid w:val="000142BA"/>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1F3F"/>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1EBD"/>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111"/>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5ED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374"/>
    <w:rsid w:val="00135B56"/>
    <w:rsid w:val="00135EEE"/>
    <w:rsid w:val="0013610E"/>
    <w:rsid w:val="001365CA"/>
    <w:rsid w:val="00136624"/>
    <w:rsid w:val="00136C54"/>
    <w:rsid w:val="00137D31"/>
    <w:rsid w:val="0014092A"/>
    <w:rsid w:val="00140D50"/>
    <w:rsid w:val="00141292"/>
    <w:rsid w:val="00141BF1"/>
    <w:rsid w:val="00141F0A"/>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57EC8"/>
    <w:rsid w:val="001607EC"/>
    <w:rsid w:val="001609D9"/>
    <w:rsid w:val="00160A4A"/>
    <w:rsid w:val="001640AF"/>
    <w:rsid w:val="00164443"/>
    <w:rsid w:val="001647BD"/>
    <w:rsid w:val="00166073"/>
    <w:rsid w:val="0016665C"/>
    <w:rsid w:val="00166EB7"/>
    <w:rsid w:val="00167192"/>
    <w:rsid w:val="00167555"/>
    <w:rsid w:val="00167E09"/>
    <w:rsid w:val="00170676"/>
    <w:rsid w:val="00171255"/>
    <w:rsid w:val="0017154D"/>
    <w:rsid w:val="00171B58"/>
    <w:rsid w:val="00171C73"/>
    <w:rsid w:val="00171FE7"/>
    <w:rsid w:val="001721CB"/>
    <w:rsid w:val="0017277D"/>
    <w:rsid w:val="00172D53"/>
    <w:rsid w:val="00173ACB"/>
    <w:rsid w:val="00173E9D"/>
    <w:rsid w:val="001741F9"/>
    <w:rsid w:val="00174A4C"/>
    <w:rsid w:val="00174EE0"/>
    <w:rsid w:val="00174FA1"/>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6B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10A"/>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2CC"/>
    <w:rsid w:val="002544AC"/>
    <w:rsid w:val="00254895"/>
    <w:rsid w:val="00254B13"/>
    <w:rsid w:val="00255225"/>
    <w:rsid w:val="0025607C"/>
    <w:rsid w:val="002575A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5A7"/>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46B"/>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4D"/>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E7B98"/>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285"/>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3C2A"/>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3A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677A"/>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4878"/>
    <w:rsid w:val="00535763"/>
    <w:rsid w:val="005357BB"/>
    <w:rsid w:val="005377B5"/>
    <w:rsid w:val="005379E7"/>
    <w:rsid w:val="00537A4A"/>
    <w:rsid w:val="00537CFC"/>
    <w:rsid w:val="00540094"/>
    <w:rsid w:val="005404A6"/>
    <w:rsid w:val="00540743"/>
    <w:rsid w:val="00540B91"/>
    <w:rsid w:val="00540C9A"/>
    <w:rsid w:val="005411DD"/>
    <w:rsid w:val="0054132A"/>
    <w:rsid w:val="005415E4"/>
    <w:rsid w:val="00541B06"/>
    <w:rsid w:val="00541BC4"/>
    <w:rsid w:val="005420ED"/>
    <w:rsid w:val="00542A74"/>
    <w:rsid w:val="00543AE0"/>
    <w:rsid w:val="005448A6"/>
    <w:rsid w:val="00544F15"/>
    <w:rsid w:val="0054646B"/>
    <w:rsid w:val="005464B7"/>
    <w:rsid w:val="00546582"/>
    <w:rsid w:val="00547265"/>
    <w:rsid w:val="00547443"/>
    <w:rsid w:val="005475C6"/>
    <w:rsid w:val="00547F92"/>
    <w:rsid w:val="005505A6"/>
    <w:rsid w:val="005505BF"/>
    <w:rsid w:val="005509CE"/>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67CB"/>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2867"/>
    <w:rsid w:val="005C3238"/>
    <w:rsid w:val="005C3F18"/>
    <w:rsid w:val="005C46E1"/>
    <w:rsid w:val="005C50BC"/>
    <w:rsid w:val="005C5BD5"/>
    <w:rsid w:val="005C6C2A"/>
    <w:rsid w:val="005C6D8F"/>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4CF4"/>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5A2"/>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363"/>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1D7"/>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6DB4"/>
    <w:rsid w:val="006773B6"/>
    <w:rsid w:val="00677704"/>
    <w:rsid w:val="00677F17"/>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D72E7"/>
    <w:rsid w:val="006E04DD"/>
    <w:rsid w:val="006E0DEA"/>
    <w:rsid w:val="006E1496"/>
    <w:rsid w:val="006E1CFB"/>
    <w:rsid w:val="006E202E"/>
    <w:rsid w:val="006E28D7"/>
    <w:rsid w:val="006E2957"/>
    <w:rsid w:val="006E2A14"/>
    <w:rsid w:val="006E2F0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2FA1"/>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3CF8"/>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837"/>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3B03"/>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4B11"/>
    <w:rsid w:val="0082502F"/>
    <w:rsid w:val="008253EC"/>
    <w:rsid w:val="008254CB"/>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2EBE"/>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2B2"/>
    <w:rsid w:val="008B1A04"/>
    <w:rsid w:val="008B1C22"/>
    <w:rsid w:val="008B1FB2"/>
    <w:rsid w:val="008B2A01"/>
    <w:rsid w:val="008B31B9"/>
    <w:rsid w:val="008B47EE"/>
    <w:rsid w:val="008B4851"/>
    <w:rsid w:val="008B4EFE"/>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2AB"/>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750"/>
    <w:rsid w:val="00915AF0"/>
    <w:rsid w:val="0091615C"/>
    <w:rsid w:val="009162C1"/>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2A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4F"/>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1"/>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6B0"/>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24E"/>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898"/>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52AC"/>
    <w:rsid w:val="009B62AA"/>
    <w:rsid w:val="009B654D"/>
    <w:rsid w:val="009B6595"/>
    <w:rsid w:val="009B6E32"/>
    <w:rsid w:val="009B6F95"/>
    <w:rsid w:val="009B711D"/>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5D16"/>
    <w:rsid w:val="00A265D8"/>
    <w:rsid w:val="00A26794"/>
    <w:rsid w:val="00A268C3"/>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698"/>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27"/>
    <w:rsid w:val="00A65B5C"/>
    <w:rsid w:val="00A65CD9"/>
    <w:rsid w:val="00A6625B"/>
    <w:rsid w:val="00A67567"/>
    <w:rsid w:val="00A702CB"/>
    <w:rsid w:val="00A704CD"/>
    <w:rsid w:val="00A70AC9"/>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949"/>
    <w:rsid w:val="00AB1EF3"/>
    <w:rsid w:val="00AB219B"/>
    <w:rsid w:val="00AB2DB9"/>
    <w:rsid w:val="00AB2E78"/>
    <w:rsid w:val="00AB2FA0"/>
    <w:rsid w:val="00AB36E9"/>
    <w:rsid w:val="00AB3B35"/>
    <w:rsid w:val="00AB3B5E"/>
    <w:rsid w:val="00AB3EA4"/>
    <w:rsid w:val="00AB5541"/>
    <w:rsid w:val="00AB5657"/>
    <w:rsid w:val="00AB5FFA"/>
    <w:rsid w:val="00AB638C"/>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522B"/>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6DC"/>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1FB"/>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479"/>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431"/>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EFA"/>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05C"/>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082"/>
    <w:rsid w:val="00C46663"/>
    <w:rsid w:val="00C468E9"/>
    <w:rsid w:val="00C47599"/>
    <w:rsid w:val="00C476FC"/>
    <w:rsid w:val="00C477E1"/>
    <w:rsid w:val="00C47CE7"/>
    <w:rsid w:val="00C504F9"/>
    <w:rsid w:val="00C50AB2"/>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1BB8"/>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313"/>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0FC"/>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579"/>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3"/>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4D6"/>
    <w:rsid w:val="00F126A8"/>
    <w:rsid w:val="00F1334C"/>
    <w:rsid w:val="00F133E3"/>
    <w:rsid w:val="00F13921"/>
    <w:rsid w:val="00F13CFC"/>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463B"/>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0CEA"/>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42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78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076566">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505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2779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2036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1086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27</Pages>
  <Words>7474</Words>
  <Characters>42602</Characters>
  <Application>Microsoft Office Word</Application>
  <DocSecurity>0</DocSecurity>
  <Lines>355</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518</cp:revision>
  <cp:lastPrinted>2025-02-04T13:01:00Z</cp:lastPrinted>
  <dcterms:created xsi:type="dcterms:W3CDTF">2024-09-23T12:08:00Z</dcterms:created>
  <dcterms:modified xsi:type="dcterms:W3CDTF">2025-05-28T10:19:00Z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