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41DE1516" w:rsidR="003470BD" w:rsidRPr="004D4B7E" w:rsidRDefault="00F817EB" w:rsidP="003470BD">
            <w:pPr>
              <w:jc w:val="both"/>
              <w:rPr>
                <w:rFonts w:ascii="Cambria" w:hAnsi="Cambria"/>
                <w:kern w:val="2"/>
                <w:sz w:val="20"/>
              </w:rPr>
            </w:pPr>
            <w:r w:rsidRPr="00F817EB">
              <w:rPr>
                <w:rFonts w:ascii="Cambria" w:hAnsi="Cambria"/>
                <w:kern w:val="2"/>
                <w:sz w:val="20"/>
              </w:rPr>
              <w:t>Venų ieškiklis su stovu</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4B8922C"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F817EB">
              <w:rPr>
                <w:rFonts w:ascii="Cambria" w:hAnsi="Cambria"/>
                <w:b/>
                <w:kern w:val="2"/>
                <w:sz w:val="20"/>
              </w:rPr>
              <w:t>v</w:t>
            </w:r>
            <w:r w:rsidR="00F817EB" w:rsidRPr="00F817EB">
              <w:rPr>
                <w:rFonts w:ascii="Cambria" w:hAnsi="Cambria"/>
                <w:b/>
                <w:kern w:val="2"/>
                <w:sz w:val="20"/>
              </w:rPr>
              <w:t>enų ieškikl</w:t>
            </w:r>
            <w:r w:rsidR="00F817EB">
              <w:rPr>
                <w:rFonts w:ascii="Cambria" w:hAnsi="Cambria"/>
                <w:b/>
                <w:kern w:val="2"/>
                <w:sz w:val="20"/>
              </w:rPr>
              <w:t>į</w:t>
            </w:r>
            <w:r w:rsidR="00F817EB" w:rsidRPr="00F817EB">
              <w:rPr>
                <w:rFonts w:ascii="Cambria" w:hAnsi="Cambria"/>
                <w:b/>
                <w:kern w:val="2"/>
                <w:sz w:val="20"/>
              </w:rPr>
              <w:t xml:space="preserve"> su stovu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05E990B"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F817EB">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r w:rsidR="00F817EB" w:rsidRPr="00F817EB">
              <w:rPr>
                <w:rFonts w:ascii="Cambria" w:hAnsi="Cambria"/>
                <w:b/>
                <w:kern w:val="2"/>
                <w:sz w:val="20"/>
              </w:rPr>
              <w:t>Venų ieškiklis su stovu</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4348F094"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01278482"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F817EB">
              <w:rPr>
                <w:rFonts w:ascii="Cambria" w:hAnsi="Cambria"/>
                <w:kern w:val="2"/>
                <w:sz w:val="20"/>
              </w:rPr>
              <w:t>25</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F817EB">
              <w:rPr>
                <w:rFonts w:ascii="Cambria" w:hAnsi="Cambria"/>
                <w:kern w:val="2"/>
                <w:sz w:val="20"/>
              </w:rPr>
              <w:t>25</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F817EB">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F817EB">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F817EB">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3470BD">
            <w:pPr>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64131D4E"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w:t>
            </w:r>
            <w:r w:rsidRPr="00F81B10">
              <w:rPr>
                <w:rFonts w:ascii="Cambria" w:hAnsi="Cambria"/>
                <w:kern w:val="2"/>
                <w:sz w:val="20"/>
              </w:rPr>
              <w:lastRenderedPageBreak/>
              <w:t>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E06AA5E"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7EB">
              <w:rPr>
                <w:rFonts w:ascii="Cambria" w:hAnsi="Cambria"/>
                <w:kern w:val="2"/>
                <w:sz w:val="20"/>
              </w:rPr>
              <w:t>2</w:t>
            </w:r>
            <w:r w:rsidR="00F81B10" w:rsidRPr="00321EFD">
              <w:rPr>
                <w:rFonts w:ascii="Cambria" w:hAnsi="Cambria"/>
                <w:kern w:val="2"/>
                <w:sz w:val="20"/>
              </w:rPr>
              <w:t>0 (</w:t>
            </w:r>
            <w:r w:rsidR="00F817EB">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7676C848"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7EB">
              <w:rPr>
                <w:rFonts w:ascii="Cambria" w:hAnsi="Cambria"/>
                <w:sz w:val="20"/>
              </w:rPr>
              <w:t>2</w:t>
            </w:r>
            <w:r w:rsidR="00F81B10" w:rsidRPr="00321EFD">
              <w:rPr>
                <w:rFonts w:ascii="Cambria" w:hAnsi="Cambria"/>
                <w:kern w:val="2"/>
                <w:sz w:val="20"/>
              </w:rPr>
              <w:t>0 (</w:t>
            </w:r>
            <w:r w:rsidR="00F817EB">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lastRenderedPageBreak/>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65951CF6" w:rsidR="00F81B10" w:rsidRPr="00321EFD" w:rsidRDefault="00F81B10" w:rsidP="00F81B10">
            <w:pPr>
              <w:pStyle w:val="Komentarotekstas"/>
              <w:jc w:val="both"/>
              <w:rPr>
                <w:rFonts w:ascii="Cambria" w:hAnsi="Cambria"/>
              </w:rPr>
            </w:pPr>
            <w:r w:rsidRPr="00321EFD">
              <w:rPr>
                <w:rFonts w:ascii="Cambria" w:hAnsi="Cambria"/>
              </w:rPr>
              <w:t>12.2.</w:t>
            </w:r>
            <w:r w:rsidR="00F817EB">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1E6E1BFB" w:rsidR="00F81B10" w:rsidRPr="00321EFD" w:rsidRDefault="00F81B10" w:rsidP="00F81B10">
            <w:pPr>
              <w:pStyle w:val="Komentarotekstas"/>
              <w:jc w:val="both"/>
              <w:rPr>
                <w:rFonts w:ascii="Cambria" w:hAnsi="Cambria"/>
              </w:rPr>
            </w:pPr>
            <w:r w:rsidRPr="00321EFD">
              <w:rPr>
                <w:rFonts w:ascii="Cambria" w:hAnsi="Cambria"/>
              </w:rPr>
              <w:t>12.2.</w:t>
            </w:r>
            <w:r w:rsidR="00F817EB">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4AC024C3" w:rsidR="00F81B10" w:rsidRPr="00321EFD" w:rsidRDefault="00F81B10" w:rsidP="00F81B10">
            <w:pPr>
              <w:pStyle w:val="Komentarotekstas"/>
              <w:jc w:val="both"/>
              <w:rPr>
                <w:rFonts w:ascii="Cambria" w:hAnsi="Cambria"/>
              </w:rPr>
            </w:pPr>
            <w:r w:rsidRPr="00321EFD">
              <w:rPr>
                <w:rFonts w:ascii="Cambria" w:hAnsi="Cambria"/>
              </w:rPr>
              <w:t>12.2.</w:t>
            </w:r>
            <w:r w:rsidR="00F817EB">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1D9A74B9" w:rsidR="00F81B10" w:rsidRPr="00321EFD" w:rsidRDefault="00F81B10" w:rsidP="00F81B10">
            <w:pPr>
              <w:pStyle w:val="Komentarotekstas"/>
              <w:jc w:val="both"/>
              <w:rPr>
                <w:rFonts w:ascii="Cambria" w:hAnsi="Cambria"/>
              </w:rPr>
            </w:pPr>
            <w:r w:rsidRPr="00321EFD">
              <w:rPr>
                <w:rFonts w:ascii="Cambria" w:hAnsi="Cambria"/>
              </w:rPr>
              <w:t>12.2.</w:t>
            </w:r>
            <w:r w:rsidR="00F817EB">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7C2D48F0" w:rsidR="00F81B10" w:rsidRPr="00321EFD" w:rsidRDefault="00F81B10" w:rsidP="00F81B10">
            <w:pPr>
              <w:pStyle w:val="Komentarotekstas"/>
              <w:jc w:val="both"/>
              <w:rPr>
                <w:rFonts w:ascii="Cambria" w:hAnsi="Cambria"/>
              </w:rPr>
            </w:pPr>
            <w:r w:rsidRPr="00321EFD">
              <w:rPr>
                <w:rFonts w:ascii="Cambria" w:hAnsi="Cambria"/>
              </w:rPr>
              <w:t>12.2.. Tiekėjas pažeidžia šios Sutarties nuostatas, reglamentuojančias konkurenciją, intelektinės nuosavybės ar konfidencialios informacijos valdymą.</w:t>
            </w:r>
          </w:p>
          <w:p w14:paraId="03DDA9E3" w14:textId="70540CBB"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12.2.8</w:t>
            </w:r>
            <w:r w:rsidR="00F817EB">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5"/>
          </w:tcPr>
          <w:p w14:paraId="2E78AE5D" w14:textId="4032C76E" w:rsidR="003470BD" w:rsidRPr="004D4B7E" w:rsidRDefault="003470BD" w:rsidP="00FC4BD1">
            <w:pPr>
              <w:jc w:val="center"/>
              <w:rPr>
                <w:rFonts w:ascii="Cambria" w:hAnsi="Cambria"/>
                <w:kern w:val="2"/>
                <w:sz w:val="20"/>
              </w:rPr>
            </w:pPr>
            <w:r w:rsidRPr="004D4B7E">
              <w:rPr>
                <w:rFonts w:ascii="Cambria" w:hAnsi="Cambria"/>
                <w:b/>
                <w:bCs/>
                <w:kern w:val="2"/>
                <w:sz w:val="20"/>
              </w:rPr>
              <w:t>13. APLINKOSAUGINIAI IR SOCIALINIAI KRITERIJAI</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13.1. Aplinkosauginių kriterijų nustatymo teisinis pagrindas</w:t>
            </w:r>
          </w:p>
        </w:tc>
        <w:tc>
          <w:tcPr>
            <w:tcW w:w="7003" w:type="dxa"/>
            <w:gridSpan w:val="4"/>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7719A9B7" w:rsidR="00F81B10" w:rsidRPr="00321EF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F817EB">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2E90BAC2" w:rsidR="001B1B21" w:rsidRDefault="001B1B21" w:rsidP="001B1B21">
      <w:pPr>
        <w:jc w:val="center"/>
        <w:rPr>
          <w:rFonts w:ascii="Cambria" w:hAnsi="Cambria"/>
          <w:sz w:val="20"/>
        </w:rPr>
      </w:pPr>
      <w:r w:rsidRPr="00321EFD">
        <w:rPr>
          <w:rFonts w:ascii="Cambria" w:hAnsi="Cambria"/>
          <w:sz w:val="20"/>
        </w:rPr>
        <w:t>PREKIŲ ŽINIARAŠTIS</w:t>
      </w:r>
    </w:p>
    <w:p w14:paraId="01595FE6" w14:textId="5CC0AF9A" w:rsidR="00F817EB" w:rsidRDefault="00F817EB" w:rsidP="001B1B21">
      <w:pPr>
        <w:jc w:val="center"/>
        <w:rPr>
          <w:rFonts w:ascii="Cambria" w:hAnsi="Cambria"/>
          <w:sz w:val="20"/>
        </w:rPr>
      </w:pPr>
    </w:p>
    <w:tbl>
      <w:tblPr>
        <w:tblW w:w="9959" w:type="dxa"/>
        <w:tblLook w:val="04A0" w:firstRow="1" w:lastRow="0" w:firstColumn="1" w:lastColumn="0" w:noHBand="0" w:noVBand="1"/>
      </w:tblPr>
      <w:tblGrid>
        <w:gridCol w:w="645"/>
        <w:gridCol w:w="2862"/>
        <w:gridCol w:w="2084"/>
        <w:gridCol w:w="744"/>
        <w:gridCol w:w="795"/>
        <w:gridCol w:w="926"/>
        <w:gridCol w:w="894"/>
        <w:gridCol w:w="1009"/>
      </w:tblGrid>
      <w:tr w:rsidR="00F817EB" w:rsidRPr="00F817EB" w14:paraId="59B77D1E" w14:textId="77777777" w:rsidTr="00F817EB">
        <w:trPr>
          <w:trHeight w:val="660"/>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59991" w14:textId="77777777" w:rsidR="00F817EB" w:rsidRDefault="00F817EB" w:rsidP="00F817EB">
            <w:pPr>
              <w:jc w:val="center"/>
              <w:rPr>
                <w:rFonts w:ascii="Cambria" w:hAnsi="Cambria" w:cs="Calibri"/>
                <w:b/>
                <w:bCs/>
                <w:sz w:val="20"/>
                <w:lang w:eastAsia="lt-LT"/>
              </w:rPr>
            </w:pPr>
            <w:r w:rsidRPr="00F817EB">
              <w:rPr>
                <w:rFonts w:ascii="Cambria" w:hAnsi="Cambria" w:cs="Calibri"/>
                <w:b/>
                <w:bCs/>
                <w:sz w:val="20"/>
                <w:lang w:eastAsia="lt-LT"/>
              </w:rPr>
              <w:t>Eil.</w:t>
            </w:r>
          </w:p>
          <w:p w14:paraId="3B32DBCB" w14:textId="0AE9685E" w:rsidR="00F817EB" w:rsidRPr="00F817EB" w:rsidRDefault="00F817EB" w:rsidP="00F817EB">
            <w:pPr>
              <w:jc w:val="center"/>
              <w:rPr>
                <w:rFonts w:ascii="Cambria" w:hAnsi="Cambria" w:cs="Calibri"/>
                <w:b/>
                <w:bCs/>
                <w:sz w:val="20"/>
                <w:lang w:eastAsia="lt-LT"/>
              </w:rPr>
            </w:pPr>
            <w:r w:rsidRPr="00F817EB">
              <w:rPr>
                <w:rFonts w:ascii="Cambria" w:hAnsi="Cambria" w:cs="Calibri"/>
                <w:b/>
                <w:bCs/>
                <w:sz w:val="20"/>
                <w:lang w:eastAsia="lt-LT"/>
              </w:rPr>
              <w:t>Nr.</w:t>
            </w:r>
          </w:p>
        </w:tc>
        <w:tc>
          <w:tcPr>
            <w:tcW w:w="2862" w:type="dxa"/>
            <w:tcBorders>
              <w:top w:val="single" w:sz="4" w:space="0" w:color="auto"/>
              <w:left w:val="nil"/>
              <w:bottom w:val="single" w:sz="4" w:space="0" w:color="auto"/>
              <w:right w:val="single" w:sz="4" w:space="0" w:color="auto"/>
            </w:tcBorders>
            <w:shd w:val="clear" w:color="000000" w:fill="FFFFFF"/>
            <w:vAlign w:val="center"/>
            <w:hideMark/>
          </w:tcPr>
          <w:p w14:paraId="2926D21D" w14:textId="77777777" w:rsidR="00F817EB" w:rsidRPr="00F817EB" w:rsidRDefault="00F817EB" w:rsidP="00F817EB">
            <w:pPr>
              <w:jc w:val="center"/>
              <w:rPr>
                <w:rFonts w:ascii="Cambria" w:hAnsi="Cambria" w:cs="Calibri"/>
                <w:b/>
                <w:bCs/>
                <w:sz w:val="20"/>
                <w:lang w:eastAsia="lt-LT"/>
              </w:rPr>
            </w:pPr>
            <w:r w:rsidRPr="00F817EB">
              <w:rPr>
                <w:rFonts w:ascii="Cambria" w:hAnsi="Cambria" w:cs="Calibri"/>
                <w:b/>
                <w:bCs/>
                <w:sz w:val="20"/>
                <w:lang w:eastAsia="lt-LT"/>
              </w:rPr>
              <w:t>Pavadinimas</w:t>
            </w:r>
          </w:p>
        </w:tc>
        <w:tc>
          <w:tcPr>
            <w:tcW w:w="2084" w:type="dxa"/>
            <w:tcBorders>
              <w:top w:val="single" w:sz="4" w:space="0" w:color="auto"/>
              <w:left w:val="nil"/>
              <w:bottom w:val="single" w:sz="4" w:space="0" w:color="auto"/>
              <w:right w:val="single" w:sz="4" w:space="0" w:color="auto"/>
            </w:tcBorders>
            <w:shd w:val="clear" w:color="000000" w:fill="FFFFFF"/>
            <w:vAlign w:val="center"/>
            <w:hideMark/>
          </w:tcPr>
          <w:p w14:paraId="5157746E" w14:textId="77777777" w:rsidR="00F817EB" w:rsidRPr="00F817EB" w:rsidRDefault="00F817EB" w:rsidP="00F817EB">
            <w:pPr>
              <w:jc w:val="center"/>
              <w:rPr>
                <w:rFonts w:ascii="Cambria" w:hAnsi="Cambria" w:cs="Calibri"/>
                <w:b/>
                <w:bCs/>
                <w:sz w:val="20"/>
                <w:lang w:eastAsia="lt-LT"/>
              </w:rPr>
            </w:pPr>
            <w:r w:rsidRPr="00F817EB">
              <w:rPr>
                <w:rFonts w:ascii="Cambria" w:hAnsi="Cambria" w:cs="Calibri"/>
                <w:b/>
                <w:bCs/>
                <w:sz w:val="20"/>
                <w:lang w:eastAsia="lt-LT"/>
              </w:rPr>
              <w:t>Modelis/katalogo numeris, gamintojo pavadinimas</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231A8E42" w14:textId="77777777" w:rsidR="00F817EB" w:rsidRPr="00F817EB" w:rsidRDefault="00F817EB" w:rsidP="00F817EB">
            <w:pPr>
              <w:jc w:val="center"/>
              <w:rPr>
                <w:rFonts w:ascii="Cambria" w:hAnsi="Cambria" w:cs="Calibri"/>
                <w:b/>
                <w:bCs/>
                <w:color w:val="000000"/>
                <w:sz w:val="20"/>
                <w:lang w:eastAsia="lt-LT"/>
              </w:rPr>
            </w:pPr>
            <w:r w:rsidRPr="00F817EB">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4CD03BD7" w14:textId="77777777" w:rsidR="00F817EB" w:rsidRPr="00F817EB" w:rsidRDefault="00F817EB" w:rsidP="00F817EB">
            <w:pPr>
              <w:jc w:val="center"/>
              <w:rPr>
                <w:rFonts w:ascii="Cambria" w:hAnsi="Cambria" w:cs="Calibri"/>
                <w:b/>
                <w:bCs/>
                <w:sz w:val="20"/>
                <w:lang w:eastAsia="lt-LT"/>
              </w:rPr>
            </w:pPr>
            <w:r w:rsidRPr="00F817EB">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B9473FB" w14:textId="77777777" w:rsidR="00F817EB" w:rsidRPr="00F817EB" w:rsidRDefault="00F817EB" w:rsidP="00F817EB">
            <w:pPr>
              <w:jc w:val="center"/>
              <w:rPr>
                <w:rFonts w:ascii="Cambria" w:hAnsi="Cambria" w:cs="Calibri"/>
                <w:b/>
                <w:bCs/>
                <w:sz w:val="20"/>
                <w:lang w:eastAsia="lt-LT"/>
              </w:rPr>
            </w:pPr>
            <w:r w:rsidRPr="00F817EB">
              <w:rPr>
                <w:rFonts w:ascii="Cambria" w:hAnsi="Cambria" w:cs="Calibri"/>
                <w:b/>
                <w:bCs/>
                <w:sz w:val="20"/>
                <w:lang w:eastAsia="lt-LT"/>
              </w:rPr>
              <w:t>Vieneto kaina Eur</w:t>
            </w:r>
            <w:r w:rsidRPr="00F817EB">
              <w:rPr>
                <w:rFonts w:ascii="Cambria" w:hAnsi="Cambria" w:cs="Calibri"/>
                <w:b/>
                <w:bCs/>
                <w:sz w:val="20"/>
                <w:lang w:eastAsia="lt-LT"/>
              </w:rPr>
              <w:br/>
              <w:t>(be PVM)</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39324BF6" w14:textId="77777777" w:rsidR="00F817EB" w:rsidRPr="00F817EB" w:rsidRDefault="00F817EB" w:rsidP="00F817EB">
            <w:pPr>
              <w:jc w:val="center"/>
              <w:rPr>
                <w:rFonts w:ascii="Cambria" w:hAnsi="Cambria" w:cs="Calibri"/>
                <w:b/>
                <w:bCs/>
                <w:sz w:val="20"/>
                <w:lang w:eastAsia="lt-LT"/>
              </w:rPr>
            </w:pPr>
            <w:r w:rsidRPr="00F817EB">
              <w:rPr>
                <w:rFonts w:ascii="Cambria" w:hAnsi="Cambria" w:cs="Calibri"/>
                <w:b/>
                <w:bCs/>
                <w:sz w:val="20"/>
                <w:lang w:eastAsia="lt-LT"/>
              </w:rPr>
              <w:t xml:space="preserve">Kaina viso    Eur </w:t>
            </w:r>
            <w:r w:rsidRPr="00F817EB">
              <w:rPr>
                <w:rFonts w:ascii="Cambria" w:hAnsi="Cambria" w:cs="Calibri"/>
                <w:b/>
                <w:bCs/>
                <w:sz w:val="20"/>
                <w:lang w:eastAsia="lt-LT"/>
              </w:rPr>
              <w:br/>
              <w:t>(be PVM)</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5998E5DF" w14:textId="77777777" w:rsidR="00F817EB" w:rsidRPr="00F817EB" w:rsidRDefault="00F817EB" w:rsidP="00F817EB">
            <w:pPr>
              <w:jc w:val="center"/>
              <w:rPr>
                <w:rFonts w:ascii="Cambria" w:hAnsi="Cambria" w:cs="Calibri"/>
                <w:b/>
                <w:bCs/>
                <w:sz w:val="20"/>
                <w:lang w:eastAsia="lt-LT"/>
              </w:rPr>
            </w:pPr>
            <w:r w:rsidRPr="00F817EB">
              <w:rPr>
                <w:rFonts w:ascii="Cambria" w:hAnsi="Cambria" w:cs="Calibri"/>
                <w:b/>
                <w:bCs/>
                <w:sz w:val="20"/>
                <w:lang w:eastAsia="lt-LT"/>
              </w:rPr>
              <w:t xml:space="preserve">Kaina viso    Eur </w:t>
            </w:r>
            <w:r w:rsidRPr="00F817EB">
              <w:rPr>
                <w:rFonts w:ascii="Cambria" w:hAnsi="Cambria" w:cs="Calibri"/>
                <w:b/>
                <w:bCs/>
                <w:sz w:val="20"/>
                <w:lang w:eastAsia="lt-LT"/>
              </w:rPr>
              <w:br/>
              <w:t>(su PVM)</w:t>
            </w:r>
          </w:p>
        </w:tc>
      </w:tr>
      <w:tr w:rsidR="00F817EB" w:rsidRPr="00F817EB" w14:paraId="74FC4A8B" w14:textId="77777777" w:rsidTr="00F817EB">
        <w:trPr>
          <w:trHeight w:val="211"/>
        </w:trPr>
        <w:tc>
          <w:tcPr>
            <w:tcW w:w="645" w:type="dxa"/>
            <w:tcBorders>
              <w:top w:val="nil"/>
              <w:left w:val="single" w:sz="4" w:space="0" w:color="auto"/>
              <w:bottom w:val="nil"/>
              <w:right w:val="single" w:sz="4" w:space="0" w:color="auto"/>
            </w:tcBorders>
            <w:shd w:val="clear" w:color="auto" w:fill="auto"/>
            <w:vAlign w:val="center"/>
            <w:hideMark/>
          </w:tcPr>
          <w:p w14:paraId="6F47D152" w14:textId="77777777" w:rsidR="00F817EB" w:rsidRPr="00F817EB" w:rsidRDefault="00F817EB" w:rsidP="00F817EB">
            <w:pPr>
              <w:jc w:val="center"/>
              <w:rPr>
                <w:rFonts w:ascii="Cambria" w:hAnsi="Cambria" w:cs="Calibri"/>
                <w:color w:val="000000"/>
                <w:sz w:val="20"/>
                <w:lang w:eastAsia="lt-LT"/>
              </w:rPr>
            </w:pPr>
            <w:r w:rsidRPr="00F817EB">
              <w:rPr>
                <w:rFonts w:ascii="Cambria" w:hAnsi="Cambria" w:cs="Calibri"/>
                <w:color w:val="000000"/>
                <w:sz w:val="20"/>
                <w:lang w:eastAsia="lt-LT"/>
              </w:rPr>
              <w:t>1</w:t>
            </w:r>
          </w:p>
        </w:tc>
        <w:tc>
          <w:tcPr>
            <w:tcW w:w="2862" w:type="dxa"/>
            <w:tcBorders>
              <w:top w:val="nil"/>
              <w:left w:val="nil"/>
              <w:bottom w:val="nil"/>
              <w:right w:val="nil"/>
            </w:tcBorders>
            <w:shd w:val="clear" w:color="auto" w:fill="auto"/>
            <w:noWrap/>
            <w:vAlign w:val="center"/>
            <w:hideMark/>
          </w:tcPr>
          <w:p w14:paraId="3136266F" w14:textId="77777777" w:rsidR="00F817EB" w:rsidRPr="00F817EB" w:rsidRDefault="00F817EB" w:rsidP="00F817EB">
            <w:pPr>
              <w:rPr>
                <w:rFonts w:ascii="Cambria" w:hAnsi="Cambria" w:cs="Calibri"/>
                <w:color w:val="000000"/>
                <w:sz w:val="20"/>
                <w:lang w:eastAsia="lt-LT"/>
              </w:rPr>
            </w:pPr>
            <w:bookmarkStart w:id="0" w:name="_GoBack"/>
            <w:r w:rsidRPr="00F817EB">
              <w:rPr>
                <w:rFonts w:ascii="Cambria" w:hAnsi="Cambria" w:cs="Calibri"/>
                <w:color w:val="000000"/>
                <w:sz w:val="20"/>
                <w:lang w:eastAsia="lt-LT"/>
              </w:rPr>
              <w:t>Venų ieškiklis su stovu</w:t>
            </w:r>
            <w:bookmarkEnd w:id="0"/>
          </w:p>
        </w:tc>
        <w:tc>
          <w:tcPr>
            <w:tcW w:w="2084" w:type="dxa"/>
            <w:tcBorders>
              <w:top w:val="nil"/>
              <w:left w:val="single" w:sz="4" w:space="0" w:color="auto"/>
              <w:bottom w:val="nil"/>
              <w:right w:val="single" w:sz="4" w:space="0" w:color="auto"/>
            </w:tcBorders>
            <w:shd w:val="clear" w:color="auto" w:fill="auto"/>
            <w:vAlign w:val="bottom"/>
            <w:hideMark/>
          </w:tcPr>
          <w:p w14:paraId="056D3CAE" w14:textId="77777777" w:rsidR="00F817EB" w:rsidRPr="00F817EB" w:rsidRDefault="00F817EB" w:rsidP="00F817EB">
            <w:pPr>
              <w:jc w:val="center"/>
              <w:rPr>
                <w:rFonts w:ascii="Cambria" w:hAnsi="Cambria" w:cs="Calibri"/>
                <w:color w:val="000000"/>
                <w:sz w:val="20"/>
                <w:lang w:eastAsia="lt-LT"/>
              </w:rPr>
            </w:pPr>
            <w:r w:rsidRPr="00F817EB">
              <w:rPr>
                <w:rFonts w:ascii="Cambria" w:hAnsi="Cambria" w:cs="Calibri"/>
                <w:color w:val="000000"/>
                <w:sz w:val="20"/>
                <w:lang w:eastAsia="lt-LT"/>
              </w:rPr>
              <w:t> </w:t>
            </w:r>
          </w:p>
        </w:tc>
        <w:tc>
          <w:tcPr>
            <w:tcW w:w="744" w:type="dxa"/>
            <w:tcBorders>
              <w:top w:val="nil"/>
              <w:left w:val="nil"/>
              <w:bottom w:val="nil"/>
              <w:right w:val="single" w:sz="4" w:space="0" w:color="auto"/>
            </w:tcBorders>
            <w:shd w:val="clear" w:color="auto" w:fill="auto"/>
            <w:vAlign w:val="center"/>
            <w:hideMark/>
          </w:tcPr>
          <w:p w14:paraId="4ABD9635" w14:textId="77777777" w:rsidR="00F817EB" w:rsidRPr="00F817EB" w:rsidRDefault="00F817EB" w:rsidP="00F817EB">
            <w:pPr>
              <w:jc w:val="center"/>
              <w:rPr>
                <w:rFonts w:ascii="Cambria" w:hAnsi="Cambria" w:cs="Calibri"/>
                <w:color w:val="000000"/>
                <w:sz w:val="20"/>
                <w:lang w:eastAsia="lt-LT"/>
              </w:rPr>
            </w:pPr>
            <w:r w:rsidRPr="00F817EB">
              <w:rPr>
                <w:rFonts w:ascii="Cambria" w:hAnsi="Cambria" w:cs="Calibri"/>
                <w:color w:val="000000"/>
                <w:sz w:val="20"/>
                <w:lang w:eastAsia="lt-LT"/>
              </w:rPr>
              <w:t>vnt.</w:t>
            </w:r>
          </w:p>
        </w:tc>
        <w:tc>
          <w:tcPr>
            <w:tcW w:w="795" w:type="dxa"/>
            <w:tcBorders>
              <w:top w:val="nil"/>
              <w:left w:val="nil"/>
              <w:bottom w:val="nil"/>
              <w:right w:val="single" w:sz="4" w:space="0" w:color="auto"/>
            </w:tcBorders>
            <w:shd w:val="clear" w:color="auto" w:fill="auto"/>
            <w:vAlign w:val="center"/>
            <w:hideMark/>
          </w:tcPr>
          <w:p w14:paraId="66385587" w14:textId="77777777" w:rsidR="00F817EB" w:rsidRPr="00F817EB" w:rsidRDefault="00F817EB" w:rsidP="00F817EB">
            <w:pPr>
              <w:jc w:val="center"/>
              <w:rPr>
                <w:rFonts w:ascii="Cambria" w:hAnsi="Cambria" w:cs="Calibri"/>
                <w:sz w:val="20"/>
                <w:lang w:eastAsia="lt-LT"/>
              </w:rPr>
            </w:pPr>
            <w:r w:rsidRPr="00F817EB">
              <w:rPr>
                <w:rFonts w:ascii="Cambria" w:hAnsi="Cambria" w:cs="Calibri"/>
                <w:sz w:val="20"/>
                <w:lang w:eastAsia="lt-LT"/>
              </w:rPr>
              <w:t>1</w:t>
            </w:r>
          </w:p>
        </w:tc>
        <w:tc>
          <w:tcPr>
            <w:tcW w:w="926" w:type="dxa"/>
            <w:tcBorders>
              <w:top w:val="nil"/>
              <w:left w:val="nil"/>
              <w:bottom w:val="nil"/>
              <w:right w:val="single" w:sz="4" w:space="0" w:color="auto"/>
            </w:tcBorders>
            <w:shd w:val="clear" w:color="auto" w:fill="auto"/>
            <w:vAlign w:val="bottom"/>
            <w:hideMark/>
          </w:tcPr>
          <w:p w14:paraId="1A3619ED" w14:textId="77777777" w:rsidR="00F817EB" w:rsidRPr="00F817EB" w:rsidRDefault="00F817EB" w:rsidP="00F817EB">
            <w:pPr>
              <w:jc w:val="center"/>
              <w:rPr>
                <w:rFonts w:ascii="Cambria" w:hAnsi="Cambria" w:cs="Calibri"/>
                <w:color w:val="000000"/>
                <w:sz w:val="20"/>
                <w:lang w:eastAsia="lt-LT"/>
              </w:rPr>
            </w:pPr>
            <w:r w:rsidRPr="00F817EB">
              <w:rPr>
                <w:rFonts w:ascii="Cambria" w:hAnsi="Cambria" w:cs="Calibri"/>
                <w:color w:val="000000"/>
                <w:sz w:val="20"/>
                <w:lang w:eastAsia="lt-LT"/>
              </w:rPr>
              <w:t> </w:t>
            </w:r>
          </w:p>
        </w:tc>
        <w:tc>
          <w:tcPr>
            <w:tcW w:w="894" w:type="dxa"/>
            <w:tcBorders>
              <w:top w:val="nil"/>
              <w:left w:val="nil"/>
              <w:bottom w:val="nil"/>
              <w:right w:val="single" w:sz="4" w:space="0" w:color="auto"/>
            </w:tcBorders>
            <w:shd w:val="clear" w:color="auto" w:fill="auto"/>
            <w:vAlign w:val="bottom"/>
            <w:hideMark/>
          </w:tcPr>
          <w:p w14:paraId="288D5292" w14:textId="77777777" w:rsidR="00F817EB" w:rsidRPr="00F817EB" w:rsidRDefault="00F817EB" w:rsidP="00F817EB">
            <w:pPr>
              <w:jc w:val="center"/>
              <w:rPr>
                <w:rFonts w:ascii="Cambria" w:hAnsi="Cambria" w:cs="Calibri"/>
                <w:color w:val="000000"/>
                <w:sz w:val="20"/>
                <w:lang w:eastAsia="lt-LT"/>
              </w:rPr>
            </w:pPr>
            <w:r w:rsidRPr="00F817EB">
              <w:rPr>
                <w:rFonts w:ascii="Cambria" w:hAnsi="Cambria" w:cs="Calibri"/>
                <w:color w:val="000000"/>
                <w:sz w:val="20"/>
                <w:lang w:eastAsia="lt-LT"/>
              </w:rPr>
              <w:t> </w:t>
            </w:r>
          </w:p>
        </w:tc>
        <w:tc>
          <w:tcPr>
            <w:tcW w:w="1009" w:type="dxa"/>
            <w:tcBorders>
              <w:top w:val="nil"/>
              <w:left w:val="nil"/>
              <w:bottom w:val="nil"/>
              <w:right w:val="single" w:sz="4" w:space="0" w:color="auto"/>
            </w:tcBorders>
            <w:shd w:val="clear" w:color="auto" w:fill="auto"/>
            <w:vAlign w:val="bottom"/>
            <w:hideMark/>
          </w:tcPr>
          <w:p w14:paraId="50A56ABA" w14:textId="77777777" w:rsidR="00F817EB" w:rsidRPr="00F817EB" w:rsidRDefault="00F817EB" w:rsidP="00F817EB">
            <w:pPr>
              <w:jc w:val="center"/>
              <w:rPr>
                <w:rFonts w:ascii="Cambria" w:hAnsi="Cambria" w:cs="Calibri"/>
                <w:color w:val="000000"/>
                <w:sz w:val="20"/>
                <w:lang w:eastAsia="lt-LT"/>
              </w:rPr>
            </w:pPr>
            <w:r w:rsidRPr="00F817EB">
              <w:rPr>
                <w:rFonts w:ascii="Cambria" w:hAnsi="Cambria" w:cs="Calibri"/>
                <w:color w:val="000000"/>
                <w:sz w:val="20"/>
                <w:lang w:eastAsia="lt-LT"/>
              </w:rPr>
              <w:t> </w:t>
            </w:r>
          </w:p>
        </w:tc>
      </w:tr>
      <w:tr w:rsidR="00F817EB" w:rsidRPr="00F817EB" w14:paraId="2B46B59C" w14:textId="77777777" w:rsidTr="00F817EB">
        <w:trPr>
          <w:trHeight w:val="220"/>
        </w:trPr>
        <w:tc>
          <w:tcPr>
            <w:tcW w:w="895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C4A2B2" w14:textId="7155DF6E" w:rsidR="00F817EB" w:rsidRPr="00F817EB" w:rsidRDefault="00F817EB" w:rsidP="00F817E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4BA2453B" w14:textId="77777777" w:rsidR="00F817EB" w:rsidRPr="00F817EB" w:rsidRDefault="00F817EB" w:rsidP="00F817EB">
            <w:pPr>
              <w:jc w:val="center"/>
              <w:rPr>
                <w:rFonts w:ascii="Cambria" w:hAnsi="Cambria" w:cs="Calibri"/>
                <w:b/>
                <w:bCs/>
                <w:color w:val="000000"/>
                <w:sz w:val="20"/>
                <w:lang w:eastAsia="lt-LT"/>
              </w:rPr>
            </w:pPr>
            <w:r w:rsidRPr="00F817EB">
              <w:rPr>
                <w:rFonts w:ascii="Cambria" w:hAnsi="Cambria" w:cs="Calibri"/>
                <w:b/>
                <w:bCs/>
                <w:color w:val="000000"/>
                <w:sz w:val="20"/>
                <w:lang w:eastAsia="lt-LT"/>
              </w:rPr>
              <w:t> </w:t>
            </w:r>
          </w:p>
        </w:tc>
      </w:tr>
      <w:tr w:rsidR="00F817EB" w:rsidRPr="00F817EB" w14:paraId="30A6C4B3" w14:textId="77777777" w:rsidTr="00F817EB">
        <w:trPr>
          <w:trHeight w:val="220"/>
        </w:trPr>
        <w:tc>
          <w:tcPr>
            <w:tcW w:w="895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B1FEF5" w14:textId="13C8337B" w:rsidR="00F817EB" w:rsidRPr="00F817EB" w:rsidRDefault="00F817EB" w:rsidP="00F817EB">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09" w:type="dxa"/>
            <w:tcBorders>
              <w:top w:val="nil"/>
              <w:left w:val="nil"/>
              <w:bottom w:val="single" w:sz="4" w:space="0" w:color="auto"/>
              <w:right w:val="single" w:sz="4" w:space="0" w:color="auto"/>
            </w:tcBorders>
            <w:shd w:val="clear" w:color="auto" w:fill="auto"/>
            <w:noWrap/>
            <w:vAlign w:val="bottom"/>
            <w:hideMark/>
          </w:tcPr>
          <w:p w14:paraId="118EDC51" w14:textId="77777777" w:rsidR="00F817EB" w:rsidRPr="00F817EB" w:rsidRDefault="00F817EB" w:rsidP="00F817EB">
            <w:pPr>
              <w:jc w:val="center"/>
              <w:rPr>
                <w:rFonts w:ascii="Cambria" w:hAnsi="Cambria" w:cs="Calibri"/>
                <w:b/>
                <w:bCs/>
                <w:color w:val="000000"/>
                <w:sz w:val="20"/>
                <w:lang w:eastAsia="lt-LT"/>
              </w:rPr>
            </w:pPr>
            <w:r w:rsidRPr="00F817EB">
              <w:rPr>
                <w:rFonts w:ascii="Cambria" w:hAnsi="Cambria" w:cs="Calibri"/>
                <w:b/>
                <w:bCs/>
                <w:color w:val="000000"/>
                <w:sz w:val="20"/>
                <w:lang w:eastAsia="lt-LT"/>
              </w:rPr>
              <w:t> </w:t>
            </w:r>
          </w:p>
        </w:tc>
      </w:tr>
      <w:tr w:rsidR="00F817EB" w:rsidRPr="00F817EB" w14:paraId="594006FA" w14:textId="77777777" w:rsidTr="00F817EB">
        <w:trPr>
          <w:trHeight w:val="220"/>
        </w:trPr>
        <w:tc>
          <w:tcPr>
            <w:tcW w:w="895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D4E67D" w14:textId="76D5409B" w:rsidR="00F817EB" w:rsidRPr="00F817EB" w:rsidRDefault="00F817EB" w:rsidP="00F817E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09" w:type="dxa"/>
            <w:tcBorders>
              <w:top w:val="nil"/>
              <w:left w:val="nil"/>
              <w:bottom w:val="single" w:sz="4" w:space="0" w:color="auto"/>
              <w:right w:val="single" w:sz="4" w:space="0" w:color="auto"/>
            </w:tcBorders>
            <w:shd w:val="clear" w:color="auto" w:fill="auto"/>
            <w:noWrap/>
            <w:vAlign w:val="bottom"/>
            <w:hideMark/>
          </w:tcPr>
          <w:p w14:paraId="6A9B0C9E" w14:textId="77777777" w:rsidR="00F817EB" w:rsidRPr="00F817EB" w:rsidRDefault="00F817EB" w:rsidP="00F817EB">
            <w:pPr>
              <w:jc w:val="center"/>
              <w:rPr>
                <w:rFonts w:ascii="Cambria" w:hAnsi="Cambria" w:cs="Calibri"/>
                <w:b/>
                <w:bCs/>
                <w:color w:val="000000"/>
                <w:sz w:val="20"/>
                <w:lang w:eastAsia="lt-LT"/>
              </w:rPr>
            </w:pPr>
            <w:r w:rsidRPr="00F817EB">
              <w:rPr>
                <w:rFonts w:ascii="Cambria" w:hAnsi="Cambria" w:cs="Calibri"/>
                <w:b/>
                <w:bCs/>
                <w:color w:val="000000"/>
                <w:sz w:val="20"/>
                <w:lang w:eastAsia="lt-LT"/>
              </w:rPr>
              <w:t> </w:t>
            </w:r>
          </w:p>
        </w:tc>
      </w:tr>
    </w:tbl>
    <w:p w14:paraId="671D97DD" w14:textId="77777777" w:rsidR="00F817EB" w:rsidRPr="00321EFD" w:rsidRDefault="00F817EB" w:rsidP="001B1B21">
      <w:pPr>
        <w:jc w:val="center"/>
        <w:rPr>
          <w:rFonts w:ascii="Cambria" w:hAnsi="Cambria"/>
          <w:sz w:val="20"/>
        </w:rPr>
      </w:pPr>
    </w:p>
    <w:p w14:paraId="7F96B57A" w14:textId="19DBD5AE" w:rsidR="001B1B21" w:rsidRPr="00321EFD" w:rsidRDefault="00F817EB" w:rsidP="001B1B21">
      <w:pPr>
        <w:jc w:val="center"/>
        <w:rPr>
          <w:rFonts w:ascii="Cambria" w:hAnsi="Cambria"/>
          <w:sz w:val="20"/>
        </w:rPr>
      </w:pPr>
      <w:r>
        <w:rPr>
          <w:rFonts w:ascii="Cambria" w:hAnsi="Cambria"/>
          <w:sz w:val="20"/>
        </w:rPr>
        <w:t>__________________________</w:t>
      </w:r>
    </w:p>
    <w:p w14:paraId="4E2E0EB1" w14:textId="77777777" w:rsidR="00B767F3" w:rsidRPr="004D4B7E" w:rsidRDefault="00B767F3">
      <w:pPr>
        <w:spacing w:line="259" w:lineRule="auto"/>
        <w:rPr>
          <w:rFonts w:ascii="Cambria" w:hAnsi="Cambria"/>
          <w:sz w:val="20"/>
        </w:rPr>
      </w:pPr>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3C3EC" w14:textId="77777777" w:rsidR="005B2AC6" w:rsidRDefault="005B2AC6">
      <w:r>
        <w:separator/>
      </w:r>
    </w:p>
  </w:endnote>
  <w:endnote w:type="continuationSeparator" w:id="0">
    <w:p w14:paraId="22423BC0" w14:textId="77777777" w:rsidR="005B2AC6" w:rsidRDefault="005B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C6E49" w14:textId="77777777" w:rsidR="005B2AC6" w:rsidRDefault="005B2AC6">
      <w:r>
        <w:separator/>
      </w:r>
    </w:p>
  </w:footnote>
  <w:footnote w:type="continuationSeparator" w:id="0">
    <w:p w14:paraId="471293FF" w14:textId="77777777" w:rsidR="005B2AC6" w:rsidRDefault="005B2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7788A"/>
    <w:rsid w:val="00195A1F"/>
    <w:rsid w:val="001B1B21"/>
    <w:rsid w:val="001B2EB7"/>
    <w:rsid w:val="00201517"/>
    <w:rsid w:val="00202E5E"/>
    <w:rsid w:val="002F0B5F"/>
    <w:rsid w:val="003470BD"/>
    <w:rsid w:val="003B2818"/>
    <w:rsid w:val="003E5D1D"/>
    <w:rsid w:val="004D4B7E"/>
    <w:rsid w:val="005828DD"/>
    <w:rsid w:val="00587E3C"/>
    <w:rsid w:val="005B2AC6"/>
    <w:rsid w:val="00617C60"/>
    <w:rsid w:val="00761236"/>
    <w:rsid w:val="007919E1"/>
    <w:rsid w:val="007E7705"/>
    <w:rsid w:val="00966341"/>
    <w:rsid w:val="00B767F3"/>
    <w:rsid w:val="00DD7479"/>
    <w:rsid w:val="00EF3B62"/>
    <w:rsid w:val="00F02B08"/>
    <w:rsid w:val="00F817EB"/>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5304">
      <w:bodyDiv w:val="1"/>
      <w:marLeft w:val="0"/>
      <w:marRight w:val="0"/>
      <w:marTop w:val="0"/>
      <w:marBottom w:val="0"/>
      <w:divBdr>
        <w:top w:val="none" w:sz="0" w:space="0" w:color="auto"/>
        <w:left w:val="none" w:sz="0" w:space="0" w:color="auto"/>
        <w:bottom w:val="none" w:sz="0" w:space="0" w:color="auto"/>
        <w:right w:val="none" w:sz="0" w:space="0" w:color="auto"/>
      </w:divBdr>
    </w:div>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10201</Words>
  <Characters>5815</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