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84610BC" w14:textId="5ABD1295" w:rsidR="00C236FE" w:rsidRPr="00C236FE" w:rsidRDefault="00C236FE" w:rsidP="00C236FE">
          <w:pPr>
            <w:spacing w:after="120" w:line="20" w:lineRule="atLeast"/>
            <w:contextualSpacing/>
            <w:jc w:val="center"/>
            <w:rPr>
              <w:rFonts w:cs="Calibri"/>
              <w:b/>
              <w:bCs/>
              <w:color w:val="00B050"/>
              <w:sz w:val="24"/>
              <w:szCs w:val="24"/>
            </w:rPr>
          </w:pPr>
        </w:p>
        <w:p w14:paraId="62FCF2AF" w14:textId="77777777" w:rsidR="00C236FE" w:rsidRPr="00C236FE" w:rsidRDefault="00C236FE" w:rsidP="00C236FE">
          <w:pPr>
            <w:spacing w:after="120" w:line="240" w:lineRule="auto"/>
            <w:ind w:left="567"/>
            <w:contextualSpacing/>
            <w:jc w:val="center"/>
            <w:rPr>
              <w:rFonts w:cs="Calibri"/>
              <w:b/>
              <w:bCs/>
              <w:sz w:val="24"/>
              <w:szCs w:val="24"/>
            </w:rPr>
          </w:pPr>
          <w:r w:rsidRPr="00C236FE">
            <w:rPr>
              <w:rFonts w:cs="Calibri"/>
              <w:b/>
              <w:bCs/>
              <w:sz w:val="24"/>
              <w:szCs w:val="24"/>
            </w:rPr>
            <w:t xml:space="preserve">UŽIMTUMO TARNYBA PRIE LIETUVOS RESPUBLIKOS SOCIALINĖS APSAUGOS IR DARBO MINISTERIJOS </w:t>
          </w:r>
        </w:p>
        <w:p w14:paraId="1CF6FD1E" w14:textId="77777777" w:rsidR="00C236FE" w:rsidRPr="00C236FE" w:rsidRDefault="00C236FE" w:rsidP="00C236FE">
          <w:pPr>
            <w:spacing w:after="120" w:line="240" w:lineRule="auto"/>
            <w:ind w:left="567"/>
            <w:contextualSpacing/>
            <w:jc w:val="center"/>
            <w:rPr>
              <w:rFonts w:cs="Calibri"/>
              <w:b/>
              <w:bCs/>
            </w:rPr>
          </w:pPr>
        </w:p>
        <w:p w14:paraId="4A591DB2" w14:textId="77777777" w:rsidR="00C236FE" w:rsidRPr="00C236FE" w:rsidRDefault="00C236FE" w:rsidP="00C236FE">
          <w:pPr>
            <w:spacing w:after="120" w:line="240" w:lineRule="auto"/>
            <w:ind w:left="567"/>
            <w:contextualSpacing/>
            <w:jc w:val="center"/>
            <w:rPr>
              <w:rFonts w:cs="Calibri"/>
            </w:rPr>
          </w:pPr>
          <w:r w:rsidRPr="00C236FE">
            <w:rPr>
              <w:rFonts w:cs="Calibri"/>
            </w:rPr>
            <w:t>Biudžetinė įstaiga, A. Vivulskio g. 13,  LT-03162 Vilnius, tel. (8 700) 79244,</w:t>
          </w:r>
        </w:p>
        <w:p w14:paraId="57D51F89" w14:textId="77777777" w:rsidR="00C236FE" w:rsidRPr="00C236FE" w:rsidRDefault="00C236FE" w:rsidP="00C236FE">
          <w:pPr>
            <w:spacing w:after="120" w:line="240" w:lineRule="auto"/>
            <w:ind w:left="567"/>
            <w:contextualSpacing/>
            <w:jc w:val="center"/>
            <w:rPr>
              <w:rFonts w:cs="Calibri"/>
            </w:rPr>
          </w:pPr>
          <w:r w:rsidRPr="00C236FE">
            <w:rPr>
              <w:rFonts w:cs="Calibri"/>
            </w:rPr>
            <w:t xml:space="preserve"> el. paštas </w:t>
          </w:r>
          <w:proofErr w:type="spellStart"/>
          <w:r w:rsidRPr="00C236FE">
            <w:rPr>
              <w:rFonts w:cs="Calibri"/>
            </w:rPr>
            <w:t>info@uzt.lt</w:t>
          </w:r>
          <w:proofErr w:type="spellEnd"/>
          <w:r w:rsidRPr="00C236FE">
            <w:rPr>
              <w:rFonts w:cs="Calibri"/>
            </w:rPr>
            <w:t>, įstaigos kodas 190766619</w:t>
          </w:r>
        </w:p>
        <w:p w14:paraId="2627BDDC" w14:textId="77777777" w:rsidR="00C236FE" w:rsidRPr="00C236FE" w:rsidRDefault="00C236FE" w:rsidP="00C236FE">
          <w:pPr>
            <w:spacing w:after="120" w:line="240" w:lineRule="auto"/>
            <w:ind w:left="567"/>
            <w:contextualSpacing/>
            <w:jc w:val="center"/>
            <w:rPr>
              <w:rFonts w:cs="Calibri"/>
            </w:rPr>
          </w:pPr>
        </w:p>
        <w:p w14:paraId="5DAB7AC2" w14:textId="77777777" w:rsidR="00C236FE" w:rsidRPr="00C236FE" w:rsidRDefault="00C236FE" w:rsidP="00C236FE">
          <w:pPr>
            <w:tabs>
              <w:tab w:val="left" w:pos="870"/>
            </w:tabs>
            <w:spacing w:after="120" w:line="20" w:lineRule="atLeast"/>
            <w:contextualSpacing/>
            <w:rPr>
              <w:rFonts w:cs="Calibri"/>
              <w:color w:val="00B050"/>
            </w:rPr>
          </w:pPr>
          <w:r w:rsidRPr="00C236FE">
            <w:rPr>
              <w:rFonts w:cs="Calibri"/>
              <w:color w:val="00B050"/>
            </w:rPr>
            <w:tab/>
          </w:r>
        </w:p>
        <w:p w14:paraId="16915C84" w14:textId="77777777" w:rsidR="00C236FE" w:rsidRDefault="00C236FE" w:rsidP="00C236FE">
          <w:pPr>
            <w:spacing w:after="120" w:line="20" w:lineRule="atLeast"/>
            <w:contextualSpacing/>
            <w:jc w:val="center"/>
            <w:rPr>
              <w:rFonts w:cs="Calibri"/>
            </w:rPr>
          </w:pPr>
        </w:p>
        <w:p w14:paraId="53E779F4" w14:textId="77777777" w:rsidR="00C236FE" w:rsidRPr="00C236FE" w:rsidRDefault="00C236FE" w:rsidP="00C236FE">
          <w:pPr>
            <w:spacing w:after="120" w:line="20" w:lineRule="atLeast"/>
            <w:contextualSpacing/>
            <w:jc w:val="center"/>
            <w:rPr>
              <w:rFonts w:cs="Calibri"/>
            </w:rPr>
          </w:pPr>
        </w:p>
        <w:p w14:paraId="6196E6FA" w14:textId="77777777" w:rsidR="00C236FE" w:rsidRPr="00C236FE" w:rsidRDefault="00C236FE" w:rsidP="00C236FE">
          <w:pPr>
            <w:spacing w:after="120" w:line="20" w:lineRule="atLeast"/>
            <w:ind w:left="5245"/>
            <w:contextualSpacing/>
            <w:rPr>
              <w:rFonts w:cs="Calibri"/>
            </w:rPr>
          </w:pPr>
          <w:r w:rsidRPr="00C236FE">
            <w:rPr>
              <w:rFonts w:cs="Calibri"/>
            </w:rPr>
            <w:t xml:space="preserve">PATVIRTINTA </w:t>
          </w:r>
        </w:p>
        <w:p w14:paraId="7527F968" w14:textId="61E1CB1F" w:rsidR="00C236FE" w:rsidRPr="0039591E" w:rsidRDefault="00C236FE" w:rsidP="00C236FE">
          <w:pPr>
            <w:spacing w:after="120" w:line="20" w:lineRule="atLeast"/>
            <w:ind w:left="5245"/>
            <w:contextualSpacing/>
            <w:rPr>
              <w:rFonts w:cs="Calibri"/>
            </w:rPr>
          </w:pPr>
          <w:r w:rsidRPr="0039591E">
            <w:rPr>
              <w:rFonts w:cs="Calibri"/>
            </w:rPr>
            <w:t xml:space="preserve">Perkančiosios organizacijos Viešųjų pirkimų komisijos </w:t>
          </w:r>
          <w:r w:rsidR="00A47B78" w:rsidRPr="0039591E">
            <w:rPr>
              <w:rFonts w:cs="Calibri"/>
            </w:rPr>
            <w:t>2025-05-23</w:t>
          </w:r>
          <w:r w:rsidRPr="0039591E">
            <w:rPr>
              <w:rFonts w:cs="Calibri"/>
            </w:rPr>
            <w:t xml:space="preserve"> protokolu Nr. </w:t>
          </w:r>
          <w:r w:rsidR="00A47B78" w:rsidRPr="0039591E">
            <w:rPr>
              <w:rFonts w:cs="Calibri"/>
            </w:rPr>
            <w:t>VP</w:t>
          </w:r>
          <w:r w:rsidR="005E28FE" w:rsidRPr="0039591E">
            <w:rPr>
              <w:rFonts w:cs="Calibri"/>
            </w:rPr>
            <w:t>4-1</w:t>
          </w:r>
        </w:p>
        <w:p w14:paraId="1997FCE6" w14:textId="77777777" w:rsidR="00C236FE" w:rsidRPr="00C236FE" w:rsidRDefault="00C236FE" w:rsidP="00C236FE">
          <w:pPr>
            <w:spacing w:after="120" w:line="20" w:lineRule="atLeast"/>
            <w:ind w:left="5245"/>
            <w:contextualSpacing/>
            <w:rPr>
              <w:rFonts w:cs="Calibri"/>
              <w:i/>
              <w:iCs/>
              <w:color w:val="0070C0"/>
            </w:rPr>
          </w:pPr>
        </w:p>
        <w:p w14:paraId="76CDCF9B" w14:textId="77777777" w:rsidR="00C236FE" w:rsidRDefault="00C236FE" w:rsidP="00C236FE">
          <w:pPr>
            <w:spacing w:after="120" w:line="20" w:lineRule="atLeast"/>
            <w:contextualSpacing/>
            <w:jc w:val="center"/>
            <w:rPr>
              <w:rFonts w:cs="Calibri"/>
            </w:rPr>
          </w:pPr>
        </w:p>
        <w:p w14:paraId="61349D13" w14:textId="77777777" w:rsidR="00C236FE" w:rsidRPr="00C236FE" w:rsidRDefault="00C236FE" w:rsidP="00C236FE">
          <w:pPr>
            <w:spacing w:after="120" w:line="20" w:lineRule="atLeast"/>
            <w:contextualSpacing/>
            <w:jc w:val="center"/>
            <w:rPr>
              <w:rFonts w:cs="Calibri"/>
            </w:rPr>
          </w:pPr>
        </w:p>
        <w:p w14:paraId="50A25529" w14:textId="77777777" w:rsidR="00C236FE" w:rsidRPr="00C236FE" w:rsidRDefault="00C236FE" w:rsidP="00C236FE">
          <w:pPr>
            <w:spacing w:after="120" w:line="20" w:lineRule="atLeast"/>
            <w:contextualSpacing/>
            <w:jc w:val="center"/>
            <w:rPr>
              <w:rFonts w:cs="Calibri"/>
            </w:rPr>
          </w:pPr>
        </w:p>
        <w:p w14:paraId="13B199B1" w14:textId="77777777" w:rsidR="00C236FE" w:rsidRDefault="00C236FE" w:rsidP="00C236FE">
          <w:pPr>
            <w:spacing w:after="120" w:line="20" w:lineRule="atLeast"/>
            <w:contextualSpacing/>
            <w:jc w:val="center"/>
            <w:rPr>
              <w:rFonts w:cs="Calibri"/>
              <w:b/>
              <w:bCs/>
              <w:sz w:val="24"/>
              <w:szCs w:val="24"/>
            </w:rPr>
          </w:pPr>
          <w:r w:rsidRPr="00C236FE">
            <w:rPr>
              <w:rFonts w:cs="Calibri"/>
              <w:b/>
              <w:bCs/>
              <w:sz w:val="24"/>
              <w:szCs w:val="24"/>
            </w:rPr>
            <w:t xml:space="preserve">TARPTAUTINIO VIEŠOJO PIRKIMO </w:t>
          </w:r>
        </w:p>
        <w:p w14:paraId="06DBF33E" w14:textId="33CB4265" w:rsidR="00C236FE" w:rsidRDefault="00C236FE" w:rsidP="00C236FE">
          <w:pPr>
            <w:spacing w:after="120" w:line="20" w:lineRule="atLeast"/>
            <w:contextualSpacing/>
            <w:jc w:val="center"/>
            <w:rPr>
              <w:rFonts w:cs="Calibri"/>
              <w:b/>
              <w:bCs/>
              <w:sz w:val="24"/>
              <w:szCs w:val="24"/>
            </w:rPr>
          </w:pPr>
          <w:r w:rsidRPr="00C236FE">
            <w:rPr>
              <w:rFonts w:cs="Calibri"/>
              <w:b/>
              <w:bCs/>
              <w:sz w:val="24"/>
              <w:szCs w:val="24"/>
            </w:rPr>
            <w:t>„UŽIMTUMO TARNYBOS INFORMACINĖS SISTEMOS UT IS</w:t>
          </w:r>
        </w:p>
        <w:p w14:paraId="7EA9D670" w14:textId="776F2855" w:rsidR="00C236FE" w:rsidRPr="00C236FE" w:rsidRDefault="00C236FE" w:rsidP="00C236FE">
          <w:pPr>
            <w:spacing w:after="120" w:line="20" w:lineRule="atLeast"/>
            <w:contextualSpacing/>
            <w:jc w:val="center"/>
            <w:rPr>
              <w:rFonts w:cs="Calibri"/>
              <w:b/>
              <w:bCs/>
              <w:sz w:val="24"/>
              <w:szCs w:val="24"/>
            </w:rPr>
          </w:pPr>
          <w:r w:rsidRPr="00C236FE">
            <w:rPr>
              <w:rFonts w:cs="Calibri"/>
              <w:b/>
              <w:bCs/>
              <w:sz w:val="24"/>
              <w:szCs w:val="24"/>
            </w:rPr>
            <w:t xml:space="preserve">PRIEŽIŪROS IR </w:t>
          </w:r>
          <w:r w:rsidR="006827AB">
            <w:rPr>
              <w:rFonts w:cs="Calibri"/>
              <w:b/>
              <w:bCs/>
              <w:sz w:val="24"/>
              <w:szCs w:val="24"/>
            </w:rPr>
            <w:t>VYSTYMO</w:t>
          </w:r>
          <w:r w:rsidRPr="00C236FE">
            <w:rPr>
              <w:rFonts w:cs="Calibri"/>
              <w:b/>
              <w:bCs/>
              <w:sz w:val="24"/>
              <w:szCs w:val="24"/>
            </w:rPr>
            <w:t xml:space="preserve"> PASLAUGOS“</w:t>
          </w:r>
        </w:p>
        <w:p w14:paraId="54949101" w14:textId="4E67B545" w:rsidR="00C236FE" w:rsidRPr="00C236FE" w:rsidRDefault="00C236FE" w:rsidP="00C236FE">
          <w:pPr>
            <w:spacing w:after="120" w:line="20" w:lineRule="atLeast"/>
            <w:contextualSpacing/>
            <w:jc w:val="center"/>
            <w:rPr>
              <w:rFonts w:cs="Calibri"/>
              <w:b/>
              <w:bCs/>
              <w:sz w:val="24"/>
              <w:szCs w:val="24"/>
            </w:rPr>
          </w:pPr>
          <w:r w:rsidRPr="00C236FE">
            <w:rPr>
              <w:rFonts w:cs="Calibri"/>
              <w:b/>
              <w:bCs/>
              <w:sz w:val="24"/>
              <w:szCs w:val="24"/>
            </w:rPr>
            <w:t>ATVIRO KONKURSO SPECIALIOSIOS SĄLYGOS</w:t>
          </w:r>
        </w:p>
        <w:p w14:paraId="628BB930" w14:textId="005578C5" w:rsidR="00C236FE" w:rsidRPr="00C236FE" w:rsidRDefault="00C236FE" w:rsidP="00C236FE">
          <w:pPr>
            <w:spacing w:after="120" w:line="20" w:lineRule="atLeast"/>
            <w:contextualSpacing/>
            <w:jc w:val="center"/>
            <w:rPr>
              <w:rFonts w:cs="Calibri"/>
              <w:b/>
              <w:bCs/>
              <w:color w:val="0070C0"/>
              <w:sz w:val="24"/>
              <w:szCs w:val="24"/>
            </w:rPr>
          </w:pPr>
          <w:r w:rsidRPr="00C236FE">
            <w:rPr>
              <w:rFonts w:cs="Calibri"/>
              <w:b/>
              <w:bCs/>
              <w:sz w:val="24"/>
              <w:szCs w:val="24"/>
            </w:rPr>
            <w:t xml:space="preserve">Versija NR. 1 </w:t>
          </w:r>
        </w:p>
        <w:p w14:paraId="254C60DF" w14:textId="77777777" w:rsidR="00C236FE" w:rsidRPr="00C236FE" w:rsidRDefault="00C236FE" w:rsidP="00C236FE">
          <w:pPr>
            <w:spacing w:after="120" w:line="20" w:lineRule="atLeast"/>
            <w:contextualSpacing/>
            <w:rPr>
              <w:rFonts w:cs="Calibri"/>
              <w:sz w:val="24"/>
              <w:szCs w:val="24"/>
            </w:rPr>
          </w:pPr>
        </w:p>
        <w:p w14:paraId="7E2D1D34" w14:textId="77777777" w:rsidR="00C236FE" w:rsidRPr="00C236FE" w:rsidRDefault="00C236FE" w:rsidP="00C236FE">
          <w:pPr>
            <w:spacing w:after="120" w:line="20" w:lineRule="atLeast"/>
            <w:contextualSpacing/>
            <w:rPr>
              <w:rFonts w:cs="Calibri"/>
            </w:rPr>
          </w:pPr>
          <w:r w:rsidRPr="00C236FE">
            <w:rPr>
              <w:rFonts w:cs="Calibri"/>
            </w:rPr>
            <w:br w:type="page"/>
          </w:r>
        </w:p>
        <w:p w14:paraId="23C65E0F" w14:textId="77777777" w:rsidR="00C236FE" w:rsidRPr="00C236FE" w:rsidRDefault="00C236FE" w:rsidP="00C236FE">
          <w:pPr>
            <w:keepNext/>
            <w:keepLines/>
            <w:pBdr>
              <w:bottom w:val="single" w:sz="4" w:space="2" w:color="ED7D31" w:themeColor="accent2"/>
            </w:pBdr>
            <w:spacing w:after="120" w:line="20" w:lineRule="atLeast"/>
            <w:ind w:left="432" w:hanging="432"/>
            <w:contextualSpacing/>
            <w:rPr>
              <w:rFonts w:cs="Calibri"/>
              <w:b/>
              <w:bCs/>
              <w:smallCaps/>
              <w:shd w:val="clear" w:color="auto" w:fill="E6E6E6"/>
            </w:rPr>
          </w:pPr>
        </w:p>
        <w:p w14:paraId="0C133D32" w14:textId="77777777" w:rsidR="00C236FE" w:rsidRPr="00C236FE" w:rsidRDefault="00C236FE" w:rsidP="00C236FE">
          <w:pPr>
            <w:keepNext/>
            <w:keepLines/>
            <w:pBdr>
              <w:bottom w:val="single" w:sz="4" w:space="2" w:color="ED7D31" w:themeColor="accent2"/>
            </w:pBdr>
            <w:spacing w:after="120" w:line="20" w:lineRule="atLeast"/>
            <w:ind w:left="432" w:hanging="432"/>
            <w:contextualSpacing/>
            <w:rPr>
              <w:rFonts w:eastAsiaTheme="majorEastAsia" w:cs="Calibri"/>
              <w:color w:val="262626" w:themeColor="text1" w:themeTint="D9"/>
            </w:rPr>
          </w:pPr>
          <w:r w:rsidRPr="00C236FE">
            <w:rPr>
              <w:rFonts w:eastAsiaTheme="majorEastAsia" w:cs="Calibri"/>
              <w:color w:val="262626" w:themeColor="text1" w:themeTint="D9"/>
            </w:rPr>
            <w:t>TURINYS</w:t>
          </w:r>
        </w:p>
        <w:p w14:paraId="591F4F2D" w14:textId="77777777" w:rsidR="00C236FE" w:rsidRPr="00C236FE" w:rsidRDefault="00C236FE" w:rsidP="00C236FE">
          <w:pPr>
            <w:tabs>
              <w:tab w:val="left" w:pos="142"/>
              <w:tab w:val="left" w:pos="720"/>
              <w:tab w:val="right" w:leader="dot" w:pos="9962"/>
            </w:tabs>
            <w:spacing w:after="0"/>
            <w:ind w:left="426" w:hanging="284"/>
            <w:rPr>
              <w:rFonts w:cs="Arial"/>
              <w:noProof/>
              <w:kern w:val="2"/>
              <w:sz w:val="24"/>
              <w:szCs w:val="24"/>
            </w:rPr>
          </w:pPr>
          <w:r w:rsidRPr="00C236FE">
            <w:rPr>
              <w:rFonts w:cs="Calibri"/>
            </w:rPr>
            <w:fldChar w:fldCharType="begin"/>
          </w:r>
          <w:r w:rsidRPr="00C236FE">
            <w:rPr>
              <w:rFonts w:cs="Calibri"/>
            </w:rPr>
            <w:instrText xml:space="preserve"> TOC \o "1-3" \h \z \u </w:instrText>
          </w:r>
          <w:r w:rsidRPr="00C236FE">
            <w:rPr>
              <w:rFonts w:cs="Calibri"/>
            </w:rPr>
            <w:fldChar w:fldCharType="separate"/>
          </w:r>
          <w:hyperlink w:anchor="_Toc193896496" w:history="1">
            <w:r w:rsidRPr="00C236FE">
              <w:rPr>
                <w:rFonts w:cs="Calibri"/>
                <w:noProof/>
              </w:rPr>
              <w:t>1.</w:t>
            </w:r>
            <w:r w:rsidRPr="00C236FE">
              <w:rPr>
                <w:rFonts w:cs="Arial"/>
                <w:noProof/>
                <w:kern w:val="2"/>
                <w:sz w:val="24"/>
                <w:szCs w:val="24"/>
              </w:rPr>
              <w:tab/>
            </w:r>
            <w:r w:rsidRPr="00C236FE">
              <w:rPr>
                <w:rFonts w:cs="Calibri"/>
                <w:noProof/>
              </w:rPr>
              <w:t>Bendra informacija</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_Toc193896496 \h </w:instrText>
            </w:r>
            <w:r w:rsidRPr="00C236FE">
              <w:rPr>
                <w:rFonts w:cs="Arial"/>
                <w:noProof/>
                <w:webHidden/>
              </w:rPr>
            </w:r>
            <w:r w:rsidRPr="00C236FE">
              <w:rPr>
                <w:rFonts w:cs="Arial"/>
                <w:noProof/>
                <w:webHidden/>
              </w:rPr>
              <w:fldChar w:fldCharType="separate"/>
            </w:r>
            <w:r w:rsidRPr="00C236FE">
              <w:rPr>
                <w:rFonts w:cs="Arial"/>
                <w:noProof/>
                <w:webHidden/>
              </w:rPr>
              <w:t>3</w:t>
            </w:r>
            <w:r w:rsidRPr="00C236FE">
              <w:rPr>
                <w:rFonts w:cs="Arial"/>
                <w:noProof/>
                <w:webHidden/>
              </w:rPr>
              <w:fldChar w:fldCharType="end"/>
            </w:r>
          </w:hyperlink>
        </w:p>
        <w:p w14:paraId="212D4B0A" w14:textId="77777777" w:rsidR="00C236FE" w:rsidRPr="00C236FE" w:rsidRDefault="00C236FE" w:rsidP="00C236FE">
          <w:pPr>
            <w:tabs>
              <w:tab w:val="left" w:pos="142"/>
              <w:tab w:val="right" w:leader="dot" w:pos="9962"/>
            </w:tabs>
            <w:spacing w:after="0"/>
            <w:ind w:left="426" w:hanging="284"/>
            <w:rPr>
              <w:rFonts w:cs="Arial"/>
              <w:noProof/>
              <w:kern w:val="2"/>
              <w:sz w:val="24"/>
              <w:szCs w:val="24"/>
            </w:rPr>
          </w:pPr>
          <w:hyperlink w:anchor="_Toc193896497" w:history="1">
            <w:r w:rsidRPr="00C236FE">
              <w:rPr>
                <w:rFonts w:cs="Calibri"/>
                <w:noProof/>
              </w:rPr>
              <w:t>2. Pirkimo objektas</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_Toc193896497 \h </w:instrText>
            </w:r>
            <w:r w:rsidRPr="00C236FE">
              <w:rPr>
                <w:rFonts w:cs="Arial"/>
                <w:noProof/>
                <w:webHidden/>
              </w:rPr>
            </w:r>
            <w:r w:rsidRPr="00C236FE">
              <w:rPr>
                <w:rFonts w:cs="Arial"/>
                <w:noProof/>
                <w:webHidden/>
              </w:rPr>
              <w:fldChar w:fldCharType="separate"/>
            </w:r>
            <w:r w:rsidRPr="00C236FE">
              <w:rPr>
                <w:rFonts w:cs="Arial"/>
                <w:noProof/>
                <w:webHidden/>
              </w:rPr>
              <w:t>3</w:t>
            </w:r>
            <w:r w:rsidRPr="00C236FE">
              <w:rPr>
                <w:rFonts w:cs="Arial"/>
                <w:noProof/>
                <w:webHidden/>
              </w:rPr>
              <w:fldChar w:fldCharType="end"/>
            </w:r>
          </w:hyperlink>
        </w:p>
        <w:p w14:paraId="61A4825E" w14:textId="77777777" w:rsidR="00C236FE" w:rsidRPr="00C236FE" w:rsidRDefault="00C236FE" w:rsidP="00C236FE">
          <w:pPr>
            <w:tabs>
              <w:tab w:val="left" w:pos="142"/>
              <w:tab w:val="right" w:leader="dot" w:pos="9962"/>
            </w:tabs>
            <w:spacing w:after="0"/>
            <w:ind w:left="426" w:hanging="284"/>
            <w:rPr>
              <w:rFonts w:cs="Arial"/>
              <w:noProof/>
              <w:kern w:val="2"/>
              <w:sz w:val="24"/>
              <w:szCs w:val="24"/>
            </w:rPr>
          </w:pPr>
          <w:hyperlink w:anchor="_Toc193896498" w:history="1">
            <w:r w:rsidRPr="00C236FE">
              <w:rPr>
                <w:rFonts w:cs="Calibri"/>
                <w:noProof/>
              </w:rPr>
              <w:t>3. Susitikimai su tiekėjais ir objekto apžiūra</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_Toc193896498 \h </w:instrText>
            </w:r>
            <w:r w:rsidRPr="00C236FE">
              <w:rPr>
                <w:rFonts w:cs="Arial"/>
                <w:noProof/>
                <w:webHidden/>
              </w:rPr>
            </w:r>
            <w:r w:rsidRPr="00C236FE">
              <w:rPr>
                <w:rFonts w:cs="Arial"/>
                <w:noProof/>
                <w:webHidden/>
              </w:rPr>
              <w:fldChar w:fldCharType="separate"/>
            </w:r>
            <w:r w:rsidRPr="00C236FE">
              <w:rPr>
                <w:rFonts w:cs="Arial"/>
                <w:noProof/>
                <w:webHidden/>
              </w:rPr>
              <w:t>4</w:t>
            </w:r>
            <w:r w:rsidRPr="00C236FE">
              <w:rPr>
                <w:rFonts w:cs="Arial"/>
                <w:noProof/>
                <w:webHidden/>
              </w:rPr>
              <w:fldChar w:fldCharType="end"/>
            </w:r>
          </w:hyperlink>
        </w:p>
        <w:p w14:paraId="7F2A31C7" w14:textId="77777777" w:rsidR="00C236FE" w:rsidRPr="00C236FE" w:rsidRDefault="00C236FE" w:rsidP="00C236FE">
          <w:pPr>
            <w:tabs>
              <w:tab w:val="left" w:pos="142"/>
              <w:tab w:val="right" w:leader="dot" w:pos="9962"/>
            </w:tabs>
            <w:spacing w:after="0"/>
            <w:ind w:left="426" w:hanging="284"/>
            <w:rPr>
              <w:rFonts w:cs="Arial"/>
              <w:noProof/>
              <w:kern w:val="2"/>
              <w:sz w:val="24"/>
              <w:szCs w:val="24"/>
            </w:rPr>
          </w:pPr>
          <w:hyperlink w:anchor="_Toc193896499" w:history="1">
            <w:r w:rsidRPr="00C236FE">
              <w:rPr>
                <w:rFonts w:cs="Calibri"/>
                <w:noProof/>
              </w:rPr>
              <w:t>4. Tiekėjų pašalinimo pagrindai ir kvalifikacijos reikalavimai</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_Toc193896499 \h </w:instrText>
            </w:r>
            <w:r w:rsidRPr="00C236FE">
              <w:rPr>
                <w:rFonts w:cs="Arial"/>
                <w:noProof/>
                <w:webHidden/>
              </w:rPr>
            </w:r>
            <w:r w:rsidRPr="00C236FE">
              <w:rPr>
                <w:rFonts w:cs="Arial"/>
                <w:noProof/>
                <w:webHidden/>
              </w:rPr>
              <w:fldChar w:fldCharType="separate"/>
            </w:r>
            <w:r w:rsidRPr="00C236FE">
              <w:rPr>
                <w:rFonts w:cs="Arial"/>
                <w:noProof/>
                <w:webHidden/>
              </w:rPr>
              <w:t>4</w:t>
            </w:r>
            <w:r w:rsidRPr="00C236FE">
              <w:rPr>
                <w:rFonts w:cs="Arial"/>
                <w:noProof/>
                <w:webHidden/>
              </w:rPr>
              <w:fldChar w:fldCharType="end"/>
            </w:r>
          </w:hyperlink>
        </w:p>
        <w:p w14:paraId="10C49323" w14:textId="77777777" w:rsidR="00C236FE" w:rsidRPr="00C236FE" w:rsidRDefault="00C236FE" w:rsidP="00C236FE">
          <w:pPr>
            <w:tabs>
              <w:tab w:val="left" w:pos="142"/>
              <w:tab w:val="right" w:leader="dot" w:pos="9962"/>
            </w:tabs>
            <w:spacing w:after="0"/>
            <w:ind w:left="426" w:hanging="284"/>
            <w:rPr>
              <w:rFonts w:cs="Arial"/>
              <w:noProof/>
              <w:kern w:val="2"/>
              <w:sz w:val="24"/>
              <w:szCs w:val="24"/>
            </w:rPr>
          </w:pPr>
          <w:hyperlink w:anchor="_Toc193896500" w:history="1">
            <w:r w:rsidRPr="00C236FE">
              <w:rPr>
                <w:rFonts w:cs="Calibri"/>
                <w:noProof/>
              </w:rPr>
              <w:t>5.Reikalavimai, susiję su nacionaliniu saugumu</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_Toc193896500 \h </w:instrText>
            </w:r>
            <w:r w:rsidRPr="00C236FE">
              <w:rPr>
                <w:rFonts w:cs="Arial"/>
                <w:noProof/>
                <w:webHidden/>
              </w:rPr>
            </w:r>
            <w:r w:rsidRPr="00C236FE">
              <w:rPr>
                <w:rFonts w:cs="Arial"/>
                <w:noProof/>
                <w:webHidden/>
              </w:rPr>
              <w:fldChar w:fldCharType="separate"/>
            </w:r>
            <w:r w:rsidRPr="00C236FE">
              <w:rPr>
                <w:rFonts w:cs="Arial"/>
                <w:noProof/>
                <w:webHidden/>
              </w:rPr>
              <w:t>4</w:t>
            </w:r>
            <w:r w:rsidRPr="00C236FE">
              <w:rPr>
                <w:rFonts w:cs="Arial"/>
                <w:noProof/>
                <w:webHidden/>
              </w:rPr>
              <w:fldChar w:fldCharType="end"/>
            </w:r>
          </w:hyperlink>
        </w:p>
        <w:p w14:paraId="604D524C" w14:textId="77777777" w:rsidR="00C236FE" w:rsidRPr="00C236FE" w:rsidRDefault="00C236FE" w:rsidP="00C236FE">
          <w:pPr>
            <w:tabs>
              <w:tab w:val="left" w:pos="142"/>
              <w:tab w:val="right" w:leader="dot" w:pos="9962"/>
            </w:tabs>
            <w:spacing w:after="0"/>
            <w:ind w:left="426" w:hanging="284"/>
            <w:rPr>
              <w:rFonts w:cs="Arial"/>
              <w:noProof/>
              <w:kern w:val="2"/>
              <w:sz w:val="24"/>
              <w:szCs w:val="24"/>
            </w:rPr>
          </w:pPr>
          <w:hyperlink w:anchor="_Toc193896501" w:history="1">
            <w:r w:rsidRPr="00C236FE">
              <w:rPr>
                <w:rFonts w:cs="Calibri"/>
                <w:noProof/>
              </w:rPr>
              <w:t>6. Specialieji reikalavimai pasiūlymų rengimui ir pateikimui</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_Toc193896501 \h </w:instrText>
            </w:r>
            <w:r w:rsidRPr="00C236FE">
              <w:rPr>
                <w:rFonts w:cs="Arial"/>
                <w:noProof/>
                <w:webHidden/>
              </w:rPr>
            </w:r>
            <w:r w:rsidRPr="00C236FE">
              <w:rPr>
                <w:rFonts w:cs="Arial"/>
                <w:noProof/>
                <w:webHidden/>
              </w:rPr>
              <w:fldChar w:fldCharType="separate"/>
            </w:r>
            <w:r w:rsidRPr="00C236FE">
              <w:rPr>
                <w:rFonts w:cs="Arial"/>
                <w:noProof/>
                <w:webHidden/>
              </w:rPr>
              <w:t>5</w:t>
            </w:r>
            <w:r w:rsidRPr="00C236FE">
              <w:rPr>
                <w:rFonts w:cs="Arial"/>
                <w:noProof/>
                <w:webHidden/>
              </w:rPr>
              <w:fldChar w:fldCharType="end"/>
            </w:r>
          </w:hyperlink>
        </w:p>
        <w:p w14:paraId="115B0A60" w14:textId="77777777" w:rsidR="00C236FE" w:rsidRPr="00C236FE" w:rsidRDefault="00C236FE" w:rsidP="00C236FE">
          <w:pPr>
            <w:tabs>
              <w:tab w:val="left" w:pos="142"/>
              <w:tab w:val="left" w:pos="720"/>
              <w:tab w:val="right" w:leader="dot" w:pos="9962"/>
            </w:tabs>
            <w:spacing w:after="0"/>
            <w:ind w:left="426" w:hanging="284"/>
            <w:rPr>
              <w:rFonts w:cs="Arial"/>
              <w:noProof/>
              <w:kern w:val="2"/>
              <w:sz w:val="24"/>
              <w:szCs w:val="24"/>
            </w:rPr>
          </w:pPr>
          <w:hyperlink w:anchor="_Toc193896502" w:history="1">
            <w:r w:rsidRPr="00C236FE">
              <w:rPr>
                <w:rFonts w:eastAsia="Times New Roman" w:cs="Calibri"/>
                <w:noProof/>
              </w:rPr>
              <w:t>7.</w:t>
            </w:r>
            <w:r w:rsidRPr="00C236FE">
              <w:rPr>
                <w:rFonts w:cs="Arial"/>
                <w:noProof/>
                <w:kern w:val="2"/>
                <w:sz w:val="24"/>
                <w:szCs w:val="24"/>
              </w:rPr>
              <w:tab/>
            </w:r>
            <w:r w:rsidRPr="00C236FE">
              <w:rPr>
                <w:rFonts w:cs="Calibri"/>
                <w:noProof/>
              </w:rPr>
              <w:t>Pasiūlymo galiojimo užtikrinimas</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_Toc193896502 \h </w:instrText>
            </w:r>
            <w:r w:rsidRPr="00C236FE">
              <w:rPr>
                <w:rFonts w:cs="Arial"/>
                <w:noProof/>
                <w:webHidden/>
              </w:rPr>
            </w:r>
            <w:r w:rsidRPr="00C236FE">
              <w:rPr>
                <w:rFonts w:cs="Arial"/>
                <w:noProof/>
                <w:webHidden/>
              </w:rPr>
              <w:fldChar w:fldCharType="separate"/>
            </w:r>
            <w:r w:rsidRPr="00C236FE">
              <w:rPr>
                <w:rFonts w:cs="Arial"/>
                <w:noProof/>
                <w:webHidden/>
              </w:rPr>
              <w:t>6</w:t>
            </w:r>
            <w:r w:rsidRPr="00C236FE">
              <w:rPr>
                <w:rFonts w:cs="Arial"/>
                <w:noProof/>
                <w:webHidden/>
              </w:rPr>
              <w:fldChar w:fldCharType="end"/>
            </w:r>
          </w:hyperlink>
        </w:p>
        <w:p w14:paraId="6CA9B367" w14:textId="77777777" w:rsidR="00C236FE" w:rsidRPr="00C236FE" w:rsidRDefault="00C236FE" w:rsidP="00C236FE">
          <w:pPr>
            <w:tabs>
              <w:tab w:val="left" w:pos="142"/>
              <w:tab w:val="left" w:pos="720"/>
              <w:tab w:val="right" w:leader="dot" w:pos="9962"/>
            </w:tabs>
            <w:spacing w:after="0"/>
            <w:ind w:left="426" w:hanging="284"/>
            <w:rPr>
              <w:rFonts w:cs="Arial"/>
              <w:noProof/>
              <w:kern w:val="2"/>
              <w:sz w:val="24"/>
              <w:szCs w:val="24"/>
            </w:rPr>
          </w:pPr>
          <w:hyperlink w:anchor="_Toc193896503" w:history="1">
            <w:r w:rsidRPr="00C236FE">
              <w:rPr>
                <w:rFonts w:eastAsia="Times New Roman" w:cs="Calibri"/>
                <w:noProof/>
              </w:rPr>
              <w:t>8.</w:t>
            </w:r>
            <w:r w:rsidRPr="00C236FE">
              <w:rPr>
                <w:rFonts w:cs="Arial"/>
                <w:noProof/>
                <w:kern w:val="2"/>
                <w:sz w:val="24"/>
                <w:szCs w:val="24"/>
              </w:rPr>
              <w:tab/>
            </w:r>
            <w:r w:rsidRPr="00C236FE">
              <w:rPr>
                <w:rFonts w:cs="Calibri"/>
                <w:noProof/>
              </w:rPr>
              <w:t>Elektroninis aukcionas</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_Toc193896503 \h </w:instrText>
            </w:r>
            <w:r w:rsidRPr="00C236FE">
              <w:rPr>
                <w:rFonts w:cs="Arial"/>
                <w:noProof/>
                <w:webHidden/>
              </w:rPr>
            </w:r>
            <w:r w:rsidRPr="00C236FE">
              <w:rPr>
                <w:rFonts w:cs="Arial"/>
                <w:noProof/>
                <w:webHidden/>
              </w:rPr>
              <w:fldChar w:fldCharType="separate"/>
            </w:r>
            <w:r w:rsidRPr="00C236FE">
              <w:rPr>
                <w:rFonts w:cs="Arial"/>
                <w:noProof/>
                <w:webHidden/>
              </w:rPr>
              <w:t>6</w:t>
            </w:r>
            <w:r w:rsidRPr="00C236FE">
              <w:rPr>
                <w:rFonts w:cs="Arial"/>
                <w:noProof/>
                <w:webHidden/>
              </w:rPr>
              <w:fldChar w:fldCharType="end"/>
            </w:r>
          </w:hyperlink>
        </w:p>
        <w:p w14:paraId="45546EE7" w14:textId="77777777" w:rsidR="00C236FE" w:rsidRDefault="00C236FE" w:rsidP="00C236FE">
          <w:pPr>
            <w:tabs>
              <w:tab w:val="left" w:pos="142"/>
              <w:tab w:val="left" w:pos="720"/>
              <w:tab w:val="right" w:leader="dot" w:pos="9962"/>
            </w:tabs>
            <w:spacing w:after="0"/>
            <w:ind w:left="426" w:hanging="284"/>
          </w:pPr>
          <w:hyperlink w:anchor="_Toc193896504" w:history="1">
            <w:r w:rsidRPr="00C236FE">
              <w:rPr>
                <w:rFonts w:eastAsia="Times New Roman" w:cs="Calibri"/>
                <w:noProof/>
              </w:rPr>
              <w:t>9.</w:t>
            </w:r>
            <w:r w:rsidRPr="00C236FE">
              <w:rPr>
                <w:rFonts w:cs="Arial"/>
                <w:noProof/>
                <w:kern w:val="2"/>
                <w:sz w:val="24"/>
                <w:szCs w:val="24"/>
              </w:rPr>
              <w:tab/>
            </w:r>
            <w:r w:rsidRPr="00C236FE">
              <w:rPr>
                <w:rFonts w:cs="Calibri"/>
                <w:noProof/>
              </w:rPr>
              <w:t>Pasiūlymų vertinimas</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_Toc193896504 \h </w:instrText>
            </w:r>
            <w:r w:rsidRPr="00C236FE">
              <w:rPr>
                <w:rFonts w:cs="Arial"/>
                <w:noProof/>
                <w:webHidden/>
              </w:rPr>
            </w:r>
            <w:r w:rsidRPr="00C236FE">
              <w:rPr>
                <w:rFonts w:cs="Arial"/>
                <w:noProof/>
                <w:webHidden/>
              </w:rPr>
              <w:fldChar w:fldCharType="separate"/>
            </w:r>
            <w:r w:rsidRPr="00C236FE">
              <w:rPr>
                <w:rFonts w:cs="Arial"/>
                <w:noProof/>
                <w:webHidden/>
              </w:rPr>
              <w:t>6</w:t>
            </w:r>
            <w:r w:rsidRPr="00C236FE">
              <w:rPr>
                <w:rFonts w:cs="Arial"/>
                <w:noProof/>
                <w:webHidden/>
              </w:rPr>
              <w:fldChar w:fldCharType="end"/>
            </w:r>
          </w:hyperlink>
        </w:p>
        <w:p w14:paraId="2E277415" w14:textId="55A4D962" w:rsidR="00A950B1" w:rsidRDefault="00A950B1" w:rsidP="00A950B1">
          <w:pPr>
            <w:tabs>
              <w:tab w:val="left" w:pos="142"/>
              <w:tab w:val="left" w:pos="720"/>
              <w:tab w:val="right" w:leader="dot" w:pos="9962"/>
            </w:tabs>
            <w:spacing w:after="0"/>
            <w:ind w:left="426" w:hanging="284"/>
          </w:pPr>
          <w:hyperlink w:anchor="_Toc193896504" w:history="1">
            <w:r>
              <w:rPr>
                <w:rFonts w:eastAsia="Times New Roman" w:cs="Calibri"/>
                <w:noProof/>
              </w:rPr>
              <w:t>10</w:t>
            </w:r>
            <w:r w:rsidRPr="00C236FE">
              <w:rPr>
                <w:rFonts w:eastAsia="Times New Roman" w:cs="Calibri"/>
                <w:noProof/>
              </w:rPr>
              <w:t>.</w:t>
            </w:r>
            <w:r>
              <w:rPr>
                <w:rFonts w:cs="Arial"/>
                <w:noProof/>
                <w:kern w:val="2"/>
                <w:sz w:val="24"/>
                <w:szCs w:val="24"/>
              </w:rPr>
              <w:tab/>
            </w:r>
            <w:r>
              <w:rPr>
                <w:rFonts w:cs="Calibri"/>
                <w:noProof/>
              </w:rPr>
              <w:t>Sutarties sudarymas</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_Toc193896504 \h </w:instrText>
            </w:r>
            <w:r w:rsidRPr="00C236FE">
              <w:rPr>
                <w:rFonts w:cs="Arial"/>
                <w:noProof/>
                <w:webHidden/>
              </w:rPr>
            </w:r>
            <w:r w:rsidRPr="00C236FE">
              <w:rPr>
                <w:rFonts w:cs="Arial"/>
                <w:noProof/>
                <w:webHidden/>
              </w:rPr>
              <w:fldChar w:fldCharType="separate"/>
            </w:r>
            <w:r w:rsidRPr="00C236FE">
              <w:rPr>
                <w:rFonts w:cs="Arial"/>
                <w:noProof/>
                <w:webHidden/>
              </w:rPr>
              <w:t>6</w:t>
            </w:r>
            <w:r w:rsidRPr="00C236FE">
              <w:rPr>
                <w:rFonts w:cs="Arial"/>
                <w:noProof/>
                <w:webHidden/>
              </w:rPr>
              <w:fldChar w:fldCharType="end"/>
            </w:r>
          </w:hyperlink>
        </w:p>
        <w:p w14:paraId="532F70C1" w14:textId="5CF46368" w:rsidR="00C236FE" w:rsidRPr="00C236FE" w:rsidRDefault="00C75ABC" w:rsidP="00C236FE">
          <w:pPr>
            <w:tabs>
              <w:tab w:val="left" w:pos="142"/>
              <w:tab w:val="right" w:leader="dot" w:pos="9962"/>
            </w:tabs>
            <w:spacing w:after="0"/>
            <w:ind w:left="426" w:hanging="284"/>
            <w:rPr>
              <w:rFonts w:cs="Arial"/>
              <w:noProof/>
              <w:kern w:val="2"/>
              <w:sz w:val="24"/>
              <w:szCs w:val="24"/>
            </w:rPr>
          </w:pPr>
          <w:r>
            <w:t xml:space="preserve">  </w:t>
          </w:r>
          <w:hyperlink w:anchor="_Toc193896505" w:history="1">
            <w:r w:rsidR="00C236FE" w:rsidRPr="00C236FE">
              <w:rPr>
                <w:rFonts w:cs="Calibri"/>
                <w:noProof/>
              </w:rPr>
              <w:t>Pirkimo sąlygų 1 priedas „Terminai“</w:t>
            </w:r>
            <w:r w:rsidR="00C236FE" w:rsidRPr="00C236FE">
              <w:rPr>
                <w:rFonts w:cs="Arial"/>
                <w:noProof/>
                <w:webHidden/>
              </w:rPr>
              <w:tab/>
            </w:r>
            <w:r w:rsidR="00C236FE" w:rsidRPr="00C236FE">
              <w:rPr>
                <w:rFonts w:cs="Arial"/>
                <w:noProof/>
                <w:webHidden/>
              </w:rPr>
              <w:fldChar w:fldCharType="begin"/>
            </w:r>
            <w:r w:rsidR="00C236FE" w:rsidRPr="00C236FE">
              <w:rPr>
                <w:rFonts w:cs="Arial"/>
                <w:noProof/>
                <w:webHidden/>
              </w:rPr>
              <w:instrText xml:space="preserve"> PAGEREF _Toc193896505 \h </w:instrText>
            </w:r>
            <w:r w:rsidR="00C236FE" w:rsidRPr="00C236FE">
              <w:rPr>
                <w:rFonts w:cs="Arial"/>
                <w:noProof/>
                <w:webHidden/>
              </w:rPr>
            </w:r>
            <w:r w:rsidR="00C236FE" w:rsidRPr="00C236FE">
              <w:rPr>
                <w:rFonts w:cs="Arial"/>
                <w:noProof/>
                <w:webHidden/>
              </w:rPr>
              <w:fldChar w:fldCharType="separate"/>
            </w:r>
            <w:r w:rsidR="00C236FE" w:rsidRPr="00C236FE">
              <w:rPr>
                <w:rFonts w:cs="Arial"/>
                <w:noProof/>
                <w:webHidden/>
              </w:rPr>
              <w:t>7</w:t>
            </w:r>
            <w:r w:rsidR="00C236FE" w:rsidRPr="00C236FE">
              <w:rPr>
                <w:rFonts w:cs="Arial"/>
                <w:noProof/>
                <w:webHidden/>
              </w:rPr>
              <w:fldChar w:fldCharType="end"/>
            </w:r>
          </w:hyperlink>
        </w:p>
        <w:p w14:paraId="5E0577F9" w14:textId="77777777" w:rsidR="00C236FE" w:rsidRPr="00C236FE" w:rsidRDefault="00C236FE" w:rsidP="00C236FE">
          <w:pPr>
            <w:tabs>
              <w:tab w:val="right" w:leader="dot" w:pos="9962"/>
            </w:tabs>
            <w:spacing w:after="0"/>
            <w:ind w:left="220"/>
            <w:rPr>
              <w:rFonts w:cs="Arial"/>
              <w:noProof/>
              <w:kern w:val="2"/>
              <w:sz w:val="24"/>
              <w:szCs w:val="24"/>
            </w:rPr>
          </w:pPr>
          <w:hyperlink w:anchor="_Toc193896506" w:history="1">
            <w:r w:rsidRPr="00C236FE">
              <w:rPr>
                <w:rFonts w:eastAsia="Times New Roman" w:cs="Calibri"/>
                <w:noProof/>
              </w:rPr>
              <w:t>Pirkimo sąlygų 2 priedas „Techninė specifikacija“</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_Toc193896506 \h </w:instrText>
            </w:r>
            <w:r w:rsidRPr="00C236FE">
              <w:rPr>
                <w:rFonts w:cs="Arial"/>
                <w:noProof/>
                <w:webHidden/>
              </w:rPr>
            </w:r>
            <w:r w:rsidRPr="00C236FE">
              <w:rPr>
                <w:rFonts w:cs="Arial"/>
                <w:noProof/>
                <w:webHidden/>
              </w:rPr>
              <w:fldChar w:fldCharType="separate"/>
            </w:r>
            <w:r w:rsidRPr="00C236FE">
              <w:rPr>
                <w:rFonts w:cs="Arial"/>
                <w:noProof/>
                <w:webHidden/>
              </w:rPr>
              <w:t>10</w:t>
            </w:r>
            <w:r w:rsidRPr="00C236FE">
              <w:rPr>
                <w:rFonts w:cs="Arial"/>
                <w:noProof/>
                <w:webHidden/>
              </w:rPr>
              <w:fldChar w:fldCharType="end"/>
            </w:r>
          </w:hyperlink>
        </w:p>
        <w:p w14:paraId="12D87FD3" w14:textId="77777777" w:rsidR="00C236FE" w:rsidRPr="00C236FE" w:rsidRDefault="00C236FE" w:rsidP="00C236FE">
          <w:pPr>
            <w:tabs>
              <w:tab w:val="right" w:leader="dot" w:pos="9962"/>
            </w:tabs>
            <w:spacing w:after="0"/>
            <w:ind w:left="220"/>
            <w:rPr>
              <w:rFonts w:cs="Arial"/>
              <w:noProof/>
              <w:kern w:val="2"/>
              <w:sz w:val="24"/>
              <w:szCs w:val="24"/>
            </w:rPr>
          </w:pPr>
          <w:hyperlink w:anchor="_Toc193896507" w:history="1">
            <w:r w:rsidRPr="00C236FE">
              <w:rPr>
                <w:rFonts w:eastAsia="Times New Roman" w:cs="Calibri"/>
                <w:noProof/>
              </w:rPr>
              <w:t>Pirkimo sąlygų 3 priedas „Tiekėjų pašalinimo pagrindai“</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_Toc193896507 \h </w:instrText>
            </w:r>
            <w:r w:rsidRPr="00C236FE">
              <w:rPr>
                <w:rFonts w:cs="Arial"/>
                <w:noProof/>
                <w:webHidden/>
              </w:rPr>
            </w:r>
            <w:r w:rsidRPr="00C236FE">
              <w:rPr>
                <w:rFonts w:cs="Arial"/>
                <w:noProof/>
                <w:webHidden/>
              </w:rPr>
              <w:fldChar w:fldCharType="separate"/>
            </w:r>
            <w:r w:rsidRPr="00C236FE">
              <w:rPr>
                <w:rFonts w:cs="Arial"/>
                <w:noProof/>
                <w:webHidden/>
              </w:rPr>
              <w:t>10</w:t>
            </w:r>
            <w:r w:rsidRPr="00C236FE">
              <w:rPr>
                <w:rFonts w:cs="Arial"/>
                <w:noProof/>
                <w:webHidden/>
              </w:rPr>
              <w:fldChar w:fldCharType="end"/>
            </w:r>
          </w:hyperlink>
        </w:p>
        <w:p w14:paraId="16AC7881" w14:textId="77777777" w:rsidR="00C236FE" w:rsidRPr="00C236FE" w:rsidRDefault="00C236FE" w:rsidP="00C236FE">
          <w:pPr>
            <w:tabs>
              <w:tab w:val="right" w:leader="dot" w:pos="9962"/>
            </w:tabs>
            <w:spacing w:after="0"/>
            <w:ind w:left="220"/>
            <w:rPr>
              <w:rFonts w:cs="Arial"/>
              <w:noProof/>
              <w:kern w:val="2"/>
              <w:sz w:val="24"/>
              <w:szCs w:val="24"/>
            </w:rPr>
          </w:pPr>
          <w:hyperlink w:anchor="_Toc193896508" w:history="1">
            <w:r w:rsidRPr="00C236FE">
              <w:rPr>
                <w:rFonts w:eastAsia="Times New Roman" w:cs="Calibri"/>
                <w:noProof/>
              </w:rPr>
              <w:t>Pirkimo sąlygų 4 priedas „Tiekėjų kvalifikacijos reikalavimai ir reikalaujami kokybės bei aplinkos apsaugos vadybos sistemų standartai“</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_Toc193896508 \h </w:instrText>
            </w:r>
            <w:r w:rsidRPr="00C236FE">
              <w:rPr>
                <w:rFonts w:cs="Arial"/>
                <w:noProof/>
                <w:webHidden/>
              </w:rPr>
            </w:r>
            <w:r w:rsidRPr="00C236FE">
              <w:rPr>
                <w:rFonts w:cs="Arial"/>
                <w:noProof/>
                <w:webHidden/>
              </w:rPr>
              <w:fldChar w:fldCharType="separate"/>
            </w:r>
            <w:r w:rsidRPr="00C236FE">
              <w:rPr>
                <w:rFonts w:cs="Arial"/>
                <w:noProof/>
                <w:webHidden/>
              </w:rPr>
              <w:t>10</w:t>
            </w:r>
            <w:r w:rsidRPr="00C236FE">
              <w:rPr>
                <w:rFonts w:cs="Arial"/>
                <w:noProof/>
                <w:webHidden/>
              </w:rPr>
              <w:fldChar w:fldCharType="end"/>
            </w:r>
          </w:hyperlink>
        </w:p>
        <w:p w14:paraId="71979ED6" w14:textId="77777777" w:rsidR="00C236FE" w:rsidRPr="00C236FE" w:rsidRDefault="00C236FE" w:rsidP="00C236FE">
          <w:pPr>
            <w:tabs>
              <w:tab w:val="right" w:leader="dot" w:pos="9962"/>
            </w:tabs>
            <w:spacing w:after="0"/>
            <w:ind w:left="220"/>
            <w:rPr>
              <w:rFonts w:cs="Arial"/>
              <w:noProof/>
              <w:kern w:val="2"/>
              <w:sz w:val="24"/>
              <w:szCs w:val="24"/>
            </w:rPr>
          </w:pPr>
          <w:hyperlink w:anchor="_Toc193896509" w:history="1">
            <w:r w:rsidRPr="00C236FE">
              <w:rPr>
                <w:rFonts w:eastAsia="Times New Roman" w:cs="Calibri"/>
                <w:noProof/>
              </w:rPr>
              <w:t xml:space="preserve">Pirkimo sąlygų 5 priedas „EBVPD“ </w:t>
            </w:r>
            <w:r w:rsidRPr="00C236FE">
              <w:rPr>
                <w:rFonts w:cs="Calibri"/>
                <w:noProof/>
              </w:rPr>
              <w:t>(XML formatu)</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_Toc193896509 \h </w:instrText>
            </w:r>
            <w:r w:rsidRPr="00C236FE">
              <w:rPr>
                <w:rFonts w:cs="Arial"/>
                <w:noProof/>
                <w:webHidden/>
              </w:rPr>
            </w:r>
            <w:r w:rsidRPr="00C236FE">
              <w:rPr>
                <w:rFonts w:cs="Arial"/>
                <w:noProof/>
                <w:webHidden/>
              </w:rPr>
              <w:fldChar w:fldCharType="separate"/>
            </w:r>
            <w:r w:rsidRPr="00C236FE">
              <w:rPr>
                <w:rFonts w:cs="Arial"/>
                <w:noProof/>
                <w:webHidden/>
              </w:rPr>
              <w:t>10</w:t>
            </w:r>
            <w:r w:rsidRPr="00C236FE">
              <w:rPr>
                <w:rFonts w:cs="Arial"/>
                <w:noProof/>
                <w:webHidden/>
              </w:rPr>
              <w:fldChar w:fldCharType="end"/>
            </w:r>
          </w:hyperlink>
        </w:p>
        <w:p w14:paraId="60B57DDD" w14:textId="77777777" w:rsidR="00C236FE" w:rsidRPr="00C236FE" w:rsidRDefault="00C236FE" w:rsidP="00C236FE">
          <w:pPr>
            <w:tabs>
              <w:tab w:val="right" w:leader="dot" w:pos="9962"/>
            </w:tabs>
            <w:spacing w:after="0"/>
            <w:ind w:left="220"/>
            <w:rPr>
              <w:rFonts w:cs="Arial"/>
              <w:noProof/>
              <w:kern w:val="2"/>
              <w:sz w:val="24"/>
              <w:szCs w:val="24"/>
            </w:rPr>
          </w:pPr>
          <w:hyperlink w:anchor="_Toc193896510" w:history="1">
            <w:r w:rsidRPr="00C236FE">
              <w:rPr>
                <w:rFonts w:eastAsia="Times New Roman" w:cs="Calibri"/>
                <w:noProof/>
              </w:rPr>
              <w:t>Pirkimo sąlygų 6 priedas „Pasiūlymo forma“</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_Toc193896510 \h </w:instrText>
            </w:r>
            <w:r w:rsidRPr="00C236FE">
              <w:rPr>
                <w:rFonts w:cs="Arial"/>
                <w:noProof/>
                <w:webHidden/>
              </w:rPr>
            </w:r>
            <w:r w:rsidRPr="00C236FE">
              <w:rPr>
                <w:rFonts w:cs="Arial"/>
                <w:noProof/>
                <w:webHidden/>
              </w:rPr>
              <w:fldChar w:fldCharType="separate"/>
            </w:r>
            <w:r w:rsidRPr="00C236FE">
              <w:rPr>
                <w:rFonts w:cs="Arial"/>
                <w:noProof/>
                <w:webHidden/>
              </w:rPr>
              <w:t>10</w:t>
            </w:r>
            <w:r w:rsidRPr="00C236FE">
              <w:rPr>
                <w:rFonts w:cs="Arial"/>
                <w:noProof/>
                <w:webHidden/>
              </w:rPr>
              <w:fldChar w:fldCharType="end"/>
            </w:r>
          </w:hyperlink>
        </w:p>
        <w:p w14:paraId="2DAA6685" w14:textId="77777777" w:rsidR="00C236FE" w:rsidRPr="00C236FE" w:rsidRDefault="00C236FE" w:rsidP="00C236FE">
          <w:pPr>
            <w:tabs>
              <w:tab w:val="right" w:leader="dot" w:pos="9962"/>
            </w:tabs>
            <w:spacing w:after="0"/>
            <w:ind w:left="220"/>
            <w:rPr>
              <w:rFonts w:cs="Arial"/>
              <w:noProof/>
              <w:kern w:val="2"/>
              <w:sz w:val="24"/>
              <w:szCs w:val="24"/>
            </w:rPr>
          </w:pPr>
          <w:hyperlink w:anchor="_Toc193896511" w:history="1">
            <w:r w:rsidRPr="00C236FE">
              <w:rPr>
                <w:rFonts w:eastAsia="Times New Roman" w:cs="Calibri"/>
                <w:noProof/>
              </w:rPr>
              <w:t>Pirkimo sąlygų 7 priedas „Pasiūlymų vertinimo kriterijai ir sąlygos“</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_Toc193896511 \h </w:instrText>
            </w:r>
            <w:r w:rsidRPr="00C236FE">
              <w:rPr>
                <w:rFonts w:cs="Arial"/>
                <w:noProof/>
                <w:webHidden/>
              </w:rPr>
            </w:r>
            <w:r w:rsidRPr="00C236FE">
              <w:rPr>
                <w:rFonts w:cs="Arial"/>
                <w:noProof/>
                <w:webHidden/>
              </w:rPr>
              <w:fldChar w:fldCharType="separate"/>
            </w:r>
            <w:r w:rsidRPr="00C236FE">
              <w:rPr>
                <w:rFonts w:cs="Arial"/>
                <w:noProof/>
                <w:webHidden/>
              </w:rPr>
              <w:t>10</w:t>
            </w:r>
            <w:r w:rsidRPr="00C236FE">
              <w:rPr>
                <w:rFonts w:cs="Arial"/>
                <w:noProof/>
                <w:webHidden/>
              </w:rPr>
              <w:fldChar w:fldCharType="end"/>
            </w:r>
          </w:hyperlink>
        </w:p>
        <w:p w14:paraId="7D2BD0FB" w14:textId="77777777" w:rsidR="00C236FE" w:rsidRDefault="00C236FE" w:rsidP="00C236FE">
          <w:pPr>
            <w:tabs>
              <w:tab w:val="right" w:leader="dot" w:pos="9962"/>
            </w:tabs>
            <w:spacing w:after="0"/>
            <w:ind w:left="220"/>
          </w:pPr>
          <w:hyperlink w:anchor="_Toc193896512" w:history="1">
            <w:r w:rsidRPr="00C236FE">
              <w:rPr>
                <w:rFonts w:cs="Calibri"/>
                <w:noProof/>
              </w:rPr>
              <w:t>Pirkimo sąlygų 8 priedas „Tiekėjo/subtiekėjo deklaracija dėl atitikties Reglamento nuostatoms “</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_Toc193896512 \h </w:instrText>
            </w:r>
            <w:r w:rsidRPr="00C236FE">
              <w:rPr>
                <w:rFonts w:cs="Arial"/>
                <w:noProof/>
                <w:webHidden/>
              </w:rPr>
            </w:r>
            <w:r w:rsidRPr="00C236FE">
              <w:rPr>
                <w:rFonts w:cs="Arial"/>
                <w:noProof/>
                <w:webHidden/>
              </w:rPr>
              <w:fldChar w:fldCharType="separate"/>
            </w:r>
            <w:r w:rsidRPr="00C236FE">
              <w:rPr>
                <w:rFonts w:cs="Arial"/>
                <w:noProof/>
                <w:webHidden/>
              </w:rPr>
              <w:t>11</w:t>
            </w:r>
            <w:r w:rsidRPr="00C236FE">
              <w:rPr>
                <w:rFonts w:cs="Arial"/>
                <w:noProof/>
                <w:webHidden/>
              </w:rPr>
              <w:fldChar w:fldCharType="end"/>
            </w:r>
          </w:hyperlink>
        </w:p>
        <w:p w14:paraId="3C372CB7" w14:textId="2269A2BF" w:rsidR="00191669" w:rsidRPr="0093551A" w:rsidRDefault="00191669" w:rsidP="00C236FE">
          <w:pPr>
            <w:tabs>
              <w:tab w:val="right" w:leader="dot" w:pos="9962"/>
            </w:tabs>
            <w:spacing w:after="0"/>
            <w:ind w:left="220"/>
            <w:rPr>
              <w:rFonts w:cs="Arial"/>
              <w:noProof/>
              <w:kern w:val="2"/>
              <w:u w:val="dotted"/>
            </w:rPr>
          </w:pPr>
          <w:r w:rsidRPr="00366D7A">
            <w:rPr>
              <w:rFonts w:cs="Arial"/>
              <w:noProof/>
              <w:kern w:val="2"/>
            </w:rPr>
            <w:t>Pirkimo sąlygų 9 priedas "</w:t>
          </w:r>
          <w:r w:rsidR="00366D7A" w:rsidRPr="00366D7A">
            <w:rPr>
              <w:rFonts w:cs="Arial"/>
              <w:noProof/>
              <w:kern w:val="2"/>
            </w:rPr>
            <w:t>Nacionalini</w:t>
          </w:r>
          <w:r w:rsidR="00E479A4">
            <w:rPr>
              <w:rFonts w:cs="Arial"/>
              <w:noProof/>
              <w:kern w:val="2"/>
            </w:rPr>
            <w:t>o</w:t>
          </w:r>
          <w:r w:rsidR="00366D7A" w:rsidRPr="00366D7A">
            <w:rPr>
              <w:rFonts w:cs="Arial"/>
              <w:noProof/>
              <w:kern w:val="2"/>
            </w:rPr>
            <w:t xml:space="preserve"> saugumo </w:t>
          </w:r>
          <w:r w:rsidR="008044BE">
            <w:rPr>
              <w:rFonts w:cs="Arial"/>
              <w:noProof/>
              <w:kern w:val="2"/>
            </w:rPr>
            <w:t xml:space="preserve">reikalavimų </w:t>
          </w:r>
          <w:r w:rsidR="00366D7A" w:rsidRPr="00366D7A">
            <w:rPr>
              <w:rFonts w:cs="Arial"/>
              <w:noProof/>
              <w:kern w:val="2"/>
            </w:rPr>
            <w:t>a</w:t>
          </w:r>
          <w:r w:rsidR="00366D7A">
            <w:rPr>
              <w:rFonts w:cs="Arial"/>
              <w:noProof/>
              <w:kern w:val="2"/>
            </w:rPr>
            <w:t>titikties deklra</w:t>
          </w:r>
          <w:r w:rsidR="008F6226">
            <w:rPr>
              <w:rFonts w:cs="Arial"/>
              <w:noProof/>
              <w:kern w:val="2"/>
            </w:rPr>
            <w:t>cija</w:t>
          </w:r>
          <w:r w:rsidR="008F6226" w:rsidRPr="00644F79">
            <w:rPr>
              <w:rFonts w:cs="Arial"/>
              <w:noProof/>
              <w:kern w:val="2"/>
              <w:u w:val="dotted"/>
            </w:rPr>
            <w:t>"</w:t>
          </w:r>
          <w:r w:rsidR="0093551A" w:rsidRPr="00644F79">
            <w:rPr>
              <w:rFonts w:cs="Arial"/>
              <w:b/>
              <w:bCs/>
              <w:noProof/>
              <w:kern w:val="2"/>
              <w:sz w:val="24"/>
              <w:szCs w:val="24"/>
              <w:u w:val="dotted"/>
            </w:rPr>
            <w:t xml:space="preserve">                                                 </w:t>
          </w:r>
          <w:r w:rsidR="0093551A" w:rsidRPr="0093551A">
            <w:rPr>
              <w:rFonts w:cs="Arial"/>
              <w:noProof/>
              <w:kern w:val="2"/>
            </w:rPr>
            <w:t>11</w:t>
          </w:r>
        </w:p>
        <w:p w14:paraId="14FD3721" w14:textId="14685E50" w:rsidR="00C236FE" w:rsidRPr="00C236FE" w:rsidRDefault="00C236FE" w:rsidP="00C236FE">
          <w:pPr>
            <w:tabs>
              <w:tab w:val="right" w:leader="dot" w:pos="9962"/>
            </w:tabs>
            <w:spacing w:after="0"/>
            <w:ind w:left="220"/>
            <w:rPr>
              <w:rFonts w:cs="Arial"/>
              <w:noProof/>
              <w:kern w:val="2"/>
              <w:sz w:val="24"/>
              <w:szCs w:val="24"/>
            </w:rPr>
          </w:pPr>
          <w:hyperlink w:anchor="_Toc193896513" w:history="1">
            <w:r w:rsidRPr="00C236FE">
              <w:rPr>
                <w:rFonts w:cs="Calibri"/>
                <w:noProof/>
              </w:rPr>
              <w:t xml:space="preserve">Pirkimo sąlygų </w:t>
            </w:r>
            <w:r w:rsidR="00644F79">
              <w:rPr>
                <w:rFonts w:cs="Calibri"/>
                <w:noProof/>
              </w:rPr>
              <w:t>10</w:t>
            </w:r>
            <w:r w:rsidRPr="00C236FE">
              <w:rPr>
                <w:rFonts w:cs="Calibri"/>
                <w:noProof/>
              </w:rPr>
              <w:t xml:space="preserve"> priedas „Sutarties projektas“</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_Toc193896513 \h </w:instrText>
            </w:r>
            <w:r w:rsidRPr="00C236FE">
              <w:rPr>
                <w:rFonts w:cs="Arial"/>
                <w:noProof/>
                <w:webHidden/>
              </w:rPr>
            </w:r>
            <w:r w:rsidRPr="00C236FE">
              <w:rPr>
                <w:rFonts w:cs="Arial"/>
                <w:noProof/>
                <w:webHidden/>
              </w:rPr>
              <w:fldChar w:fldCharType="separate"/>
            </w:r>
            <w:r w:rsidRPr="00C236FE">
              <w:rPr>
                <w:rFonts w:cs="Arial"/>
                <w:noProof/>
                <w:webHidden/>
              </w:rPr>
              <w:t>11</w:t>
            </w:r>
            <w:r w:rsidRPr="00C236FE">
              <w:rPr>
                <w:rFonts w:cs="Arial"/>
                <w:noProof/>
                <w:webHidden/>
              </w:rPr>
              <w:fldChar w:fldCharType="end"/>
            </w:r>
          </w:hyperlink>
        </w:p>
        <w:p w14:paraId="5138AFE6" w14:textId="16697FEC" w:rsidR="00C236FE" w:rsidRDefault="00C236FE" w:rsidP="00C236FE">
          <w:pPr>
            <w:tabs>
              <w:tab w:val="right" w:leader="dot" w:pos="9962"/>
            </w:tabs>
            <w:spacing w:after="0"/>
            <w:ind w:left="220"/>
          </w:pPr>
          <w:hyperlink w:anchor="_Toc193896514" w:history="1">
            <w:r w:rsidRPr="00C236FE">
              <w:rPr>
                <w:rFonts w:cs="Calibri"/>
                <w:noProof/>
              </w:rPr>
              <w:t>Pirkimo sąlygų 1</w:t>
            </w:r>
            <w:r w:rsidR="002D1C73">
              <w:rPr>
                <w:rFonts w:cs="Calibri"/>
                <w:noProof/>
              </w:rPr>
              <w:t>1</w:t>
            </w:r>
            <w:r w:rsidRPr="00C236FE">
              <w:rPr>
                <w:rFonts w:cs="Calibri"/>
                <w:noProof/>
              </w:rPr>
              <w:t xml:space="preserve"> priedas „</w:t>
            </w:r>
            <w:r w:rsidR="002D1C73">
              <w:rPr>
                <w:rFonts w:cs="Calibri"/>
                <w:noProof/>
              </w:rPr>
              <w:t>Įvykdytų sutarčių</w:t>
            </w:r>
            <w:r w:rsidRPr="00C236FE">
              <w:rPr>
                <w:rFonts w:cs="Calibri"/>
                <w:noProof/>
              </w:rPr>
              <w:t xml:space="preserve"> sąrašas“</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_Toc193896514 \h </w:instrText>
            </w:r>
            <w:r w:rsidRPr="00C236FE">
              <w:rPr>
                <w:rFonts w:cs="Arial"/>
                <w:noProof/>
                <w:webHidden/>
              </w:rPr>
            </w:r>
            <w:r w:rsidRPr="00C236FE">
              <w:rPr>
                <w:rFonts w:cs="Arial"/>
                <w:noProof/>
                <w:webHidden/>
              </w:rPr>
              <w:fldChar w:fldCharType="separate"/>
            </w:r>
            <w:r w:rsidRPr="00C236FE">
              <w:rPr>
                <w:rFonts w:cs="Arial"/>
                <w:noProof/>
                <w:webHidden/>
              </w:rPr>
              <w:t>11</w:t>
            </w:r>
            <w:r w:rsidRPr="00C236FE">
              <w:rPr>
                <w:rFonts w:cs="Arial"/>
                <w:noProof/>
                <w:webHidden/>
              </w:rPr>
              <w:fldChar w:fldCharType="end"/>
            </w:r>
          </w:hyperlink>
        </w:p>
        <w:p w14:paraId="5BDCF4FC" w14:textId="1979DD3E" w:rsidR="00D2629C" w:rsidRDefault="00D2629C" w:rsidP="00D2629C">
          <w:pPr>
            <w:tabs>
              <w:tab w:val="right" w:leader="dot" w:pos="9962"/>
            </w:tabs>
            <w:spacing w:after="0"/>
            <w:ind w:left="220"/>
          </w:pPr>
          <w:hyperlink w:anchor="_Toc193896514" w:history="1">
            <w:r w:rsidRPr="00C236FE">
              <w:rPr>
                <w:rFonts w:cs="Calibri"/>
                <w:noProof/>
              </w:rPr>
              <w:t>Pirkimo sąlygų 1</w:t>
            </w:r>
            <w:r>
              <w:rPr>
                <w:rFonts w:cs="Calibri"/>
                <w:noProof/>
              </w:rPr>
              <w:t>2</w:t>
            </w:r>
            <w:r w:rsidRPr="00C236FE">
              <w:rPr>
                <w:rFonts w:cs="Calibri"/>
                <w:noProof/>
              </w:rPr>
              <w:t xml:space="preserve"> priedas „</w:t>
            </w:r>
            <w:r>
              <w:rPr>
                <w:rFonts w:cs="Calibri"/>
                <w:noProof/>
              </w:rPr>
              <w:t xml:space="preserve">Specialistų </w:t>
            </w:r>
            <w:r w:rsidR="004434BD">
              <w:rPr>
                <w:rFonts w:cs="Calibri"/>
                <w:noProof/>
              </w:rPr>
              <w:t>sąrašo forma</w:t>
            </w:r>
            <w:r w:rsidRPr="00C236FE">
              <w:rPr>
                <w:rFonts w:cs="Calibri"/>
                <w:noProof/>
              </w:rPr>
              <w:t>“</w:t>
            </w:r>
            <w:r w:rsidRPr="00C236FE">
              <w:rPr>
                <w:rFonts w:cs="Arial"/>
                <w:noProof/>
                <w:webHidden/>
              </w:rPr>
              <w:tab/>
            </w:r>
            <w:r w:rsidRPr="00C236FE">
              <w:rPr>
                <w:rFonts w:cs="Arial"/>
                <w:noProof/>
                <w:webHidden/>
              </w:rPr>
              <w:fldChar w:fldCharType="begin"/>
            </w:r>
            <w:r w:rsidRPr="00C236FE">
              <w:rPr>
                <w:rFonts w:cs="Arial"/>
                <w:noProof/>
                <w:webHidden/>
              </w:rPr>
              <w:instrText xml:space="preserve"> PAGEREF _Toc193896514 \h </w:instrText>
            </w:r>
            <w:r w:rsidRPr="00C236FE">
              <w:rPr>
                <w:rFonts w:cs="Arial"/>
                <w:noProof/>
                <w:webHidden/>
              </w:rPr>
            </w:r>
            <w:r w:rsidRPr="00C236FE">
              <w:rPr>
                <w:rFonts w:cs="Arial"/>
                <w:noProof/>
                <w:webHidden/>
              </w:rPr>
              <w:fldChar w:fldCharType="separate"/>
            </w:r>
            <w:r w:rsidRPr="00C236FE">
              <w:rPr>
                <w:rFonts w:cs="Arial"/>
                <w:noProof/>
                <w:webHidden/>
              </w:rPr>
              <w:t>11</w:t>
            </w:r>
            <w:r w:rsidRPr="00C236FE">
              <w:rPr>
                <w:rFonts w:cs="Arial"/>
                <w:noProof/>
                <w:webHidden/>
              </w:rPr>
              <w:fldChar w:fldCharType="end"/>
            </w:r>
          </w:hyperlink>
        </w:p>
        <w:p w14:paraId="19909CD2" w14:textId="77777777" w:rsidR="00D2629C" w:rsidRDefault="00D2629C" w:rsidP="00C236FE">
          <w:pPr>
            <w:tabs>
              <w:tab w:val="right" w:leader="dot" w:pos="9962"/>
            </w:tabs>
            <w:spacing w:after="0"/>
            <w:ind w:left="220"/>
          </w:pPr>
        </w:p>
        <w:p w14:paraId="489C12A8" w14:textId="53A03436" w:rsidR="00D2629C" w:rsidRPr="00C236FE" w:rsidRDefault="00D2629C" w:rsidP="00C236FE">
          <w:pPr>
            <w:tabs>
              <w:tab w:val="right" w:leader="dot" w:pos="9962"/>
            </w:tabs>
            <w:spacing w:after="0"/>
            <w:ind w:left="220"/>
            <w:rPr>
              <w:rFonts w:cs="Arial"/>
              <w:noProof/>
              <w:kern w:val="2"/>
              <w:sz w:val="24"/>
              <w:szCs w:val="24"/>
            </w:rPr>
          </w:pPr>
        </w:p>
        <w:p w14:paraId="06C0EC44" w14:textId="77777777" w:rsidR="00C236FE" w:rsidRPr="00C236FE" w:rsidRDefault="00C236FE" w:rsidP="00C236FE">
          <w:pPr>
            <w:spacing w:after="120" w:line="20" w:lineRule="atLeast"/>
            <w:contextualSpacing/>
            <w:rPr>
              <w:rFonts w:cs="Calibri"/>
            </w:rPr>
          </w:pPr>
          <w:r w:rsidRPr="00C236FE">
            <w:rPr>
              <w:rFonts w:cs="Calibri"/>
            </w:rPr>
            <w:fldChar w:fldCharType="end"/>
          </w:r>
        </w:p>
        <w:p w14:paraId="32349AC9" w14:textId="77777777" w:rsidR="00C236FE" w:rsidRPr="00C236FE" w:rsidRDefault="00C236FE" w:rsidP="00C236FE">
          <w:pPr>
            <w:tabs>
              <w:tab w:val="center" w:pos="4986"/>
            </w:tabs>
            <w:spacing w:after="120" w:line="20" w:lineRule="atLeast"/>
            <w:contextualSpacing/>
            <w:rPr>
              <w:rFonts w:cs="Calibri"/>
            </w:rPr>
          </w:pPr>
        </w:p>
        <w:p w14:paraId="2722DFB2" w14:textId="269673E2" w:rsidR="00C236FE" w:rsidRPr="00C236FE" w:rsidRDefault="00C75ABC" w:rsidP="00C75ABC">
          <w:pPr>
            <w:tabs>
              <w:tab w:val="left" w:pos="1192"/>
              <w:tab w:val="center" w:pos="4986"/>
            </w:tabs>
            <w:spacing w:after="120" w:line="20" w:lineRule="atLeast"/>
            <w:contextualSpacing/>
            <w:rPr>
              <w:rFonts w:cs="Calibri"/>
            </w:rPr>
          </w:pPr>
          <w:r>
            <w:rPr>
              <w:rFonts w:cs="Calibri"/>
            </w:rPr>
            <w:tab/>
          </w:r>
        </w:p>
        <w:p w14:paraId="73CCB438" w14:textId="3BDDBAF6" w:rsidR="005F13F0" w:rsidRPr="00604ABC" w:rsidRDefault="00C236FE" w:rsidP="00604ABC">
          <w:pPr>
            <w:spacing w:after="120" w:line="20" w:lineRule="atLeast"/>
            <w:contextualSpacing/>
            <w:jc w:val="center"/>
            <w:rPr>
              <w:rFonts w:cstheme="minorHAnsi"/>
              <w:b/>
              <w:bCs/>
              <w:color w:val="0070C0"/>
              <w:sz w:val="28"/>
              <w:szCs w:val="28"/>
            </w:rPr>
          </w:pPr>
          <w:r w:rsidRPr="00C236FE">
            <w:rPr>
              <w:rFonts w:cs="Calibr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6D06BDE" w14:textId="77777777" w:rsidR="00C236FE" w:rsidRPr="00C236FE" w:rsidRDefault="00C236FE" w:rsidP="00C236FE">
      <w:pPr>
        <w:numPr>
          <w:ilvl w:val="1"/>
          <w:numId w:val="1"/>
        </w:numPr>
        <w:tabs>
          <w:tab w:val="left" w:pos="1276"/>
        </w:tabs>
        <w:spacing w:after="0" w:line="20" w:lineRule="atLeast"/>
        <w:ind w:left="0" w:firstLine="567"/>
        <w:contextualSpacing/>
        <w:jc w:val="both"/>
        <w:rPr>
          <w:rFonts w:eastAsia="Times New Roman" w:cs="Calibri"/>
        </w:rPr>
      </w:pPr>
      <w:r w:rsidRPr="00C236FE">
        <w:rPr>
          <w:rFonts w:cs="Calibri"/>
        </w:rPr>
        <w:t>Perkančioji organizacija – Užimtumo tarnyba prie Lietuvos Respublikos socialinės apsaugos ir darbo ministerijos, juridinio asmens kodas 190766619, adresas A. Vivulskio g. 13,  LT-03162 Vilnius,  darbo laikas I-IV -08.00-17.00, V-08.00-16.45. Perkančioji organizacija nėra PVM mokėtoja.</w:t>
      </w:r>
      <w:r w:rsidRPr="00C236FE">
        <w:rPr>
          <w:rFonts w:eastAsia="Times New Roman" w:cs="Calibri"/>
        </w:rPr>
        <w:t xml:space="preserve"> </w:t>
      </w:r>
    </w:p>
    <w:p w14:paraId="74C6F11F" w14:textId="480C5B8E" w:rsidR="00C236FE" w:rsidRPr="00500819" w:rsidRDefault="00C236FE" w:rsidP="00500819">
      <w:pPr>
        <w:numPr>
          <w:ilvl w:val="1"/>
          <w:numId w:val="1"/>
        </w:numPr>
        <w:tabs>
          <w:tab w:val="left" w:pos="1276"/>
        </w:tabs>
        <w:spacing w:after="0" w:line="20" w:lineRule="atLeast"/>
        <w:ind w:left="0" w:firstLine="567"/>
        <w:contextualSpacing/>
        <w:jc w:val="both"/>
        <w:rPr>
          <w:rFonts w:eastAsia="Times New Roman" w:cs="Calibri"/>
        </w:rPr>
      </w:pPr>
      <w:r w:rsidRPr="00500819">
        <w:rPr>
          <w:rFonts w:eastAsia="Times New Roman" w:cs="Calibri"/>
        </w:rPr>
        <w:t xml:space="preserve">Įgaliotas asmuo palaikyti tiesioginį ryšį su tiekėjais, gauti iš jų pranešimus susijusius su pirkimo procedūromis, yra komisijos narys perkančiosios organizacijos Viešųjų pirkimų skyriaus vyr. specialistė  Inga Meliešienė  tel.: +370 658 24161, el. paštas: </w:t>
      </w:r>
      <w:hyperlink r:id="rId11" w:history="1">
        <w:r w:rsidRPr="00500819">
          <w:rPr>
            <w:rFonts w:eastAsia="Times New Roman" w:cs="Calibri"/>
          </w:rPr>
          <w:t>inga.meliesiene@uzt.lt</w:t>
        </w:r>
      </w:hyperlink>
      <w:r w:rsidRPr="00AF534B">
        <w:rPr>
          <w:rFonts w:eastAsia="Times New Roman" w:cs="Calibri"/>
          <w:b/>
          <w:bCs/>
        </w:rPr>
        <w:t>; dėl pirkimo objekto</w:t>
      </w:r>
      <w:r w:rsidRPr="00500819">
        <w:rPr>
          <w:rFonts w:eastAsia="Times New Roman" w:cs="Calibri"/>
        </w:rPr>
        <w:t xml:space="preserve"> – </w:t>
      </w:r>
      <w:r w:rsidR="00A530C1" w:rsidRPr="00500819">
        <w:rPr>
          <w:rFonts w:eastAsia="Times New Roman" w:cs="Calibri"/>
        </w:rPr>
        <w:t xml:space="preserve">IT plėtros skyriaus vyr. specialistė </w:t>
      </w:r>
      <w:r w:rsidR="003E7C99" w:rsidRPr="00500819">
        <w:rPr>
          <w:rFonts w:eastAsia="Times New Roman" w:cs="Calibri"/>
        </w:rPr>
        <w:t xml:space="preserve">Jurga </w:t>
      </w:r>
      <w:proofErr w:type="spellStart"/>
      <w:r w:rsidR="003E7C99" w:rsidRPr="00500819">
        <w:rPr>
          <w:rFonts w:eastAsia="Times New Roman" w:cs="Calibri"/>
        </w:rPr>
        <w:t>Narkuvienė</w:t>
      </w:r>
      <w:proofErr w:type="spellEnd"/>
      <w:r w:rsidR="00C91760" w:rsidRPr="00500819">
        <w:rPr>
          <w:rFonts w:eastAsia="Times New Roman" w:cs="Calibri"/>
        </w:rPr>
        <w:t xml:space="preserve">, tel.: </w:t>
      </w:r>
      <w:r w:rsidR="003E7C99" w:rsidRPr="00500819">
        <w:rPr>
          <w:rFonts w:eastAsia="Times New Roman" w:cs="Calibri"/>
        </w:rPr>
        <w:t>+370 658 24235</w:t>
      </w:r>
      <w:r w:rsidR="009F2D59" w:rsidRPr="00500819">
        <w:rPr>
          <w:rFonts w:eastAsia="Times New Roman" w:cs="Calibri"/>
        </w:rPr>
        <w:t xml:space="preserve">, </w:t>
      </w:r>
      <w:proofErr w:type="spellStart"/>
      <w:r w:rsidR="009F2D59" w:rsidRPr="00500819">
        <w:rPr>
          <w:rFonts w:eastAsia="Times New Roman" w:cs="Calibri"/>
        </w:rPr>
        <w:t>el.paš</w:t>
      </w:r>
      <w:r w:rsidR="001D621A" w:rsidRPr="00500819">
        <w:rPr>
          <w:rFonts w:eastAsia="Times New Roman" w:cs="Calibri"/>
        </w:rPr>
        <w:t>tas</w:t>
      </w:r>
      <w:proofErr w:type="spellEnd"/>
      <w:r w:rsidR="001D621A" w:rsidRPr="00500819">
        <w:rPr>
          <w:rFonts w:eastAsia="Times New Roman" w:cs="Calibri"/>
        </w:rPr>
        <w:t xml:space="preserve"> </w:t>
      </w:r>
      <w:r w:rsidR="004B677F" w:rsidRPr="00500819">
        <w:rPr>
          <w:rFonts w:eastAsia="Times New Roman" w:cs="Calibri"/>
        </w:rPr>
        <w:t xml:space="preserve">: </w:t>
      </w:r>
      <w:proofErr w:type="spellStart"/>
      <w:r w:rsidR="004B677F" w:rsidRPr="00500819">
        <w:rPr>
          <w:rFonts w:eastAsia="Times New Roman" w:cs="Calibri"/>
        </w:rPr>
        <w:t>jurga.narkuvienė@uzt.lt</w:t>
      </w:r>
      <w:proofErr w:type="spellEnd"/>
      <w:r w:rsidR="00500819" w:rsidRPr="00500819">
        <w:rPr>
          <w:rFonts w:eastAsia="Times New Roman" w:cs="Calibri"/>
        </w:rPr>
        <w:t>.</w:t>
      </w:r>
    </w:p>
    <w:p w14:paraId="0F1D2B6D" w14:textId="77777777" w:rsidR="00C236FE" w:rsidRPr="00F23226" w:rsidRDefault="00C236FE" w:rsidP="00C236FE">
      <w:pPr>
        <w:tabs>
          <w:tab w:val="left" w:pos="1276"/>
        </w:tabs>
        <w:spacing w:after="0" w:line="240" w:lineRule="auto"/>
        <w:ind w:firstLine="567"/>
        <w:contextualSpacing/>
        <w:jc w:val="both"/>
        <w:rPr>
          <w:rFonts w:eastAsia="Times New Roman" w:cs="Calibri"/>
        </w:rPr>
      </w:pPr>
      <w:r w:rsidRPr="00C236FE">
        <w:rPr>
          <w:rFonts w:cs="Calibri"/>
        </w:rPr>
        <w:t>1.3.</w:t>
      </w:r>
      <w:r w:rsidRPr="00C236FE">
        <w:rPr>
          <w:rFonts w:cs="Calibri"/>
        </w:rPr>
        <w:tab/>
        <w:t xml:space="preserve">Pirkimas neatliekamas naudojantis centralizuotų pirkimų katalogu, nes perkamos </w:t>
      </w:r>
      <w:r w:rsidRPr="00C236FE">
        <w:rPr>
          <w:rFonts w:cs="Calibri"/>
          <w:color w:val="000000" w:themeColor="text1"/>
        </w:rPr>
        <w:t xml:space="preserve">paslaugos nėra </w:t>
      </w:r>
      <w:r w:rsidRPr="00F23226">
        <w:rPr>
          <w:rFonts w:cs="Calibri"/>
        </w:rPr>
        <w:t xml:space="preserve">siūlomos CPO LT kataloge. </w:t>
      </w:r>
    </w:p>
    <w:p w14:paraId="6D179D22" w14:textId="77777777" w:rsidR="00C236FE" w:rsidRPr="00F23226" w:rsidRDefault="00C236FE" w:rsidP="00C236FE">
      <w:pPr>
        <w:tabs>
          <w:tab w:val="left" w:pos="1276"/>
        </w:tabs>
        <w:spacing w:after="0" w:line="240" w:lineRule="auto"/>
        <w:ind w:firstLine="567"/>
        <w:rPr>
          <w:rFonts w:cs="Calibri"/>
        </w:rPr>
      </w:pPr>
      <w:r w:rsidRPr="00F23226">
        <w:rPr>
          <w:rFonts w:cs="Calibri"/>
        </w:rPr>
        <w:t xml:space="preserve">1.4. </w:t>
      </w:r>
      <w:r w:rsidRPr="00F23226">
        <w:rPr>
          <w:rFonts w:cs="Calibri"/>
        </w:rPr>
        <w:tab/>
      </w:r>
      <w:r w:rsidRPr="00F23226">
        <w:rPr>
          <w:rFonts w:eastAsia="Times New Roman" w:cs="Calibri"/>
        </w:rPr>
        <w:t>Perkančioji organizacija nerezervuoja teisės dalyvauti pirkime.</w:t>
      </w:r>
    </w:p>
    <w:p w14:paraId="3DF40575" w14:textId="77777777" w:rsidR="00C236FE" w:rsidRPr="00F23226" w:rsidRDefault="00C236FE" w:rsidP="00C236FE">
      <w:pPr>
        <w:tabs>
          <w:tab w:val="left" w:pos="1276"/>
        </w:tabs>
        <w:spacing w:after="0" w:line="240" w:lineRule="auto"/>
        <w:ind w:firstLine="567"/>
        <w:contextualSpacing/>
        <w:jc w:val="both"/>
        <w:rPr>
          <w:rFonts w:cs="Calibri"/>
        </w:rPr>
      </w:pPr>
      <w:r w:rsidRPr="00F23226">
        <w:rPr>
          <w:rFonts w:cs="Calibri"/>
        </w:rPr>
        <w:t xml:space="preserve">1.5.  </w:t>
      </w:r>
      <w:r w:rsidRPr="00F23226">
        <w:rPr>
          <w:rFonts w:cs="Calibri"/>
        </w:rPr>
        <w:tab/>
        <w:t>Stebėtojai dalyvauti Komisijos posėdžiuose nėra kviečiami.</w:t>
      </w:r>
    </w:p>
    <w:p w14:paraId="558226C1" w14:textId="7AA68D86" w:rsidR="00C236FE" w:rsidRPr="00C236FE" w:rsidRDefault="00C236FE" w:rsidP="00C236FE">
      <w:pPr>
        <w:numPr>
          <w:ilvl w:val="1"/>
          <w:numId w:val="18"/>
        </w:numPr>
        <w:tabs>
          <w:tab w:val="left" w:pos="1276"/>
        </w:tabs>
        <w:spacing w:after="0" w:line="240" w:lineRule="auto"/>
        <w:ind w:left="0" w:firstLine="567"/>
        <w:contextualSpacing/>
        <w:jc w:val="both"/>
        <w:rPr>
          <w:rFonts w:cs="Calibri"/>
          <w:color w:val="FF0000"/>
        </w:rPr>
      </w:pPr>
      <w:r w:rsidRPr="00F23226">
        <w:rPr>
          <w:rFonts w:cs="Calibri"/>
        </w:rPr>
        <w:t>Atliekamas žaliasis pirkimas. Pirkimas vykdomas vadovaujantis Lietuvos Respublikos aplinkos ministro 2011 m. birželio 28 d. įsakymo Nr. D1-508 „</w:t>
      </w:r>
      <w:hyperlink r:id="rId12" w:history="1">
        <w:r w:rsidRPr="00F23226">
          <w:rPr>
            <w:rFonts w:cs="Calibri"/>
            <w:u w:val="single"/>
          </w:rPr>
          <w:t>Dėl Aplinkos apsaugos kriterijų taikymo, vykdant žaliuosius pirkimus, tvarkos aprašo patvirtinimo</w:t>
        </w:r>
      </w:hyperlink>
      <w:r w:rsidRPr="00C236FE">
        <w:rPr>
          <w:rFonts w:cs="Calibri"/>
        </w:rPr>
        <w:t xml:space="preserve">“ 4.4.3. papunkčio reikalavimus. </w:t>
      </w:r>
      <w:r w:rsidRPr="00C236FE">
        <w:rPr>
          <w:rFonts w:ascii="Calibri" w:hAnsi="Calibri" w:cs="Calibri"/>
          <w:bCs/>
          <w:iCs/>
        </w:rPr>
        <w:t>Vykdydamos sutartį šalys taip pat susitaria mažinti popieriaus sunaudojimą, atsisakyti nebūtino dokumentų kopijavimo ir spausdinimo</w:t>
      </w:r>
      <w:r w:rsidRPr="00C236FE">
        <w:rPr>
          <w:rFonts w:cs="Calibri"/>
        </w:rPr>
        <w:t xml:space="preserve">. Aplinkos apaugos kriterijai nustatyti </w:t>
      </w:r>
      <w:r w:rsidR="0061236E">
        <w:rPr>
          <w:rFonts w:cs="Calibri"/>
        </w:rPr>
        <w:t>p</w:t>
      </w:r>
      <w:r w:rsidRPr="00C236FE">
        <w:rPr>
          <w:rFonts w:cs="Calibri"/>
        </w:rPr>
        <w:t>irkim</w:t>
      </w:r>
      <w:r w:rsidR="00882136">
        <w:rPr>
          <w:rFonts w:cs="Calibri"/>
        </w:rPr>
        <w:t>o</w:t>
      </w:r>
      <w:r w:rsidRPr="00C236FE">
        <w:rPr>
          <w:rFonts w:cs="Calibri"/>
        </w:rPr>
        <w:t xml:space="preserve"> </w:t>
      </w:r>
      <w:r w:rsidRPr="00D70896">
        <w:rPr>
          <w:rFonts w:cs="Calibri"/>
        </w:rPr>
        <w:t>sąlygų 2 priedo „Techninė specifikacija</w:t>
      </w:r>
      <w:r w:rsidRPr="00483AF6">
        <w:rPr>
          <w:rFonts w:cs="Calibri"/>
        </w:rPr>
        <w:t xml:space="preserve">“ </w:t>
      </w:r>
      <w:r w:rsidR="00483AF6" w:rsidRPr="00483AF6">
        <w:rPr>
          <w:rFonts w:cs="Calibri"/>
        </w:rPr>
        <w:t>44</w:t>
      </w:r>
      <w:r w:rsidRPr="00483AF6">
        <w:rPr>
          <w:rFonts w:cs="Calibri"/>
        </w:rPr>
        <w:t xml:space="preserve"> p. ir </w:t>
      </w:r>
      <w:r w:rsidR="00D70896" w:rsidRPr="00D70896">
        <w:rPr>
          <w:rFonts w:cs="Calibri"/>
        </w:rPr>
        <w:t>10</w:t>
      </w:r>
      <w:r w:rsidRPr="00D70896">
        <w:rPr>
          <w:rFonts w:cs="Calibri"/>
        </w:rPr>
        <w:t xml:space="preserve"> priedo „Sutarties projektas“ </w:t>
      </w:r>
      <w:r w:rsidRPr="006433F8">
        <w:rPr>
          <w:rFonts w:cs="Calibri"/>
        </w:rPr>
        <w:t>13 p.</w:t>
      </w:r>
    </w:p>
    <w:p w14:paraId="7D159E5D" w14:textId="77777777" w:rsidR="00C236FE" w:rsidRPr="00C236FE" w:rsidRDefault="00C236FE" w:rsidP="00C236FE">
      <w:pPr>
        <w:numPr>
          <w:ilvl w:val="1"/>
          <w:numId w:val="7"/>
        </w:numPr>
        <w:tabs>
          <w:tab w:val="left" w:pos="1276"/>
        </w:tabs>
        <w:spacing w:after="0" w:line="240" w:lineRule="auto"/>
        <w:ind w:left="0" w:firstLine="567"/>
        <w:contextualSpacing/>
        <w:jc w:val="both"/>
        <w:rPr>
          <w:rFonts w:eastAsia="Times New Roman" w:cs="Calibri"/>
        </w:rPr>
      </w:pPr>
      <w:r w:rsidRPr="00C236FE">
        <w:rPr>
          <w:rFonts w:eastAsia="Times New Roman" w:cs="Calibri"/>
        </w:rPr>
        <w:t xml:space="preserve">Išankstinis skelbimas apie pirkimą nebuvo paskelbtas. </w:t>
      </w:r>
    </w:p>
    <w:p w14:paraId="41695756" w14:textId="77777777" w:rsidR="00C236FE" w:rsidRPr="00C236FE" w:rsidRDefault="00C236FE" w:rsidP="00C236FE">
      <w:pPr>
        <w:numPr>
          <w:ilvl w:val="1"/>
          <w:numId w:val="7"/>
        </w:numPr>
        <w:tabs>
          <w:tab w:val="left" w:pos="851"/>
          <w:tab w:val="left" w:pos="1276"/>
        </w:tabs>
        <w:spacing w:after="0" w:line="240" w:lineRule="auto"/>
        <w:ind w:firstLine="207"/>
        <w:contextualSpacing/>
        <w:jc w:val="both"/>
        <w:rPr>
          <w:rFonts w:cs="Calibri"/>
        </w:rPr>
      </w:pPr>
      <w:r w:rsidRPr="00C236FE">
        <w:rPr>
          <w:rFonts w:cs="Calibri"/>
          <w:lang w:eastAsia="en-US"/>
        </w:rPr>
        <w:t xml:space="preserve">Pirkime </w:t>
      </w:r>
      <w:r w:rsidRPr="00C236FE">
        <w:rPr>
          <w:rFonts w:cs="Calibri"/>
        </w:rPr>
        <w:t xml:space="preserve"> perkančioji organizacija</w:t>
      </w:r>
      <w:r w:rsidRPr="00C236FE">
        <w:rPr>
          <w:rFonts w:cs="Calibri"/>
          <w:lang w:eastAsia="en-US"/>
        </w:rPr>
        <w:t xml:space="preserve"> nenumato skelbti pranešimo dėl savanoriško </w:t>
      </w:r>
      <w:proofErr w:type="spellStart"/>
      <w:r w:rsidRPr="00C236FE">
        <w:rPr>
          <w:rFonts w:cs="Calibri"/>
          <w:i/>
          <w:iCs/>
          <w:lang w:eastAsia="en-US"/>
        </w:rPr>
        <w:t>ex</w:t>
      </w:r>
      <w:proofErr w:type="spellEnd"/>
      <w:r w:rsidRPr="00C236FE">
        <w:rPr>
          <w:rFonts w:cs="Calibri"/>
          <w:i/>
          <w:iCs/>
          <w:lang w:eastAsia="en-US"/>
        </w:rPr>
        <w:t xml:space="preserve"> ante</w:t>
      </w:r>
      <w:r w:rsidRPr="00C236FE">
        <w:rPr>
          <w:rFonts w:cs="Calibri"/>
          <w:lang w:eastAsia="en-US"/>
        </w:rPr>
        <w:t xml:space="preserve"> skaidrumo.</w:t>
      </w:r>
    </w:p>
    <w:p w14:paraId="5D0EA3C4" w14:textId="622BD549" w:rsidR="004D070C" w:rsidRPr="00950C17" w:rsidRDefault="00C236FE" w:rsidP="00950C17">
      <w:pPr>
        <w:numPr>
          <w:ilvl w:val="1"/>
          <w:numId w:val="7"/>
        </w:numPr>
        <w:tabs>
          <w:tab w:val="left" w:pos="851"/>
          <w:tab w:val="left" w:pos="1276"/>
        </w:tabs>
        <w:spacing w:after="0" w:line="240" w:lineRule="auto"/>
        <w:ind w:left="0" w:firstLine="567"/>
        <w:contextualSpacing/>
        <w:jc w:val="both"/>
        <w:rPr>
          <w:rFonts w:cs="Calibri"/>
          <w:color w:val="7030A0"/>
        </w:rPr>
      </w:pPr>
      <w:r w:rsidRPr="00C236FE">
        <w:rPr>
          <w:rFonts w:cs="Calibri"/>
        </w:rPr>
        <w:t xml:space="preserve">Pirkime neleidžiama pateikti alternatyvių pasiūlymų. </w:t>
      </w:r>
    </w:p>
    <w:p w14:paraId="0C002F05" w14:textId="68A15AD1" w:rsidR="00E32C8E" w:rsidRPr="00C447D2" w:rsidRDefault="00E32C8E" w:rsidP="00F23226">
      <w:pPr>
        <w:pStyle w:val="Sraopastraipa"/>
        <w:numPr>
          <w:ilvl w:val="1"/>
          <w:numId w:val="7"/>
        </w:numPr>
        <w:tabs>
          <w:tab w:val="left" w:pos="1276"/>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41726D5" w14:textId="5C713A3F" w:rsidR="00B70A7B" w:rsidRDefault="00B41C66" w:rsidP="00B70A7B">
      <w:pPr>
        <w:pStyle w:val="Betarp"/>
        <w:numPr>
          <w:ilvl w:val="1"/>
          <w:numId w:val="5"/>
        </w:numPr>
        <w:spacing w:after="120"/>
        <w:ind w:left="0" w:firstLine="567"/>
        <w:contextualSpacing/>
        <w:jc w:val="both"/>
      </w:pPr>
      <w:r w:rsidRPr="00B70A7B">
        <w:rPr>
          <w:rFonts w:eastAsia="Calibri"/>
          <w:color w:val="000000" w:themeColor="text1"/>
        </w:rPr>
        <w:t>Perkančioji organizacija numato įsigyti</w:t>
      </w:r>
      <w:r w:rsidR="00A90152" w:rsidRPr="00B70A7B">
        <w:rPr>
          <w:rFonts w:eastAsia="Calibri"/>
          <w:color w:val="000000" w:themeColor="text1"/>
        </w:rPr>
        <w:t xml:space="preserve"> </w:t>
      </w:r>
      <w:r w:rsidR="00A90152" w:rsidRPr="005C6F46">
        <w:t xml:space="preserve">Užimtumo tarnybos  informacinės sistemos UT IS priežiūros ir </w:t>
      </w:r>
      <w:r w:rsidR="00841593">
        <w:t>vystymo</w:t>
      </w:r>
      <w:r w:rsidR="00A90152" w:rsidRPr="005C6F46">
        <w:t xml:space="preserve"> paslaug</w:t>
      </w:r>
      <w:r w:rsidR="00A90152">
        <w:t xml:space="preserve">as. </w:t>
      </w:r>
      <w:r w:rsidR="00B70A7B" w:rsidRPr="00B70A7B">
        <w:t>Pirkimo apimtys, reikalavimai ir techninė specifikacija apibrėžti pirkimo sąlygų 2 priede „Techninė specifikacija“.</w:t>
      </w:r>
    </w:p>
    <w:p w14:paraId="7E99D4EF" w14:textId="61D0B744" w:rsidR="00327FB0" w:rsidRDefault="00B41C66" w:rsidP="00B70A7B">
      <w:pPr>
        <w:pStyle w:val="Betarp"/>
        <w:numPr>
          <w:ilvl w:val="1"/>
          <w:numId w:val="5"/>
        </w:numPr>
        <w:ind w:left="0" w:firstLine="567"/>
        <w:contextualSpacing/>
        <w:jc w:val="both"/>
        <w:rPr>
          <w:rStyle w:val="ui-provider"/>
        </w:rPr>
      </w:pPr>
      <w:r w:rsidRPr="00B70A7B">
        <w:rPr>
          <w:rFonts w:cstheme="minorHAnsi"/>
        </w:rPr>
        <w:t>Pirkimo objektas į dalis neskaidomas</w:t>
      </w:r>
      <w:r w:rsidR="00E4492D" w:rsidRPr="00B70A7B">
        <w:rPr>
          <w:rFonts w:cstheme="minorHAnsi"/>
        </w:rPr>
        <w:t>,</w:t>
      </w:r>
      <w:r w:rsidR="00327FB0">
        <w:rPr>
          <w:rStyle w:val="ui-provider"/>
        </w:rPr>
        <w:t xml:space="preserve"> nes išskaidžius pirkimo objektą, perkančiajai organizacijai dėl kelių Paslaugų teikėjų, vienu metu teikiančių </w:t>
      </w:r>
      <w:r w:rsidR="003F4F48">
        <w:rPr>
          <w:rStyle w:val="ui-provider"/>
        </w:rPr>
        <w:t>UT</w:t>
      </w:r>
      <w:r w:rsidR="00327FB0">
        <w:rPr>
          <w:rStyle w:val="ui-provider"/>
        </w:rPr>
        <w:t xml:space="preserve"> IS priežiūros ir/ar vystymo paslaugas ir turinčių veiklų priklausomybes, sistemos priežiūros ir vystymo darbų koordinavimas taptų ypač sudėtingu. Išskaidžius pirkimo objektą į dalis keli paslaugų teikėjai negalės užtikrinti nepertraukiamo </w:t>
      </w:r>
      <w:r w:rsidR="003F4F48">
        <w:rPr>
          <w:rStyle w:val="ui-provider"/>
        </w:rPr>
        <w:t>U</w:t>
      </w:r>
      <w:r w:rsidR="00ED3D76">
        <w:rPr>
          <w:rStyle w:val="ui-provider"/>
        </w:rPr>
        <w:t>T</w:t>
      </w:r>
      <w:r w:rsidR="00327FB0">
        <w:rPr>
          <w:rStyle w:val="ui-provider"/>
        </w:rPr>
        <w:t xml:space="preserve"> IS sistemos veikimo: iškiltų grėsmė duomenų ir programinės įrangos vientisumui, kadangi būtų nebeįmanoma užtikrinti pakeitimų valdymo, tinkamo kokybiško testavimo, skirtingų tiekėjų darbo koordinavimo, taikomų metodų ir procedūrų sinchronizavimo, keitimų paketų </w:t>
      </w:r>
      <w:proofErr w:type="spellStart"/>
      <w:r w:rsidR="00327FB0">
        <w:rPr>
          <w:rStyle w:val="ui-provider"/>
        </w:rPr>
        <w:t>versijavimui</w:t>
      </w:r>
      <w:proofErr w:type="spellEnd"/>
      <w:r w:rsidR="00327FB0">
        <w:rPr>
          <w:rStyle w:val="ui-provider"/>
        </w:rPr>
        <w:t>. Taip pat užtruktų klaidos sukėlėjo ir atsakomybės nustatymas už padarytą klaidą.</w:t>
      </w:r>
    </w:p>
    <w:p w14:paraId="0CA81FB8" w14:textId="30C38CE6" w:rsidR="00325243" w:rsidRPr="0028669F" w:rsidRDefault="00815D5F" w:rsidP="00B70A7B">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3.</w:t>
      </w:r>
      <w:r w:rsidR="0028669F">
        <w:rPr>
          <w:rFonts w:cstheme="minorHAnsi"/>
        </w:rPr>
        <w:tab/>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FF79F04" w:rsidR="00004521" w:rsidRDefault="00004521" w:rsidP="00DE7037">
      <w:pPr>
        <w:pStyle w:val="Sraopastraipa"/>
        <w:spacing w:after="0" w:line="240" w:lineRule="auto"/>
        <w:ind w:left="0" w:firstLine="567"/>
        <w:jc w:val="both"/>
        <w:rPr>
          <w:rFonts w:cstheme="minorHAnsi"/>
        </w:rPr>
      </w:pPr>
      <w:r>
        <w:rPr>
          <w:rFonts w:cstheme="minorHAnsi"/>
        </w:rPr>
        <w:t>2.</w:t>
      </w:r>
      <w:r w:rsidR="0028669F">
        <w:rPr>
          <w:rFonts w:cstheme="minorHAnsi"/>
        </w:rPr>
        <w:t>4</w:t>
      </w:r>
      <w:r>
        <w:rPr>
          <w:rFonts w:cstheme="minorHAnsi"/>
        </w:rPr>
        <w:t xml:space="preserve">. </w:t>
      </w:r>
      <w:r w:rsidR="0091011B">
        <w:rPr>
          <w:rFonts w:cstheme="minorHAnsi"/>
        </w:rPr>
        <w:tab/>
      </w: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A5C085F" w:rsidR="00B176FD" w:rsidRPr="00F0499F" w:rsidRDefault="00862DB8" w:rsidP="0028669F">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28669F">
        <w:rPr>
          <w:rFonts w:cstheme="minorHAnsi"/>
          <w:i/>
          <w:color w:val="FF0000"/>
        </w:rPr>
        <w:tab/>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99C2129" w:rsidR="002C5249" w:rsidRDefault="009D2F13" w:rsidP="127DD6E8">
      <w:pPr>
        <w:pStyle w:val="Sraopastraipa"/>
        <w:spacing w:after="120" w:line="20" w:lineRule="atLeast"/>
        <w:ind w:left="0" w:firstLine="567"/>
        <w:jc w:val="both"/>
      </w:pPr>
      <w:r w:rsidRPr="127DD6E8">
        <w:t xml:space="preserve">4.1. </w:t>
      </w:r>
      <w:r w:rsidR="0091011B">
        <w:tab/>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pašalinimo pagrindų nebuvimo bei jų nebuvimą patvirtinantys dokumentai nurodyti</w:t>
      </w:r>
      <w:r w:rsidR="006A737F" w:rsidRPr="00016FDD">
        <w:t xml:space="preserve">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D16DE2" w:rsidRPr="00D16DE2">
        <w:t>3</w:t>
      </w:r>
      <w:r w:rsidR="00984B02" w:rsidRPr="00D16DE2">
        <w:t xml:space="preserve"> </w:t>
      </w:r>
      <w:r w:rsidR="00984B02" w:rsidRPr="127DD6E8">
        <w:rPr>
          <w:color w:val="00B050"/>
        </w:rPr>
        <w:t xml:space="preserve"> </w:t>
      </w:r>
      <w:r w:rsidR="006773B6" w:rsidRPr="127DD6E8">
        <w:rPr>
          <w:rFonts w:eastAsia="Calibri"/>
        </w:rPr>
        <w:t>priede</w:t>
      </w:r>
      <w:r w:rsidR="00D16DE2">
        <w:t xml:space="preserve"> „Tiekėjų pašalinimo pagrindai“.</w:t>
      </w:r>
    </w:p>
    <w:p w14:paraId="1D5602B3" w14:textId="75B11CE3" w:rsidR="00085A24" w:rsidRPr="00085A24" w:rsidRDefault="00970624" w:rsidP="00085A24">
      <w:pPr>
        <w:pStyle w:val="Sraopastraipa"/>
        <w:tabs>
          <w:tab w:val="left" w:pos="851"/>
        </w:tabs>
        <w:spacing w:line="20" w:lineRule="atLeast"/>
        <w:ind w:left="0" w:firstLine="567"/>
        <w:jc w:val="both"/>
      </w:pPr>
      <w:r>
        <w:t>4.2.</w:t>
      </w:r>
      <w:r w:rsidR="00990E9B" w:rsidRPr="00016FDD">
        <w:t xml:space="preserve">  </w:t>
      </w:r>
      <w:r w:rsidR="0091011B">
        <w:tab/>
      </w:r>
      <w:r w:rsidR="00A6625B" w:rsidRPr="00085A24">
        <w:t>Tiekėjams nustatomi kvalifikacijos reikalavimai ir jų atitiktį patvirtinantys dokumentai nurodyti</w:t>
      </w:r>
      <w:r w:rsidR="00765189" w:rsidRPr="00085A24">
        <w:t xml:space="preserve"> p</w:t>
      </w:r>
      <w:r w:rsidR="00551FA7" w:rsidRPr="00085A24">
        <w:t xml:space="preserve">irkimo </w:t>
      </w:r>
      <w:r w:rsidR="00A6625B" w:rsidRPr="00085A24">
        <w:t xml:space="preserve">sąlygų </w:t>
      </w:r>
      <w:r w:rsidR="00D16DE2" w:rsidRPr="00085A24">
        <w:t>4</w:t>
      </w:r>
      <w:r w:rsidR="00A6625B" w:rsidRPr="00085A24">
        <w:t xml:space="preserve"> priede</w:t>
      </w:r>
      <w:r w:rsidR="00D16DE2" w:rsidRPr="00085A24">
        <w:t xml:space="preserve"> </w:t>
      </w:r>
      <w:r w:rsidR="00085A24" w:rsidRPr="00085A24">
        <w:t>„Tiekėjų kvalifikacijos reikalavimai ir reikalaujami kokybės bei aplinkos apsaugos vadybos sistemų standartai“</w:t>
      </w:r>
      <w:r w:rsidR="00085A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E27AB7C" w14:textId="77777777" w:rsidR="002362E5" w:rsidRPr="002A281E" w:rsidRDefault="002362E5" w:rsidP="002362E5">
      <w:pPr>
        <w:spacing w:after="0" w:line="240" w:lineRule="auto"/>
        <w:ind w:firstLine="567"/>
        <w:jc w:val="both"/>
        <w:rPr>
          <w:rFonts w:cstheme="minorHAnsi"/>
          <w:sz w:val="22"/>
          <w:szCs w:val="22"/>
        </w:rPr>
      </w:pPr>
      <w:r>
        <w:rPr>
          <w:rFonts w:cstheme="minorHAnsi"/>
          <w:color w:val="000000" w:themeColor="text1"/>
        </w:rPr>
        <w:t>5.1.</w:t>
      </w:r>
      <w:r w:rsidRPr="009E2FFD">
        <w:rPr>
          <w:rFonts w:cstheme="minorHAnsi"/>
          <w:sz w:val="22"/>
          <w:szCs w:val="22"/>
        </w:rPr>
        <w:t xml:space="preserve"> </w:t>
      </w:r>
      <w:r w:rsidRPr="001F441D">
        <w:rPr>
          <w:rFonts w:cstheme="minorHAnsi"/>
          <w:sz w:val="22"/>
          <w:szCs w:val="22"/>
        </w:rPr>
        <w:t>Perkančioji organizacija yra įrašyta į Saugiojo valstybinio duomenų perdavimo tinklo naudotojų sąrašą (toliau – Saugiojo tinklo naudotojų sąrašas), todėl atlikdama pirkimus, kurių objektas apima Viešųjų pirkimų įstatymo 92 straipsnio 13 dalyje numatytame sąraše nurodytų BVPŽ kodų prekes ar paslaugas, taiko su nacionaliniu saugumu susijusius reikalavimus, kaip nurodyta VPĮ 37 straipsnio 9 dalyje ir 47 straipsnio 9 dalyje.</w:t>
      </w:r>
    </w:p>
    <w:p w14:paraId="4AD80611" w14:textId="70BEFA42" w:rsidR="003331AA" w:rsidRPr="00602C17" w:rsidRDefault="002362E5" w:rsidP="003331AA">
      <w:pPr>
        <w:tabs>
          <w:tab w:val="left" w:pos="1276"/>
        </w:tabs>
        <w:spacing w:after="0" w:line="240" w:lineRule="auto"/>
        <w:ind w:firstLine="567"/>
        <w:jc w:val="both"/>
        <w:rPr>
          <w:rFonts w:cstheme="minorHAnsi"/>
          <w:color w:val="000000" w:themeColor="text1"/>
        </w:rPr>
      </w:pPr>
      <w:r>
        <w:rPr>
          <w:rFonts w:cstheme="minorHAnsi"/>
          <w:color w:val="000000" w:themeColor="text1"/>
        </w:rPr>
        <w:t xml:space="preserve"> 5.2. </w:t>
      </w:r>
      <w:r w:rsidR="003331AA" w:rsidRPr="008A759C">
        <w:rPr>
          <w:rFonts w:cstheme="minorHAnsi"/>
        </w:rPr>
        <w:t xml:space="preserve">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Reglamentu </w:t>
      </w:r>
      <w:r w:rsidR="003331AA" w:rsidRPr="00602C17">
        <w:rPr>
          <w:rFonts w:cstheme="minorHAnsi"/>
          <w:color w:val="000000" w:themeColor="text1"/>
        </w:rPr>
        <w:t xml:space="preserve">numatoma, kad </w:t>
      </w:r>
      <w:r w:rsidR="003331AA" w:rsidRPr="00602C17">
        <w:rPr>
          <w:rFonts w:cstheme="minorHAnsi"/>
          <w:b/>
          <w:bCs/>
          <w:color w:val="000000" w:themeColor="text1"/>
        </w:rPr>
        <w:t>draudžiama s</w:t>
      </w:r>
      <w:r w:rsidR="003331AA">
        <w:rPr>
          <w:rFonts w:cstheme="minorHAnsi"/>
          <w:b/>
          <w:bCs/>
          <w:color w:val="000000" w:themeColor="text1"/>
        </w:rPr>
        <w:t>udaryti</w:t>
      </w:r>
      <w:r w:rsidR="003331AA" w:rsidRPr="00602C17">
        <w:rPr>
          <w:rFonts w:cstheme="minorHAnsi"/>
          <w:color w:val="000000" w:themeColor="text1"/>
        </w:rPr>
        <w:t xml:space="preserve"> ar toliau vykdyti visas </w:t>
      </w:r>
      <w:r w:rsidR="003331AA" w:rsidRPr="00602C17">
        <w:rPr>
          <w:rFonts w:cstheme="minorHAnsi"/>
          <w:b/>
          <w:bCs/>
          <w:color w:val="000000" w:themeColor="text1"/>
        </w:rPr>
        <w:t>viešąsias sutartis</w:t>
      </w:r>
      <w:r w:rsidR="003331AA" w:rsidRPr="00602C17">
        <w:rPr>
          <w:rFonts w:cstheme="minorHAnsi"/>
          <w:color w:val="000000" w:themeColor="text1"/>
        </w:rPr>
        <w:t xml:space="preserve"> su:</w:t>
      </w:r>
    </w:p>
    <w:p w14:paraId="5C6D912B" w14:textId="77777777" w:rsidR="003331AA" w:rsidRPr="00602C17" w:rsidRDefault="003331AA" w:rsidP="003331AA">
      <w:pPr>
        <w:spacing w:after="0" w:line="240" w:lineRule="auto"/>
        <w:ind w:firstLine="567"/>
        <w:jc w:val="both"/>
        <w:rPr>
          <w:rFonts w:cstheme="minorHAnsi"/>
          <w:color w:val="000000" w:themeColor="text1"/>
        </w:rPr>
      </w:pPr>
      <w:r w:rsidRPr="00602C17">
        <w:rPr>
          <w:rFonts w:cstheme="minorHAnsi"/>
          <w:color w:val="000000" w:themeColor="text1"/>
        </w:rPr>
        <w:t>a) Rusijos piliečiu, fiziniu ar juridiniu asmeniu, subjektu ar organizacija, įsisteigusiais Rusijoje;</w:t>
      </w:r>
    </w:p>
    <w:p w14:paraId="7266F409" w14:textId="77777777" w:rsidR="003331AA" w:rsidRPr="00602C17" w:rsidRDefault="003331AA" w:rsidP="003331AA">
      <w:pPr>
        <w:spacing w:after="0" w:line="240" w:lineRule="auto"/>
        <w:ind w:firstLine="567"/>
        <w:jc w:val="both"/>
        <w:rPr>
          <w:rFonts w:cstheme="minorHAnsi"/>
          <w:color w:val="000000" w:themeColor="text1"/>
        </w:rPr>
      </w:pPr>
      <w:r w:rsidRPr="00602C17">
        <w:rPr>
          <w:rFonts w:cstheme="minorHAnsi"/>
          <w:color w:val="000000" w:themeColor="text1"/>
        </w:rPr>
        <w:t>b) juridiniu asmeniu, subjektu ar organizacija, kuriuose 50 % ar daugiau nuosavybės teisių tiesiogiai ar netiesiogiai priklauso šios dalies a punkte nurodytam subjektui, arba</w:t>
      </w:r>
    </w:p>
    <w:p w14:paraId="72AD002B" w14:textId="77777777" w:rsidR="003331AA" w:rsidRPr="00DC4E1A" w:rsidRDefault="003331AA" w:rsidP="003331AA">
      <w:pPr>
        <w:spacing w:after="0" w:line="240" w:lineRule="auto"/>
        <w:ind w:firstLine="567"/>
        <w:jc w:val="both"/>
        <w:rPr>
          <w:rFonts w:cstheme="minorHAnsi"/>
          <w:color w:val="000000" w:themeColor="text1"/>
        </w:rPr>
      </w:pPr>
      <w:r w:rsidRPr="00602C17">
        <w:rPr>
          <w:rFonts w:cstheme="minorHAnsi"/>
          <w:color w:val="000000" w:themeColor="text1"/>
        </w:rPr>
        <w:t>c) fiziniu ar juridiniu asmeniu, subjektu ar organizacija, veikiančiais a arba b punkte nurodyto subjekto vardu ar jo nurodymu,</w:t>
      </w:r>
      <w:r>
        <w:rPr>
          <w:rFonts w:cstheme="minorHAnsi"/>
          <w:color w:val="000000" w:themeColor="text1"/>
        </w:rPr>
        <w:t xml:space="preserve"> </w:t>
      </w:r>
      <w:r w:rsidRPr="00602C17">
        <w:rPr>
          <w:rFonts w:cstheme="minorHAnsi"/>
          <w:color w:val="000000" w:themeColor="text1"/>
        </w:rPr>
        <w:t>be kita ko, tais atvejais, kai jiems tenka daugiau kaip 10 % sutarties vertės, su subrangovais, tiekėjais ar subjektais, kurių pajėgumais remiamasi</w:t>
      </w:r>
      <w:r>
        <w:rPr>
          <w:rFonts w:cstheme="minorHAnsi"/>
          <w:color w:val="000000" w:themeColor="text1"/>
        </w:rPr>
        <w:t>.</w:t>
      </w:r>
      <w:r w:rsidRPr="00602C17">
        <w:rPr>
          <w:rFonts w:cstheme="minorHAnsi"/>
          <w:color w:val="000000" w:themeColor="text1"/>
        </w:rPr>
        <w:t xml:space="preserve"> </w:t>
      </w:r>
    </w:p>
    <w:p w14:paraId="62EA9108" w14:textId="5858DF42" w:rsidR="002362E5" w:rsidRDefault="00A301BD" w:rsidP="002362E5">
      <w:pPr>
        <w:spacing w:after="0" w:line="240" w:lineRule="auto"/>
        <w:ind w:firstLine="567"/>
        <w:jc w:val="both"/>
        <w:rPr>
          <w:rFonts w:cstheme="minorHAnsi"/>
          <w:color w:val="000000" w:themeColor="text1"/>
        </w:rPr>
      </w:pPr>
      <w:r>
        <w:rPr>
          <w:rFonts w:cstheme="minorHAnsi"/>
          <w:color w:val="000000" w:themeColor="text1"/>
        </w:rPr>
        <w:t>5.3.</w:t>
      </w:r>
      <w:r>
        <w:rPr>
          <w:rFonts w:cstheme="minorHAnsi"/>
          <w:color w:val="000000" w:themeColor="text1"/>
        </w:rPr>
        <w:tab/>
      </w:r>
      <w:r w:rsidRPr="00B03AE0">
        <w:rPr>
          <w:rFonts w:cstheme="minorHAnsi"/>
          <w:color w:val="000000" w:themeColor="text1"/>
        </w:rPr>
        <w:t>Kartu su pasiūlymu tiekėjas</w:t>
      </w:r>
      <w:r>
        <w:rPr>
          <w:rFonts w:cstheme="minorHAnsi"/>
          <w:color w:val="000000" w:themeColor="text1"/>
        </w:rPr>
        <w:t xml:space="preserve"> ir subtiekėjai taip pat ūkio subjektai, kurių pajėgumais remiamasi (išskyrus </w:t>
      </w:r>
      <w:proofErr w:type="spellStart"/>
      <w:r>
        <w:rPr>
          <w:rFonts w:cstheme="minorHAnsi"/>
          <w:color w:val="000000" w:themeColor="text1"/>
        </w:rPr>
        <w:t>kvazisubtiekėjus</w:t>
      </w:r>
      <w:proofErr w:type="spellEnd"/>
      <w:r>
        <w:rPr>
          <w:rFonts w:cstheme="minorHAnsi"/>
          <w:color w:val="000000" w:themeColor="text1"/>
        </w:rPr>
        <w:t>)</w:t>
      </w:r>
      <w:r w:rsidRPr="00B03AE0">
        <w:rPr>
          <w:rFonts w:cstheme="minorHAnsi"/>
          <w:color w:val="000000" w:themeColor="text1"/>
        </w:rPr>
        <w:t xml:space="preserve"> turi pateikti užpildytą deklaraciją dėl (ne)atitikties Reglamento nuostatoms, kuri pateikta pirkimo sąlygų 8 priede</w:t>
      </w:r>
      <w:r>
        <w:rPr>
          <w:rFonts w:cstheme="minorHAnsi"/>
          <w:color w:val="000000" w:themeColor="text1"/>
        </w:rPr>
        <w:t xml:space="preserve"> „</w:t>
      </w:r>
      <w:r w:rsidRPr="00270FF7">
        <w:rPr>
          <w:rFonts w:cstheme="minorHAnsi"/>
          <w:color w:val="000000" w:themeColor="text1"/>
        </w:rPr>
        <w:t>Tiekėjo/subtiekėjo deklaracija dėl atitikties Reglamento nuostatoms</w:t>
      </w:r>
      <w:r>
        <w:rPr>
          <w:rFonts w:cstheme="minorHAnsi"/>
          <w:color w:val="000000" w:themeColor="text1"/>
        </w:rPr>
        <w:t>“.</w:t>
      </w:r>
    </w:p>
    <w:p w14:paraId="042CBD08" w14:textId="77777777" w:rsidR="00D522D8" w:rsidRPr="00D72252" w:rsidRDefault="00D522D8" w:rsidP="00D522D8">
      <w:pPr>
        <w:spacing w:after="0" w:line="240" w:lineRule="auto"/>
        <w:ind w:firstLine="567"/>
        <w:jc w:val="both"/>
        <w:rPr>
          <w:rFonts w:cstheme="minorHAnsi"/>
          <w:color w:val="000000" w:themeColor="text1"/>
        </w:rPr>
      </w:pPr>
      <w:r>
        <w:rPr>
          <w:rFonts w:cstheme="minorHAnsi"/>
          <w:color w:val="000000" w:themeColor="text1"/>
        </w:rPr>
        <w:t>5.4.</w:t>
      </w:r>
      <w:r>
        <w:rPr>
          <w:rFonts w:cstheme="minorHAnsi"/>
          <w:color w:val="000000" w:themeColor="text1"/>
        </w:rPr>
        <w:tab/>
        <w:t>Pirkimo vykdymo metu, k</w:t>
      </w:r>
      <w:r w:rsidRPr="00B03AE0">
        <w:rPr>
          <w:rFonts w:cstheme="minorHAnsi"/>
          <w:color w:val="000000" w:themeColor="text1"/>
        </w:rPr>
        <w:t xml:space="preserve">ilus abejonių dėl tiekėjo (ne)atitikties Reglamento nuostatoms, perkančioji organizacija iš galimo laimėtojo </w:t>
      </w:r>
      <w:r>
        <w:rPr>
          <w:rFonts w:cstheme="minorHAnsi"/>
          <w:color w:val="000000" w:themeColor="text1"/>
        </w:rPr>
        <w:t xml:space="preserve">( esant poreikiui ir iš kitų tiekėjų) </w:t>
      </w:r>
      <w:r w:rsidRPr="00B03AE0">
        <w:rPr>
          <w:rFonts w:cstheme="minorHAnsi"/>
          <w:color w:val="000000" w:themeColor="text1"/>
        </w:rPr>
        <w:t>prašys pateikti dokumentus, įrodančius deklaracijoje pateiktų duomenų teisingumą</w:t>
      </w:r>
      <w:r>
        <w:rPr>
          <w:rFonts w:cstheme="minorHAnsi"/>
          <w:color w:val="000000" w:themeColor="text1"/>
        </w:rPr>
        <w:t xml:space="preserve">: </w:t>
      </w:r>
      <w:r>
        <w:rPr>
          <w:szCs w:val="24"/>
        </w:rPr>
        <w:t xml:space="preserve">juridinio asmens vadovo </w:t>
      </w:r>
      <w:r>
        <w:rPr>
          <w:bCs/>
          <w:szCs w:val="24"/>
        </w:rPr>
        <w:t>patvirtintą</w:t>
      </w:r>
      <w:r>
        <w:rPr>
          <w:szCs w:val="24"/>
        </w:rPr>
        <w:t xml:space="preserve"> juridinio asmens steigimo dokumentų </w:t>
      </w:r>
      <w:r>
        <w:rPr>
          <w:bCs/>
          <w:szCs w:val="24"/>
        </w:rPr>
        <w:t>kopiją</w:t>
      </w:r>
      <w:r>
        <w:rPr>
          <w:szCs w:val="24"/>
        </w:rPr>
        <w:t xml:space="preserve">, Juridinių asmenų registro išplėstinį išrašą su istorija, </w:t>
      </w:r>
      <w:r>
        <w:rPr>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Pr>
          <w:szCs w:val="24"/>
        </w:rPr>
        <w:t xml:space="preserve">arba </w:t>
      </w:r>
      <w:r>
        <w:rPr>
          <w:bCs/>
          <w:szCs w:val="24"/>
        </w:rPr>
        <w:t xml:space="preserve">atitinkamus </w:t>
      </w:r>
      <w:r>
        <w:rPr>
          <w:szCs w:val="24"/>
        </w:rPr>
        <w:t xml:space="preserve">valstybės narės ar trečiosios šalies </w:t>
      </w:r>
      <w:r>
        <w:rPr>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Pr>
          <w:szCs w:val="24"/>
        </w:rPr>
        <w:t xml:space="preserve"> </w:t>
      </w:r>
    </w:p>
    <w:p w14:paraId="5BCAC9B4" w14:textId="2300AFC3" w:rsidR="002362E5" w:rsidRPr="007872CB" w:rsidRDefault="002362E5" w:rsidP="002362E5">
      <w:pPr>
        <w:spacing w:after="0" w:line="240" w:lineRule="auto"/>
        <w:ind w:firstLine="567"/>
        <w:jc w:val="both"/>
        <w:rPr>
          <w:rFonts w:cstheme="minorHAnsi"/>
          <w:color w:val="000000" w:themeColor="text1"/>
        </w:rPr>
      </w:pPr>
      <w:r>
        <w:rPr>
          <w:rFonts w:cstheme="minorHAnsi"/>
          <w:color w:val="000000" w:themeColor="text1"/>
        </w:rPr>
        <w:t>5.</w:t>
      </w:r>
      <w:r w:rsidR="0050087A">
        <w:rPr>
          <w:rFonts w:cstheme="minorHAnsi"/>
          <w:color w:val="000000" w:themeColor="text1"/>
        </w:rPr>
        <w:t>5</w:t>
      </w:r>
      <w:r>
        <w:rPr>
          <w:rFonts w:cstheme="minorHAnsi"/>
          <w:color w:val="000000" w:themeColor="text1"/>
        </w:rPr>
        <w:t xml:space="preserve">. </w:t>
      </w:r>
      <w:r w:rsidR="00957153">
        <w:rPr>
          <w:rFonts w:cstheme="minorHAnsi"/>
          <w:color w:val="000000" w:themeColor="text1"/>
        </w:rPr>
        <w:tab/>
      </w:r>
      <w:r>
        <w:rPr>
          <w:rFonts w:cstheme="minorHAnsi"/>
          <w:color w:val="000000" w:themeColor="text1"/>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DA8EA84" w14:textId="50352CB3" w:rsidR="002362E5" w:rsidRPr="00B81936" w:rsidRDefault="00957153" w:rsidP="002362E5">
      <w:pPr>
        <w:pStyle w:val="Sraopastraipa"/>
        <w:spacing w:after="0" w:line="240" w:lineRule="auto"/>
        <w:ind w:left="0" w:firstLine="567"/>
        <w:jc w:val="both"/>
      </w:pPr>
      <w:r>
        <w:t>5.6.</w:t>
      </w:r>
      <w:r>
        <w:tab/>
      </w:r>
      <w:r w:rsidR="002362E5" w:rsidRPr="00B81936">
        <w:t xml:space="preserve">Perkančioji organizacija, </w:t>
      </w:r>
      <w:r w:rsidR="002362E5" w:rsidRPr="004D6435">
        <w:t xml:space="preserve">įvertinusi visus galinčius kelti grėsmę nacionalinio saugumo interesams rizikos veiksnius numato, kad šiame </w:t>
      </w:r>
      <w:r w:rsidR="002362E5" w:rsidRPr="004D6435">
        <w:rPr>
          <w:color w:val="000000" w:themeColor="text1"/>
        </w:rPr>
        <w:t xml:space="preserve">pirkime gali dalyvauti </w:t>
      </w:r>
      <w:r w:rsidR="002362E5" w:rsidRPr="004D6435">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w:t>
      </w:r>
      <w:r w:rsidR="002362E5" w:rsidRPr="004D6435">
        <w:lastRenderedPageBreak/>
        <w:t>organizacijos valstybėje narėje ar trečiojoje šalyje, pasirašiusioje VPĮ 17 straipsnio 4 dalyje nurodytus tarptautinius susitarimus.</w:t>
      </w:r>
    </w:p>
    <w:p w14:paraId="2439818D" w14:textId="03EFD688" w:rsidR="002362E5" w:rsidRPr="0062125A" w:rsidRDefault="002362E5" w:rsidP="002362E5">
      <w:pPr>
        <w:pStyle w:val="Sraopastraipa"/>
        <w:spacing w:after="0" w:line="240" w:lineRule="auto"/>
        <w:ind w:left="0" w:firstLine="567"/>
        <w:jc w:val="both"/>
        <w:rPr>
          <w:rFonts w:cstheme="minorHAnsi"/>
        </w:rPr>
      </w:pPr>
      <w:r>
        <w:t>5</w:t>
      </w:r>
      <w:r w:rsidRPr="00B669F2">
        <w:t>.</w:t>
      </w:r>
      <w:r w:rsidR="00B27D91">
        <w:t>7</w:t>
      </w:r>
      <w:r w:rsidRPr="00B669F2">
        <w:t>.</w:t>
      </w:r>
      <w:r>
        <w:t xml:space="preserve"> </w:t>
      </w:r>
      <w:r w:rsidR="00B27D91">
        <w:tab/>
      </w:r>
      <w:r w:rsidRPr="00454F45">
        <w:t>Perkančioji organizacija</w:t>
      </w:r>
      <w:r>
        <w:t xml:space="preserve"> laiko, kad </w:t>
      </w:r>
      <w:r w:rsidRPr="00E7043E">
        <w:rPr>
          <w:color w:val="000000"/>
          <w:shd w:val="clear" w:color="auto" w:fill="FFFFFF"/>
        </w:rPr>
        <w:t>pirkimo objektas kelia grėsmę nacionaliniam saugumui</w:t>
      </w:r>
      <w:r>
        <w:t xml:space="preserve">, jei jis atitinka VPĮ 37 straipsnio 9 dalies 1 ir (ar) 2 punkte numatytas sąlygas. </w:t>
      </w:r>
      <w:r w:rsidRPr="00454F45">
        <w:rPr>
          <w:rFonts w:eastAsia="Times New Roman"/>
          <w:color w:val="000000" w:themeColor="text1"/>
          <w:lang w:eastAsia="en-US"/>
        </w:rPr>
        <w:t xml:space="preserve">Tiekėjai kartu su pasiūlymu turi pateikti </w:t>
      </w:r>
      <w:r>
        <w:rPr>
          <w:rFonts w:eastAsia="Times New Roman"/>
          <w:color w:val="000000" w:themeColor="text1"/>
          <w:lang w:eastAsia="en-US"/>
        </w:rPr>
        <w:t xml:space="preserve">Viešųjų pirkimų tarnybos nustatytos </w:t>
      </w:r>
      <w:r w:rsidRPr="00676607">
        <w:rPr>
          <w:rFonts w:eastAsia="Times New Roman"/>
          <w:color w:val="000000" w:themeColor="text1"/>
          <w:lang w:eastAsia="en-US"/>
        </w:rPr>
        <w:t>formos atitikties deklaraciją</w:t>
      </w:r>
      <w:r>
        <w:rPr>
          <w:rFonts w:eastAsia="Times New Roman"/>
          <w:color w:val="000000" w:themeColor="text1"/>
          <w:lang w:eastAsia="en-US"/>
        </w:rPr>
        <w:t xml:space="preserve">, kuri pateikta pirkimo sąlygų </w:t>
      </w:r>
      <w:r w:rsidR="00E558A3">
        <w:rPr>
          <w:rFonts w:eastAsia="Times New Roman"/>
          <w:color w:val="000000" w:themeColor="text1"/>
          <w:lang w:eastAsia="en-US"/>
        </w:rPr>
        <w:t>9</w:t>
      </w:r>
      <w:r>
        <w:rPr>
          <w:rFonts w:eastAsia="Times New Roman"/>
          <w:color w:val="000000" w:themeColor="text1"/>
          <w:lang w:eastAsia="en-US"/>
        </w:rPr>
        <w:t xml:space="preserve"> priede. Perkančioji organizacija </w:t>
      </w:r>
      <w:r w:rsidRPr="007B2D72">
        <w:rPr>
          <w:rFonts w:eastAsia="Times New Roman"/>
          <w:b/>
          <w:bCs/>
          <w:color w:val="000000" w:themeColor="text1"/>
          <w:lang w:eastAsia="en-US"/>
        </w:rPr>
        <w:t xml:space="preserve">iš ekonomiškai naudingiausią pasiūlymą </w:t>
      </w:r>
      <w:r w:rsidRPr="00265C78">
        <w:rPr>
          <w:rFonts w:eastAsia="Times New Roman"/>
          <w:color w:val="000000" w:themeColor="text1"/>
          <w:lang w:eastAsia="en-US"/>
        </w:rPr>
        <w:t>pateikusio tiekėjo reikalaus pateikti vieną</w:t>
      </w:r>
      <w:r>
        <w:rPr>
          <w:rFonts w:eastAsia="Times New Roman"/>
          <w:color w:val="000000" w:themeColor="text1"/>
          <w:lang w:eastAsia="en-US"/>
        </w:rPr>
        <w:t xml:space="preserve"> (esant poreikiui – kelis) VPĮ 39 straipsnio 3 dalyje numatytą dokumentą. Perkančioji organizacija bet kuriuo pirkimo procedūros metu turi teisę pareikalauti dalyvių pateikti visus ar dalį dokumentų, nurodytų VPĮ 39 straipsnio 3 dalyje.</w:t>
      </w:r>
    </w:p>
    <w:p w14:paraId="4D2BCF85" w14:textId="77777777" w:rsidR="002362E5" w:rsidRDefault="002362E5" w:rsidP="00B27D91">
      <w:pPr>
        <w:spacing w:after="0" w:line="240" w:lineRule="auto"/>
        <w:ind w:firstLine="567"/>
        <w:jc w:val="both"/>
        <w:rPr>
          <w:i/>
          <w:iCs/>
          <w:color w:val="7030A0"/>
          <w:szCs w:val="24"/>
        </w:rPr>
      </w:pPr>
      <w:r w:rsidRPr="00F555C4">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i/>
          <w:iCs/>
          <w:color w:val="7030A0"/>
          <w:szCs w:val="24"/>
        </w:rPr>
        <w:t>.</w:t>
      </w:r>
    </w:p>
    <w:p w14:paraId="24C4FE3B" w14:textId="457588BB" w:rsidR="002362E5" w:rsidRPr="008B6967" w:rsidRDefault="002362E5" w:rsidP="002362E5">
      <w:pPr>
        <w:spacing w:after="0" w:line="240" w:lineRule="auto"/>
        <w:ind w:firstLine="567"/>
        <w:jc w:val="both"/>
        <w:rPr>
          <w:szCs w:val="24"/>
        </w:rPr>
      </w:pPr>
      <w:r w:rsidRPr="00D24970">
        <w:rPr>
          <w:szCs w:val="24"/>
        </w:rPr>
        <w:t>5.</w:t>
      </w:r>
      <w:r w:rsidR="00B27D91">
        <w:rPr>
          <w:szCs w:val="24"/>
        </w:rPr>
        <w:t>8</w:t>
      </w:r>
      <w:r w:rsidRPr="00D24970">
        <w:rPr>
          <w:szCs w:val="24"/>
        </w:rPr>
        <w:t>.</w:t>
      </w:r>
      <w:r>
        <w:rPr>
          <w:szCs w:val="24"/>
        </w:rPr>
        <w:t xml:space="preserve"> </w:t>
      </w:r>
      <w:r w:rsidR="00B27D91">
        <w:rPr>
          <w:szCs w:val="24"/>
        </w:rPr>
        <w:tab/>
      </w:r>
      <w:r w:rsidRPr="00454F45">
        <w:t>Perkančioji organizacija</w:t>
      </w:r>
      <w:r>
        <w:t xml:space="preserve"> </w:t>
      </w:r>
      <w:r>
        <w:rPr>
          <w:color w:val="000000"/>
          <w:shd w:val="clear" w:color="auto" w:fill="FFFFFF"/>
        </w:rPr>
        <w:t xml:space="preserve">laiko, </w:t>
      </w:r>
      <w:r w:rsidRPr="00E941C9">
        <w:rPr>
          <w:color w:val="000000"/>
          <w:shd w:val="clear" w:color="auto" w:fill="FFFFFF"/>
        </w:rPr>
        <w:t>kad tiekėjas turi interesų, galinčių kelti grėsmę nacionaliniam saugumui</w:t>
      </w:r>
      <w:r w:rsidRPr="00E941C9">
        <w:t>, jei jis</w:t>
      </w:r>
      <w:r>
        <w:t xml:space="preserve">, </w:t>
      </w:r>
      <w:r>
        <w:rPr>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Pr>
          <w:rFonts w:eastAsia="Times New Roman"/>
          <w:color w:val="000000" w:themeColor="text1"/>
          <w:lang w:eastAsia="en-US"/>
        </w:rPr>
        <w:t xml:space="preserve">Viešųjų pirkimų tarnybos nustatytos </w:t>
      </w:r>
      <w:r w:rsidRPr="00676607">
        <w:rPr>
          <w:rFonts w:eastAsia="Times New Roman"/>
          <w:color w:val="000000" w:themeColor="text1"/>
          <w:lang w:eastAsia="en-US"/>
        </w:rPr>
        <w:t>formos atitikties deklaraciją</w:t>
      </w:r>
      <w:r>
        <w:rPr>
          <w:rFonts w:eastAsia="Times New Roman"/>
          <w:color w:val="000000" w:themeColor="text1"/>
          <w:lang w:eastAsia="en-US"/>
        </w:rPr>
        <w:t>, kuri pateikta</w:t>
      </w:r>
      <w:r w:rsidRPr="00B20F2B">
        <w:rPr>
          <w:rFonts w:eastAsia="Times New Roman"/>
          <w:color w:val="000000" w:themeColor="text1"/>
          <w:lang w:eastAsia="en-US"/>
        </w:rPr>
        <w:t xml:space="preserve"> pirkimo sąlygų </w:t>
      </w:r>
      <w:r w:rsidR="00B20F2B" w:rsidRPr="00B20F2B">
        <w:rPr>
          <w:rFonts w:eastAsia="Times New Roman"/>
          <w:color w:val="000000" w:themeColor="text1"/>
          <w:lang w:eastAsia="en-US"/>
        </w:rPr>
        <w:t>9</w:t>
      </w:r>
      <w:r w:rsidRPr="00B20F2B">
        <w:rPr>
          <w:rFonts w:eastAsia="Times New Roman"/>
          <w:color w:val="000000" w:themeColor="text1"/>
          <w:lang w:eastAsia="en-US"/>
        </w:rPr>
        <w:t xml:space="preserve"> priede.  Perkančioji</w:t>
      </w:r>
      <w:r>
        <w:rPr>
          <w:rFonts w:eastAsia="Times New Roman"/>
          <w:color w:val="000000" w:themeColor="text1"/>
          <w:lang w:eastAsia="en-US"/>
        </w:rPr>
        <w:t xml:space="preserve"> organizacija </w:t>
      </w:r>
      <w:r w:rsidRPr="007B2D72">
        <w:rPr>
          <w:rFonts w:eastAsia="Times New Roman"/>
          <w:b/>
          <w:bCs/>
          <w:color w:val="000000" w:themeColor="text1"/>
          <w:lang w:eastAsia="en-US"/>
        </w:rPr>
        <w:t xml:space="preserve">iš ekonomiškai naudingiausią pasiūlymą </w:t>
      </w:r>
      <w:r>
        <w:rPr>
          <w:rFonts w:eastAsia="Times New Roman"/>
          <w:color w:val="000000" w:themeColor="text1"/>
          <w:lang w:eastAsia="en-US"/>
        </w:rPr>
        <w:t xml:space="preserve">pateikusio tiekėjo reikalaus pateikti vieną (esant poreikiui – kelis) VPĮ 51 straipsnio 12 dalyje numatytą dokumentą. </w:t>
      </w:r>
    </w:p>
    <w:p w14:paraId="3459D9E7" w14:textId="77777777" w:rsidR="002362E5" w:rsidRDefault="002362E5" w:rsidP="002362E5">
      <w:pPr>
        <w:spacing w:after="0" w:line="240" w:lineRule="auto"/>
        <w:ind w:firstLine="567"/>
        <w:jc w:val="both"/>
        <w:rPr>
          <w:i/>
          <w:iCs/>
          <w:shd w:val="clear" w:color="auto" w:fill="FFFFFF"/>
        </w:rPr>
      </w:pPr>
      <w:r w:rsidRPr="0002541F">
        <w:rPr>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03E161C" w14:textId="65CED3B4" w:rsidR="00861486" w:rsidRPr="00861486" w:rsidRDefault="00861486" w:rsidP="00861486">
      <w:pPr>
        <w:spacing w:after="0" w:line="240" w:lineRule="auto"/>
        <w:ind w:firstLine="567"/>
        <w:jc w:val="both"/>
        <w:rPr>
          <w:shd w:val="clear" w:color="auto" w:fill="FFFFFF"/>
        </w:rPr>
      </w:pPr>
      <w:r w:rsidRPr="00861486">
        <w:rPr>
          <w:shd w:val="clear" w:color="auto" w:fill="FFFFFF"/>
        </w:rPr>
        <w:t>5.</w:t>
      </w:r>
      <w:r w:rsidR="00677675" w:rsidRPr="00B174B7">
        <w:rPr>
          <w:shd w:val="clear" w:color="auto" w:fill="FFFFFF"/>
        </w:rPr>
        <w:t>9</w:t>
      </w:r>
      <w:r w:rsidRPr="00861486">
        <w:rPr>
          <w:shd w:val="clear" w:color="auto" w:fill="FFFFFF"/>
        </w:rPr>
        <w:t>.</w:t>
      </w:r>
      <w:r w:rsidRPr="00861486">
        <w:rPr>
          <w:bCs/>
          <w:shd w:val="clear" w:color="auto" w:fill="FFFFFF"/>
        </w:rPr>
        <w:t xml:space="preserve"> Pirkimo sąlygų </w:t>
      </w:r>
      <w:r w:rsidRPr="00861486">
        <w:rPr>
          <w:shd w:val="clear" w:color="auto" w:fill="FFFFFF"/>
        </w:rPr>
        <w:t>5.</w:t>
      </w:r>
      <w:r w:rsidR="00D31062" w:rsidRPr="00B174B7">
        <w:rPr>
          <w:shd w:val="clear" w:color="auto" w:fill="FFFFFF"/>
        </w:rPr>
        <w:t>6</w:t>
      </w:r>
      <w:r w:rsidRPr="00861486">
        <w:rPr>
          <w:shd w:val="clear" w:color="auto" w:fill="FFFFFF"/>
        </w:rPr>
        <w:t>. – 5.</w:t>
      </w:r>
      <w:r w:rsidR="00D31062" w:rsidRPr="00B174B7">
        <w:rPr>
          <w:shd w:val="clear" w:color="auto" w:fill="FFFFFF"/>
        </w:rPr>
        <w:t>8</w:t>
      </w:r>
      <w:r w:rsidRPr="00861486">
        <w:rPr>
          <w:shd w:val="clear" w:color="auto" w:fill="FFFFFF"/>
        </w:rPr>
        <w:t xml:space="preserve">. punktuose nustatytus reikalavimus dėl atitikties nacionalinio saugumo reikalavimams turi atitikti </w:t>
      </w:r>
      <w:r w:rsidRPr="00861486">
        <w:rPr>
          <w:bCs/>
          <w:shd w:val="clear" w:color="auto" w:fill="FFFFFF"/>
        </w:rPr>
        <w:t>kiekvienas tiekėjų grupės narys, kiekvienas subtiekėjas ir kitas ūkio subjektas, kurio pajėgumais remiasi tiekėjas, bei juos kontroliuojantys asmenys. Perkančioji organizacija nustačiusi, kad tiekėjo pasitelktas subtiekėjas ar ūkio subjektas, kurio pajėgumais remiamasi, neatitinka nustatytų reikalavimų (t. y. kelia grėsmę nacionaliniam saugumui), reikalaus tiekėjo juos pakeisti kitais, pirkimo sąlygų reikalavimus atitinkančiais, subjektais.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4E430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32CFC67" w:rsidR="00FF12F1" w:rsidRPr="00CA64E1" w:rsidRDefault="003F0DA7" w:rsidP="004E4308">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p</w:t>
      </w:r>
      <w:r w:rsidR="00551FA7" w:rsidRPr="006944F4">
        <w:t>irkimo</w:t>
      </w:r>
      <w:r w:rsidR="00551FA7" w:rsidRPr="127DD6E8">
        <w:t xml:space="preserve"> </w:t>
      </w:r>
      <w:r w:rsidR="00476F8C" w:rsidRPr="127DD6E8">
        <w:t>sąlygų</w:t>
      </w:r>
      <w:r w:rsidR="007B1D39">
        <w:t xml:space="preserve"> 6</w:t>
      </w:r>
      <w:r w:rsidR="00DE5F20" w:rsidRPr="127DD6E8">
        <w:t xml:space="preserve"> </w:t>
      </w:r>
      <w:r w:rsidR="00476F8C" w:rsidRPr="127DD6E8">
        <w:t>priede</w:t>
      </w:r>
      <w:r w:rsidR="007B1D39">
        <w:t xml:space="preserve"> </w:t>
      </w:r>
      <w:r w:rsidRPr="127DD6E8">
        <w:t xml:space="preserve">pateiktą </w:t>
      </w:r>
      <w:r w:rsidR="00C35C26">
        <w:t>p</w:t>
      </w:r>
      <w:r w:rsidRPr="00CA64E1">
        <w:rPr>
          <w:rFonts w:cstheme="minorHAnsi"/>
        </w:rPr>
        <w:t>asiūlymo formą</w:t>
      </w:r>
      <w:r w:rsidR="00125275">
        <w:rPr>
          <w:rFonts w:cstheme="minorHAnsi"/>
        </w:rPr>
        <w:t>;</w:t>
      </w:r>
    </w:p>
    <w:p w14:paraId="3459FD0B" w14:textId="0C3542FF" w:rsidR="009C1155" w:rsidRPr="003C1B53" w:rsidRDefault="009C1155" w:rsidP="004E4308">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(pirkimo </w:t>
      </w:r>
      <w:r w:rsidRPr="007B1D39">
        <w:rPr>
          <w:rFonts w:cstheme="minorHAnsi"/>
        </w:rPr>
        <w:t xml:space="preserve">sąlygų </w:t>
      </w:r>
      <w:r w:rsidR="007B1D39" w:rsidRPr="007B1D39">
        <w:rPr>
          <w:rFonts w:cstheme="minorHAnsi"/>
        </w:rPr>
        <w:t>5</w:t>
      </w:r>
      <w:r w:rsidRPr="007B1D39">
        <w:rPr>
          <w:rFonts w:cstheme="minorHAnsi"/>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4E4308">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73C29F0E" w:rsidR="006D0EC0" w:rsidRPr="00906E06" w:rsidRDefault="006D0EC0" w:rsidP="004E4308">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4E4308">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4E4308">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F39DADD" w:rsidR="00450415" w:rsidRPr="00B004E3" w:rsidRDefault="00450415" w:rsidP="004E4308">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pirkimo sąlygų </w:t>
      </w:r>
      <w:r w:rsidR="001A40F5" w:rsidRPr="00EF43CA">
        <w:rPr>
          <w:rFonts w:cstheme="minorHAnsi"/>
        </w:rPr>
        <w:t>7</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C6D2AF7" w14:textId="0DE4F17F" w:rsidR="00B004E3" w:rsidRPr="00FD0115" w:rsidRDefault="00B004E3" w:rsidP="00B004E3">
      <w:pPr>
        <w:pStyle w:val="Sraopastraipa"/>
        <w:numPr>
          <w:ilvl w:val="2"/>
          <w:numId w:val="8"/>
        </w:numPr>
        <w:tabs>
          <w:tab w:val="left" w:pos="1276"/>
        </w:tabs>
        <w:spacing w:after="0" w:line="240" w:lineRule="auto"/>
        <w:ind w:left="0" w:firstLine="567"/>
        <w:jc w:val="both"/>
        <w:rPr>
          <w:rFonts w:cstheme="minorHAnsi"/>
          <w:u w:val="single"/>
        </w:rPr>
      </w:pPr>
      <w:bookmarkStart w:id="19" w:name="_Hlk180133769"/>
      <w:r w:rsidRPr="008F5045">
        <w:rPr>
          <w:rFonts w:cstheme="minorHAnsi"/>
        </w:rPr>
        <w:t xml:space="preserve">užpildyta </w:t>
      </w:r>
      <w:r w:rsidRPr="008F5045">
        <w:t xml:space="preserve">tiekėjo </w:t>
      </w:r>
      <w:bookmarkEnd w:id="19"/>
      <w:r w:rsidRPr="008F5045">
        <w:t>deklaracija dėl atitikties Reglamento nuostatoms</w:t>
      </w:r>
      <w:r w:rsidR="00530376">
        <w:t xml:space="preserve"> </w:t>
      </w:r>
      <w:r w:rsidR="004223FD">
        <w:rPr>
          <w:rFonts w:cstheme="minorHAnsi"/>
          <w:color w:val="000000" w:themeColor="text1"/>
        </w:rPr>
        <w:t>(</w:t>
      </w:r>
      <w:r w:rsidRPr="006A737F">
        <w:rPr>
          <w:rFonts w:cstheme="minorHAnsi"/>
          <w:color w:val="000000" w:themeColor="text1"/>
        </w:rPr>
        <w:t>p</w:t>
      </w:r>
      <w:r w:rsidRPr="007872CB">
        <w:rPr>
          <w:rFonts w:cstheme="minorHAnsi"/>
          <w:color w:val="000000" w:themeColor="text1"/>
        </w:rPr>
        <w:t xml:space="preserve">irkimo </w:t>
      </w:r>
      <w:r w:rsidRPr="006449A5">
        <w:rPr>
          <w:rFonts w:cstheme="minorHAnsi"/>
        </w:rPr>
        <w:t xml:space="preserve">sąlygų </w:t>
      </w:r>
      <w:r w:rsidR="00E558A3">
        <w:rPr>
          <w:rFonts w:cstheme="minorHAnsi"/>
        </w:rPr>
        <w:t>8</w:t>
      </w:r>
      <w:r>
        <w:rPr>
          <w:rFonts w:cstheme="minorHAnsi"/>
        </w:rPr>
        <w:t xml:space="preserve"> </w:t>
      </w:r>
      <w:r w:rsidRPr="006449A5">
        <w:rPr>
          <w:rFonts w:cstheme="minorHAnsi"/>
        </w:rPr>
        <w:t>pried</w:t>
      </w:r>
      <w:r>
        <w:rPr>
          <w:rFonts w:cstheme="minorHAnsi"/>
        </w:rPr>
        <w:t>a</w:t>
      </w:r>
      <w:r w:rsidR="00E558A3">
        <w:rPr>
          <w:rFonts w:cstheme="minorHAnsi"/>
        </w:rPr>
        <w:t>s</w:t>
      </w:r>
      <w:r>
        <w:rPr>
          <w:rFonts w:cstheme="minorHAnsi"/>
        </w:rPr>
        <w:t>);</w:t>
      </w:r>
    </w:p>
    <w:p w14:paraId="783961E3" w14:textId="744213CB" w:rsidR="00B004E3" w:rsidRPr="00401AEF" w:rsidRDefault="00B004E3" w:rsidP="00D139B1">
      <w:pPr>
        <w:pStyle w:val="Sraopastraipa"/>
        <w:numPr>
          <w:ilvl w:val="2"/>
          <w:numId w:val="8"/>
        </w:numPr>
        <w:tabs>
          <w:tab w:val="left" w:pos="1276"/>
        </w:tabs>
        <w:spacing w:after="0" w:line="240" w:lineRule="auto"/>
        <w:ind w:left="0" w:firstLine="567"/>
        <w:jc w:val="both"/>
        <w:rPr>
          <w:rFonts w:cstheme="minorHAnsi"/>
          <w:u w:val="single"/>
        </w:rPr>
      </w:pPr>
      <w:r w:rsidRPr="004C403C">
        <w:rPr>
          <w:rFonts w:cstheme="minorHAnsi"/>
        </w:rPr>
        <w:t>užpildyta nacionalinio saugumo reikalavimų atitikties deklaracija</w:t>
      </w:r>
      <w:r>
        <w:rPr>
          <w:rFonts w:cstheme="minorHAnsi"/>
          <w:b/>
          <w:bCs/>
        </w:rPr>
        <w:t xml:space="preserve"> </w:t>
      </w:r>
      <w:r w:rsidRPr="005C5D37">
        <w:rPr>
          <w:rFonts w:cstheme="minorHAnsi"/>
        </w:rPr>
        <w:t xml:space="preserve">(pirkimo sąlygų </w:t>
      </w:r>
      <w:r w:rsidR="00530376">
        <w:rPr>
          <w:rFonts w:cstheme="minorHAnsi"/>
        </w:rPr>
        <w:t xml:space="preserve">9 </w:t>
      </w:r>
      <w:r w:rsidRPr="005C5D37">
        <w:rPr>
          <w:rFonts w:cstheme="minorHAnsi"/>
        </w:rPr>
        <w:t>priedas)</w:t>
      </w:r>
      <w:r w:rsidR="00D946BF">
        <w:rPr>
          <w:rFonts w:cstheme="minorHAnsi"/>
        </w:rPr>
        <w:t>;</w:t>
      </w:r>
    </w:p>
    <w:p w14:paraId="2D1D2FC1" w14:textId="7D648D5D" w:rsidR="00D946BF" w:rsidRDefault="00D946BF" w:rsidP="00CE39E7">
      <w:pPr>
        <w:pStyle w:val="Sraopastraipa"/>
        <w:numPr>
          <w:ilvl w:val="2"/>
          <w:numId w:val="8"/>
        </w:numPr>
        <w:tabs>
          <w:tab w:val="left" w:pos="1276"/>
        </w:tabs>
        <w:spacing w:after="0" w:line="240" w:lineRule="auto"/>
        <w:ind w:left="0" w:firstLine="567"/>
        <w:jc w:val="both"/>
      </w:pPr>
      <w:r w:rsidRPr="00D946BF">
        <w:rPr>
          <w:rFonts w:cstheme="minorHAnsi"/>
        </w:rPr>
        <w:lastRenderedPageBreak/>
        <w:t xml:space="preserve">užpildyta </w:t>
      </w:r>
      <w:r w:rsidR="00337A9C">
        <w:rPr>
          <w:rFonts w:cstheme="minorHAnsi"/>
        </w:rPr>
        <w:t>į</w:t>
      </w:r>
      <w:r>
        <w:t xml:space="preserve">vykdytų sutarčių sąrašo forma </w:t>
      </w:r>
      <w:r w:rsidR="00337A9C">
        <w:t>(pirkimo sąlygų 11 priedas)</w:t>
      </w:r>
      <w:r w:rsidR="004E4308">
        <w:t>;</w:t>
      </w:r>
    </w:p>
    <w:p w14:paraId="56DD3F84" w14:textId="2FD41872" w:rsidR="004E4308" w:rsidRDefault="004E4308" w:rsidP="00CE39E7">
      <w:pPr>
        <w:pStyle w:val="Sraopastraipa"/>
        <w:numPr>
          <w:ilvl w:val="2"/>
          <w:numId w:val="8"/>
        </w:numPr>
        <w:tabs>
          <w:tab w:val="left" w:pos="1276"/>
        </w:tabs>
        <w:spacing w:after="0" w:line="240" w:lineRule="auto"/>
        <w:ind w:left="0" w:firstLine="567"/>
        <w:jc w:val="both"/>
      </w:pPr>
      <w:r>
        <w:t>užpildyta specialistų sąrašo forma (pirkimo sąlygų 12 priedas).</w:t>
      </w:r>
    </w:p>
    <w:p w14:paraId="479B3B42" w14:textId="2302EAAA" w:rsidR="00FD03FA" w:rsidRPr="00E8055F" w:rsidRDefault="00C7179F" w:rsidP="004E4308">
      <w:pPr>
        <w:spacing w:after="0" w:line="240" w:lineRule="auto"/>
        <w:ind w:firstLine="567"/>
        <w:jc w:val="both"/>
        <w:rPr>
          <w:rFonts w:cstheme="minorHAnsi"/>
        </w:rPr>
      </w:pPr>
      <w:r>
        <w:rPr>
          <w:rFonts w:cstheme="minorHAnsi"/>
        </w:rPr>
        <w:t>6.2</w:t>
      </w:r>
      <w:r w:rsidR="00EE3480" w:rsidRPr="00A1780C">
        <w:rPr>
          <w:rFonts w:cstheme="minorHAnsi"/>
        </w:rPr>
        <w:t>.</w:t>
      </w:r>
      <w:r w:rsidR="00E8055F">
        <w:rPr>
          <w:rFonts w:cstheme="minorHAnsi"/>
        </w:rPr>
        <w:tab/>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4E4308">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22A13519" w:rsidR="00197943" w:rsidRPr="00D139B1" w:rsidRDefault="00FD03FA" w:rsidP="004E4308">
      <w:pPr>
        <w:pStyle w:val="Sraopastraipa"/>
        <w:numPr>
          <w:ilvl w:val="2"/>
          <w:numId w:val="13"/>
        </w:numPr>
        <w:tabs>
          <w:tab w:val="left" w:pos="1418"/>
        </w:tabs>
        <w:spacing w:after="0" w:line="240" w:lineRule="auto"/>
        <w:ind w:left="0" w:firstLine="567"/>
        <w:jc w:val="both"/>
        <w:rPr>
          <w:rFonts w:cstheme="minorHAnsi"/>
          <w:iCs/>
        </w:rPr>
      </w:pPr>
      <w:r w:rsidRPr="00C7179F">
        <w:rPr>
          <w:rFonts w:eastAsia="Calibri" w:cstheme="minorHAnsi"/>
          <w:bCs/>
          <w:iCs/>
        </w:rPr>
        <w:t>skaitmeninės dokumentų kopijos (</w:t>
      </w:r>
      <w:r w:rsidRPr="00C7179F">
        <w:rPr>
          <w:rFonts w:eastAsia="Calibri" w:cstheme="minorHAnsi"/>
          <w:iCs/>
        </w:rPr>
        <w:t xml:space="preserve">fiziniu parašu tvirtinami dokumentai turi būti pateikiami pasirašyti ir </w:t>
      </w:r>
      <w:r w:rsidRPr="00D139B1">
        <w:rPr>
          <w:rFonts w:eastAsia="Calibri" w:cstheme="minorHAnsi"/>
          <w:iCs/>
        </w:rPr>
        <w:t>nuskenuoti).</w:t>
      </w:r>
    </w:p>
    <w:p w14:paraId="6B0A959A" w14:textId="3693AF80" w:rsidR="00935773" w:rsidRPr="00935773" w:rsidRDefault="0099696F" w:rsidP="004E4308">
      <w:pPr>
        <w:pStyle w:val="Sraopastraipa"/>
        <w:numPr>
          <w:ilvl w:val="1"/>
          <w:numId w:val="13"/>
        </w:numPr>
        <w:spacing w:line="240" w:lineRule="auto"/>
        <w:ind w:left="0" w:firstLine="567"/>
        <w:jc w:val="both"/>
        <w:rPr>
          <w:b/>
          <w:bCs/>
          <w:i/>
        </w:rPr>
      </w:pPr>
      <w:r w:rsidRPr="00D139B1">
        <w:t>P</w:t>
      </w:r>
      <w:r w:rsidR="0048587E" w:rsidRPr="00D139B1">
        <w:t>asiūlymas turi būti parengtas</w:t>
      </w:r>
      <w:r w:rsidR="00EE44B0" w:rsidRPr="00D139B1">
        <w:t xml:space="preserve"> </w:t>
      </w:r>
      <w:r w:rsidR="0048587E" w:rsidRPr="00D139B1">
        <w:t>lietuvių kalba</w:t>
      </w:r>
      <w:r w:rsidR="00E8055F" w:rsidRPr="00D139B1">
        <w:t xml:space="preserve"> (</w:t>
      </w:r>
      <w:r w:rsidR="00E8055F" w:rsidRPr="00D139B1">
        <w:rPr>
          <w:i/>
        </w:rPr>
        <w:t>išskyrus pateikiamus sertifikatus, kurie gali būti pateikiami anglų kalba</w:t>
      </w:r>
      <w:r w:rsidR="00935773" w:rsidRPr="00D139B1">
        <w:rPr>
          <w:i/>
        </w:rPr>
        <w:t xml:space="preserve">). </w:t>
      </w:r>
      <w:r w:rsidR="008A7F8C" w:rsidRPr="00D139B1">
        <w:rPr>
          <w:rFonts w:eastAsia="Arial" w:cstheme="minorHAnsi"/>
        </w:rPr>
        <w:t xml:space="preserve">Jei kurie nors su pasiūlymu teikiami dokumentai parengti ne ta kalba, kuria reikalaujama, turi būti pateiktas tikslus vertimas į reikalaujamą kalbą. </w:t>
      </w:r>
      <w:r w:rsidR="00935773" w:rsidRPr="00D139B1">
        <w:rPr>
          <w:iCs/>
        </w:rPr>
        <w:t xml:space="preserve">Vertimas turi būti patvirtintas tiekėjo vadovo arba jo įgalioto </w:t>
      </w:r>
      <w:r w:rsidR="00935773" w:rsidRPr="00935773">
        <w:rPr>
          <w:iCs/>
        </w:rPr>
        <w:t>asmens parašu arba vertėjo parašu ir vertimo biuro antspaudu (jei turi). Kai teikiamas tiekėjo vadovo arba jo įgalioto asmens parašu patvirtintas vertimas, kilus įtarimų dėl pasiūlyme pateikto dokumento vertimo kokybės ir (ar) jo atitikties dokumento originalo turiniui, perkančioji organizacija pasilieka teisę reikalauti pateikti vertėjo parašu ir vertimų biuro antspaudu (jei turi) patvirtintą šio dokumento vertimą.</w:t>
      </w:r>
    </w:p>
    <w:p w14:paraId="4172BF9D" w14:textId="292C704A" w:rsidR="00380B99" w:rsidRPr="00935773" w:rsidRDefault="008D03B2" w:rsidP="004E4308">
      <w:pPr>
        <w:pStyle w:val="Sraopastraipa"/>
        <w:numPr>
          <w:ilvl w:val="1"/>
          <w:numId w:val="13"/>
        </w:numPr>
        <w:spacing w:line="240" w:lineRule="auto"/>
        <w:ind w:left="0" w:firstLine="567"/>
        <w:jc w:val="both"/>
        <w:rPr>
          <w:rFonts w:cstheme="minorHAnsi"/>
        </w:rPr>
      </w:pPr>
      <w:r w:rsidRPr="00935773">
        <w:rPr>
          <w:rFonts w:eastAsia="Arial"/>
        </w:rPr>
        <w:t xml:space="preserve">Bendra </w:t>
      </w:r>
      <w:r w:rsidR="00BA6AB3" w:rsidRPr="00935773">
        <w:rPr>
          <w:rFonts w:eastAsia="Arial"/>
        </w:rPr>
        <w:t>p</w:t>
      </w:r>
      <w:r w:rsidRPr="00935773">
        <w:rPr>
          <w:rFonts w:eastAsia="Arial"/>
        </w:rPr>
        <w:t>asiūlymo kaina</w:t>
      </w:r>
      <w:r w:rsidR="00D247A7" w:rsidRPr="00935773">
        <w:rPr>
          <w:rFonts w:eastAsia="Arial"/>
        </w:rPr>
        <w:t xml:space="preserve"> </w:t>
      </w:r>
      <w:r w:rsidR="008D3752" w:rsidRPr="00935773">
        <w:rPr>
          <w:rFonts w:eastAsia="Arial"/>
        </w:rPr>
        <w:t xml:space="preserve">su PVM </w:t>
      </w:r>
      <w:r w:rsidR="000B049C" w:rsidRPr="00935773">
        <w:rPr>
          <w:rFonts w:eastAsia="Arial"/>
        </w:rPr>
        <w:t xml:space="preserve"> turi būti nurodoma </w:t>
      </w:r>
      <w:r w:rsidR="00D247A7" w:rsidRPr="00935773">
        <w:rPr>
          <w:rFonts w:eastAsia="Arial"/>
        </w:rPr>
        <w:t xml:space="preserve">dviejų skaičių po kablelio tikslumu. </w:t>
      </w:r>
      <w:r w:rsidR="00B75F6D" w:rsidRPr="00935773">
        <w:rPr>
          <w:rFonts w:eastAsia="Arial" w:cstheme="minorHAnsi"/>
        </w:rPr>
        <w:t>Šią kainą sudarančios kainos sudedamosios dalys ar įkainiai gali būti išreikštos neribojant skaičių po kablelio kiekio</w:t>
      </w:r>
      <w:r w:rsidR="00B75F6D" w:rsidRPr="00935773">
        <w:rPr>
          <w:rFonts w:ascii="Arial" w:eastAsia="Arial" w:hAnsi="Arial" w:cs="Arial"/>
        </w:rPr>
        <w:t xml:space="preserve">. </w:t>
      </w:r>
    </w:p>
    <w:p w14:paraId="22059CDA" w14:textId="750BF54E" w:rsidR="003A0EC0" w:rsidRPr="00723492" w:rsidRDefault="003A0EC0" w:rsidP="004E4308">
      <w:pPr>
        <w:pStyle w:val="Sraopastraipa"/>
        <w:numPr>
          <w:ilvl w:val="1"/>
          <w:numId w:val="13"/>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asiūlymuose nurodytos kainos bus vertinamos</w:t>
      </w:r>
      <w:r w:rsidR="00935773">
        <w:rPr>
          <w:rFonts w:eastAsia="Arial"/>
        </w:rPr>
        <w:t xml:space="preserve"> eurais</w:t>
      </w:r>
      <w:r w:rsidRPr="00A217B2">
        <w:rPr>
          <w:rFonts w:eastAsia="Arial"/>
        </w:rPr>
        <w:t xml:space="preserve"> </w:t>
      </w:r>
      <w:r w:rsidRPr="00A217B2">
        <w:t>ir lyginamos su visais mokesčiais, įskaitant PVM</w:t>
      </w:r>
      <w:r w:rsidR="006E3394" w:rsidRPr="00A217B2">
        <w:t>.</w:t>
      </w:r>
      <w:r w:rsidRPr="00A217B2">
        <w:t xml:space="preserve"> </w:t>
      </w:r>
    </w:p>
    <w:p w14:paraId="7A15AE0A" w14:textId="70E9AA9F" w:rsidR="00EE1C85" w:rsidRPr="00F0499F" w:rsidRDefault="00EE1C85" w:rsidP="00E8055F">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74CCC87D" w:rsidR="00B3551C" w:rsidRPr="00F0499F" w:rsidRDefault="00655F17" w:rsidP="00935773">
      <w:pPr>
        <w:pStyle w:val="Sraopastraipa"/>
        <w:spacing w:after="0" w:line="240" w:lineRule="auto"/>
        <w:ind w:left="0" w:firstLine="567"/>
        <w:jc w:val="both"/>
      </w:pPr>
      <w:r>
        <w:t>7.1.</w:t>
      </w:r>
      <w:r w:rsidR="00935773">
        <w:tab/>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8055F">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13E7EA1D" w:rsidR="00040C0F" w:rsidRPr="00935773" w:rsidRDefault="002827E4" w:rsidP="004E4308">
      <w:pPr>
        <w:spacing w:after="0" w:line="240" w:lineRule="auto"/>
        <w:ind w:left="710" w:hanging="143"/>
        <w:rPr>
          <w:rFonts w:cstheme="minorHAnsi"/>
        </w:rPr>
      </w:pPr>
      <w:r>
        <w:rPr>
          <w:rFonts w:cstheme="minorHAnsi"/>
        </w:rPr>
        <w:t>8.1.</w:t>
      </w:r>
      <w:r w:rsidR="00935773">
        <w:rPr>
          <w:rFonts w:cstheme="minorHAnsi"/>
        </w:rPr>
        <w:tab/>
      </w:r>
      <w:r w:rsidR="00040C0F" w:rsidRPr="00935773">
        <w:rPr>
          <w:rFonts w:cstheme="minorHAnsi"/>
        </w:rPr>
        <w:t>Perkančioji organizacija pirkime netaikys elektroninio aukciono.</w:t>
      </w:r>
    </w:p>
    <w:p w14:paraId="14CBD3AD" w14:textId="23B8A7AF" w:rsidR="009D0DC5" w:rsidRPr="00F0499F" w:rsidRDefault="00EA001C" w:rsidP="00E8055F">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3ABBE106" w14:textId="7D37DC18" w:rsidR="00317536" w:rsidRPr="00317536" w:rsidRDefault="002D470F" w:rsidP="004E4308">
      <w:pPr>
        <w:spacing w:after="0"/>
        <w:ind w:firstLine="567"/>
        <w:jc w:val="both"/>
        <w:rPr>
          <w:rFonts w:eastAsia="Calibri"/>
        </w:rPr>
      </w:pPr>
      <w:r>
        <w:rPr>
          <w:rFonts w:cstheme="minorHAnsi"/>
        </w:rPr>
        <w:t>9.1.</w:t>
      </w:r>
      <w:r w:rsidR="00935773">
        <w:rPr>
          <w:rFonts w:cstheme="minorHAnsi"/>
        </w:rPr>
        <w:tab/>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317536" w:rsidRPr="00317536">
        <w:rPr>
          <w:rFonts w:eastAsia="Calibri"/>
        </w:rPr>
        <w:t>7 pried</w:t>
      </w:r>
      <w:r w:rsidR="00317536">
        <w:rPr>
          <w:rFonts w:eastAsia="Calibri"/>
        </w:rPr>
        <w:t>e</w:t>
      </w:r>
      <w:r w:rsidR="00317536" w:rsidRPr="00317536">
        <w:rPr>
          <w:rFonts w:eastAsia="Calibri"/>
        </w:rPr>
        <w:t xml:space="preserve"> „Pasiūlymų vertinimo kriterijai ir sąlygos“</w:t>
      </w:r>
      <w:r w:rsidR="001138A3">
        <w:rPr>
          <w:rFonts w:eastAsia="Calibri"/>
        </w:rPr>
        <w:t>.</w:t>
      </w:r>
    </w:p>
    <w:p w14:paraId="64B83513" w14:textId="2F6AC371" w:rsidR="008E4A3C" w:rsidRPr="00935773" w:rsidRDefault="00D734C6" w:rsidP="004E4308">
      <w:pPr>
        <w:pStyle w:val="Sraopastraipa"/>
        <w:numPr>
          <w:ilvl w:val="1"/>
          <w:numId w:val="13"/>
        </w:numPr>
        <w:spacing w:after="0" w:line="20" w:lineRule="atLeast"/>
        <w:ind w:left="0" w:firstLine="567"/>
        <w:jc w:val="both"/>
        <w:rPr>
          <w:rFonts w:eastAsiaTheme="minorHAnsi" w:cstheme="minorHAnsi"/>
          <w:bCs/>
          <w:iCs/>
        </w:rPr>
      </w:pPr>
      <w:r w:rsidRPr="00935773">
        <w:rPr>
          <w:rFonts w:cstheme="minorHAnsi"/>
          <w:color w:val="000000" w:themeColor="text1"/>
        </w:rPr>
        <w:t xml:space="preserve">Laimėjusiu </w:t>
      </w:r>
      <w:r w:rsidR="005D7D8C" w:rsidRPr="00935773">
        <w:rPr>
          <w:rFonts w:cstheme="minorHAnsi"/>
          <w:color w:val="000000" w:themeColor="text1"/>
        </w:rPr>
        <w:t>pasiūlymu</w:t>
      </w:r>
      <w:r w:rsidRPr="00935773">
        <w:rPr>
          <w:rFonts w:cstheme="minorHAnsi"/>
          <w:color w:val="000000" w:themeColor="text1"/>
        </w:rPr>
        <w:t xml:space="preserve"> galės būti pripažintas tik 1 (vienas) </w:t>
      </w:r>
      <w:r w:rsidR="005D7D8C" w:rsidRPr="00935773">
        <w:rPr>
          <w:rFonts w:cstheme="minorHAnsi"/>
          <w:color w:val="000000" w:themeColor="text1"/>
        </w:rPr>
        <w:t>ekonomiškai naudingiausias pasiūlymas, esantis pasiūlymų eilės pirmojoje vietoje</w:t>
      </w:r>
      <w:r w:rsidRPr="00935773">
        <w:rPr>
          <w:rFonts w:cstheme="minorHAnsi"/>
          <w:color w:val="000000" w:themeColor="text1"/>
        </w:rPr>
        <w:t xml:space="preserve">. </w:t>
      </w:r>
    </w:p>
    <w:p w14:paraId="60FEBC05" w14:textId="215DCE4C" w:rsidR="001A25FD" w:rsidRPr="000962D2" w:rsidRDefault="000962D2" w:rsidP="004E4308">
      <w:pPr>
        <w:numPr>
          <w:ilvl w:val="1"/>
          <w:numId w:val="13"/>
        </w:numPr>
        <w:spacing w:after="0" w:line="240" w:lineRule="auto"/>
        <w:ind w:left="0" w:firstLine="567"/>
        <w:contextualSpacing/>
        <w:jc w:val="both"/>
        <w:rPr>
          <w:rFonts w:eastAsia="Times New Roman" w:cstheme="minorHAnsi"/>
          <w:bCs/>
          <w:iCs/>
        </w:rPr>
      </w:pPr>
      <w:r w:rsidRPr="000962D2">
        <w:rPr>
          <w:rFonts w:cstheme="minorHAnsi"/>
        </w:rPr>
        <w:t xml:space="preserve">Perkančioji organizacija atmes tiekėjo pasiūlymą, jeigu kartu su pasiūlymu nebus pateikti pirkimo sąlygų 6.1.1. papunktyje reikalaujami dokumentai, t. y. </w:t>
      </w:r>
      <w:r w:rsidRPr="00952B8C">
        <w:rPr>
          <w:rFonts w:cstheme="minorHAnsi"/>
        </w:rPr>
        <w:t>jeigu nebus pateikta užpildyta pasiūlymo forma.</w:t>
      </w:r>
      <w:r w:rsidRPr="00952B8C">
        <w:rPr>
          <w:rFonts w:cstheme="minorHAnsi"/>
          <w:strike/>
        </w:rPr>
        <w:t xml:space="preserve"> </w:t>
      </w:r>
    </w:p>
    <w:p w14:paraId="678C44CA" w14:textId="6EB53055" w:rsidR="00FE7908" w:rsidRPr="00F065D6" w:rsidRDefault="00FE7908" w:rsidP="00E8055F">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7DE34777" w:rsidR="00F57665" w:rsidRPr="000962D2" w:rsidRDefault="00F57665" w:rsidP="000962D2">
      <w:pPr>
        <w:pStyle w:val="Sraopastraipa"/>
        <w:numPr>
          <w:ilvl w:val="1"/>
          <w:numId w:val="14"/>
        </w:numPr>
        <w:spacing w:after="0" w:line="240" w:lineRule="auto"/>
        <w:ind w:left="0" w:firstLine="567"/>
        <w:jc w:val="both"/>
        <w:rPr>
          <w:rFonts w:cstheme="minorHAnsi"/>
        </w:rPr>
      </w:pPr>
      <w:r w:rsidRPr="000962D2">
        <w:rPr>
          <w:color w:val="000000" w:themeColor="text1"/>
        </w:rPr>
        <w:t>Ši pirkimo procedūra atliekama siekiant sudaryti sutartį</w:t>
      </w:r>
      <w:r w:rsidR="009A7D11" w:rsidRPr="000962D2">
        <w:rPr>
          <w:color w:val="000000" w:themeColor="text1"/>
        </w:rPr>
        <w:t xml:space="preserve"> su tiekėju, kurio pasiūlymas</w:t>
      </w:r>
      <w:r w:rsidR="007B12FF" w:rsidRPr="000962D2">
        <w:rPr>
          <w:color w:val="000000" w:themeColor="text1"/>
        </w:rPr>
        <w:t xml:space="preserve">, vadovaujantis </w:t>
      </w:r>
      <w:r w:rsidR="008F4194" w:rsidRPr="000962D2">
        <w:rPr>
          <w:color w:val="000000" w:themeColor="text1"/>
        </w:rPr>
        <w:t>p</w:t>
      </w:r>
      <w:r w:rsidR="007B12FF" w:rsidRPr="000962D2">
        <w:rPr>
          <w:color w:val="000000" w:themeColor="text1"/>
        </w:rPr>
        <w:t xml:space="preserve">irkimo </w:t>
      </w:r>
      <w:r w:rsidR="00207E40" w:rsidRPr="000962D2">
        <w:rPr>
          <w:color w:val="000000" w:themeColor="text1"/>
        </w:rPr>
        <w:t>sąlygose</w:t>
      </w:r>
      <w:r w:rsidR="007B12FF" w:rsidRPr="000962D2">
        <w:rPr>
          <w:color w:val="0070C0"/>
        </w:rPr>
        <w:t xml:space="preserve"> </w:t>
      </w:r>
      <w:r w:rsidR="007B12FF" w:rsidRPr="000962D2">
        <w:rPr>
          <w:color w:val="000000" w:themeColor="text1"/>
        </w:rPr>
        <w:t>nustatyta tvarka</w:t>
      </w:r>
      <w:r w:rsidR="0023505D" w:rsidRPr="000962D2">
        <w:rPr>
          <w:color w:val="000000" w:themeColor="text1"/>
        </w:rPr>
        <w:t>,</w:t>
      </w:r>
      <w:r w:rsidR="009A7D11" w:rsidRPr="000962D2">
        <w:rPr>
          <w:color w:val="000000" w:themeColor="text1"/>
        </w:rPr>
        <w:t xml:space="preserve"> bus pripažintas laimėjęs</w:t>
      </w:r>
      <w:r w:rsidR="000962D2">
        <w:rPr>
          <w:color w:val="000000" w:themeColor="text1"/>
        </w:rPr>
        <w:t>.</w:t>
      </w:r>
      <w:r w:rsidR="00F065D6" w:rsidRPr="000962D2">
        <w:rPr>
          <w:color w:val="000000" w:themeColor="text1"/>
        </w:rPr>
        <w:t xml:space="preserve"> </w:t>
      </w:r>
      <w:r w:rsidR="004B2DE4" w:rsidRPr="127DD6E8">
        <w:t xml:space="preserve">Sutarties sąlygos pateikiamos </w:t>
      </w:r>
      <w:r w:rsidR="007A5D9C" w:rsidRPr="000962D2">
        <w:t>P</w:t>
      </w:r>
      <w:r w:rsidR="00551FA7" w:rsidRPr="000962D2">
        <w:t xml:space="preserve">irkimo </w:t>
      </w:r>
      <w:r w:rsidR="00D86901" w:rsidRPr="000962D2">
        <w:t>sąlygų priede</w:t>
      </w:r>
      <w:r w:rsidR="00317536">
        <w:t xml:space="preserve"> 10</w:t>
      </w:r>
      <w:r w:rsidR="00D86901" w:rsidRPr="000962D2">
        <w:t xml:space="preserve"> </w:t>
      </w:r>
      <w:r w:rsidR="00D86901" w:rsidRPr="001138A3">
        <w:t>„Sutarties projektas“</w:t>
      </w:r>
      <w:r w:rsidR="004B2DE4" w:rsidRPr="001138A3">
        <w:t>.</w:t>
      </w:r>
    </w:p>
    <w:bookmarkEnd w:id="2"/>
    <w:p w14:paraId="7881FCAE" w14:textId="432D3C74" w:rsidR="00C87AB8" w:rsidRDefault="00C87AB8" w:rsidP="00C87AB8">
      <w:pPr>
        <w:shd w:val="clear" w:color="auto" w:fill="FFFFFF"/>
        <w:spacing w:after="0" w:line="240" w:lineRule="auto"/>
        <w:jc w:val="center"/>
        <w:rPr>
          <w:rFonts w:eastAsia="Calibri" w:cstheme="minorHAnsi"/>
        </w:rPr>
        <w:sectPr w:rsidR="00C87AB8" w:rsidSect="00CE578A">
          <w:footerReference w:type="default" r:id="rId13"/>
          <w:footerReference w:type="first" r:id="rId14"/>
          <w:pgSz w:w="12240" w:h="15840"/>
          <w:pgMar w:top="993" w:right="567" w:bottom="1134" w:left="1701" w:header="720" w:footer="720" w:gutter="0"/>
          <w:pgNumType w:start="1"/>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0A6256D1" w14:textId="77777777" w:rsidR="000962D2" w:rsidRPr="000962D2" w:rsidRDefault="000962D2" w:rsidP="000962D2">
      <w:pPr>
        <w:shd w:val="clear" w:color="auto" w:fill="FFFFFF"/>
        <w:spacing w:after="0" w:line="240" w:lineRule="auto"/>
        <w:jc w:val="right"/>
        <w:rPr>
          <w:rFonts w:eastAsia="Times New Roman" w:cs="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962D2" w:rsidRPr="000962D2" w14:paraId="2587367E" w14:textId="77777777" w:rsidTr="00F66381">
        <w:trPr>
          <w:trHeight w:val="20"/>
        </w:trPr>
        <w:tc>
          <w:tcPr>
            <w:tcW w:w="726" w:type="dxa"/>
            <w:shd w:val="clear" w:color="auto" w:fill="D9D9D9" w:themeFill="background1" w:themeFillShade="D9"/>
            <w:tcMar>
              <w:top w:w="0" w:type="dxa"/>
              <w:left w:w="108" w:type="dxa"/>
              <w:bottom w:w="0" w:type="dxa"/>
              <w:right w:w="108" w:type="dxa"/>
            </w:tcMar>
          </w:tcPr>
          <w:p w14:paraId="79A944F9" w14:textId="77777777" w:rsidR="000962D2" w:rsidRPr="000962D2" w:rsidRDefault="000962D2" w:rsidP="000962D2">
            <w:pPr>
              <w:jc w:val="center"/>
              <w:rPr>
                <w:rFonts w:cs="Calibri"/>
                <w:b/>
                <w:bCs/>
              </w:rPr>
            </w:pPr>
            <w:proofErr w:type="spellStart"/>
            <w:r w:rsidRPr="000962D2">
              <w:rPr>
                <w:rFonts w:cs="Calibri"/>
                <w:b/>
                <w:bCs/>
              </w:rPr>
              <w:t>Eil.Nr</w:t>
            </w:r>
            <w:proofErr w:type="spellEnd"/>
            <w:r w:rsidRPr="000962D2">
              <w:rPr>
                <w:rFonts w:cs="Calibri"/>
                <w:b/>
                <w:bCs/>
              </w:rPr>
              <w:t>.</w:t>
            </w:r>
          </w:p>
        </w:tc>
        <w:tc>
          <w:tcPr>
            <w:tcW w:w="2531" w:type="dxa"/>
            <w:shd w:val="clear" w:color="auto" w:fill="D9D9D9" w:themeFill="background1" w:themeFillShade="D9"/>
            <w:tcMar>
              <w:top w:w="0" w:type="dxa"/>
              <w:left w:w="108" w:type="dxa"/>
              <w:bottom w:w="0" w:type="dxa"/>
              <w:right w:w="108" w:type="dxa"/>
            </w:tcMar>
          </w:tcPr>
          <w:p w14:paraId="6DC7F55F" w14:textId="77777777" w:rsidR="000962D2" w:rsidRPr="000962D2" w:rsidRDefault="000962D2" w:rsidP="000962D2">
            <w:pPr>
              <w:jc w:val="center"/>
              <w:rPr>
                <w:rFonts w:cs="Calibri"/>
                <w:b/>
                <w:bCs/>
              </w:rPr>
            </w:pPr>
            <w:r w:rsidRPr="000962D2">
              <w:rPr>
                <w:rFonts w:cs="Calibri"/>
                <w:b/>
                <w:bCs/>
              </w:rPr>
              <w:t>VEIKSMAS</w:t>
            </w:r>
          </w:p>
        </w:tc>
        <w:tc>
          <w:tcPr>
            <w:tcW w:w="3643" w:type="dxa"/>
            <w:shd w:val="clear" w:color="auto" w:fill="D9D9D9" w:themeFill="background1" w:themeFillShade="D9"/>
            <w:tcMar>
              <w:top w:w="0" w:type="dxa"/>
              <w:left w:w="108" w:type="dxa"/>
              <w:bottom w:w="0" w:type="dxa"/>
              <w:right w:w="108" w:type="dxa"/>
            </w:tcMar>
          </w:tcPr>
          <w:p w14:paraId="2B1D3386" w14:textId="77777777" w:rsidR="000962D2" w:rsidRPr="000962D2" w:rsidRDefault="000962D2" w:rsidP="000962D2">
            <w:pPr>
              <w:spacing w:after="0"/>
              <w:jc w:val="center"/>
              <w:rPr>
                <w:rFonts w:cs="Calibri"/>
                <w:b/>
              </w:rPr>
            </w:pPr>
            <w:r w:rsidRPr="000962D2">
              <w:rPr>
                <w:rFonts w:cs="Calibri"/>
                <w:b/>
              </w:rPr>
              <w:t>DATA/DIENŲ SKAIČIUS/ LAIKAS</w:t>
            </w:r>
          </w:p>
          <w:p w14:paraId="1A4E78D1" w14:textId="77777777" w:rsidR="000962D2" w:rsidRPr="000962D2" w:rsidRDefault="000962D2" w:rsidP="000962D2">
            <w:pPr>
              <w:spacing w:after="0"/>
              <w:jc w:val="center"/>
              <w:rPr>
                <w:rFonts w:cs="Calibri"/>
              </w:rPr>
            </w:pPr>
            <w:r w:rsidRPr="000962D2">
              <w:rPr>
                <w:rFonts w:cs="Calibri"/>
              </w:rPr>
              <w:t>(Lietuvos laiku)</w:t>
            </w:r>
          </w:p>
        </w:tc>
        <w:tc>
          <w:tcPr>
            <w:tcW w:w="2954" w:type="dxa"/>
            <w:shd w:val="clear" w:color="auto" w:fill="D9D9D9" w:themeFill="background1" w:themeFillShade="D9"/>
            <w:tcMar>
              <w:top w:w="0" w:type="dxa"/>
              <w:left w:w="108" w:type="dxa"/>
              <w:bottom w:w="0" w:type="dxa"/>
              <w:right w:w="108" w:type="dxa"/>
            </w:tcMar>
          </w:tcPr>
          <w:p w14:paraId="4F7DBB4C" w14:textId="77777777" w:rsidR="000962D2" w:rsidRPr="000962D2" w:rsidRDefault="000962D2" w:rsidP="000962D2">
            <w:pPr>
              <w:jc w:val="center"/>
              <w:rPr>
                <w:rFonts w:cs="Calibri"/>
                <w:b/>
              </w:rPr>
            </w:pPr>
            <w:r w:rsidRPr="000962D2">
              <w:rPr>
                <w:rFonts w:cs="Calibri"/>
                <w:b/>
              </w:rPr>
              <w:t>PASTABOS</w:t>
            </w:r>
          </w:p>
        </w:tc>
      </w:tr>
      <w:tr w:rsidR="000962D2" w:rsidRPr="000962D2" w14:paraId="2ED59502" w14:textId="77777777" w:rsidTr="00F66381">
        <w:trPr>
          <w:trHeight w:val="20"/>
        </w:trPr>
        <w:tc>
          <w:tcPr>
            <w:tcW w:w="726" w:type="dxa"/>
            <w:tcMar>
              <w:top w:w="0" w:type="dxa"/>
              <w:left w:w="108" w:type="dxa"/>
              <w:bottom w:w="0" w:type="dxa"/>
              <w:right w:w="108" w:type="dxa"/>
            </w:tcMar>
          </w:tcPr>
          <w:p w14:paraId="4F42381E" w14:textId="77777777" w:rsidR="000962D2" w:rsidRPr="000962D2" w:rsidRDefault="000962D2" w:rsidP="000962D2">
            <w:pPr>
              <w:keepNext/>
              <w:spacing w:after="0" w:line="240" w:lineRule="auto"/>
              <w:rPr>
                <w:rFonts w:cs="Calibri"/>
                <w:bCs/>
              </w:rPr>
            </w:pPr>
            <w:r w:rsidRPr="000962D2">
              <w:rPr>
                <w:rFonts w:cs="Calibri"/>
                <w:bCs/>
              </w:rPr>
              <w:t>1.</w:t>
            </w:r>
          </w:p>
        </w:tc>
        <w:tc>
          <w:tcPr>
            <w:tcW w:w="2531" w:type="dxa"/>
            <w:tcMar>
              <w:top w:w="0" w:type="dxa"/>
              <w:left w:w="108" w:type="dxa"/>
              <w:bottom w:w="0" w:type="dxa"/>
              <w:right w:w="108" w:type="dxa"/>
            </w:tcMar>
          </w:tcPr>
          <w:p w14:paraId="3A6FC784" w14:textId="77777777" w:rsidR="000962D2" w:rsidRPr="000962D2" w:rsidRDefault="000962D2" w:rsidP="000962D2">
            <w:pPr>
              <w:keepNext/>
              <w:spacing w:after="0" w:line="240" w:lineRule="auto"/>
              <w:rPr>
                <w:rFonts w:cs="Calibri"/>
              </w:rPr>
            </w:pPr>
            <w:r w:rsidRPr="000962D2">
              <w:rPr>
                <w:rFonts w:cs="Calibri"/>
                <w:bCs/>
              </w:rPr>
              <w:t>Pasiūlymų pateikimo terminas</w:t>
            </w:r>
          </w:p>
        </w:tc>
        <w:tc>
          <w:tcPr>
            <w:tcW w:w="3643" w:type="dxa"/>
            <w:tcMar>
              <w:top w:w="0" w:type="dxa"/>
              <w:left w:w="108" w:type="dxa"/>
              <w:bottom w:w="0" w:type="dxa"/>
              <w:right w:w="108" w:type="dxa"/>
            </w:tcMar>
          </w:tcPr>
          <w:p w14:paraId="6D45ED04" w14:textId="77777777" w:rsidR="000962D2" w:rsidRPr="000962D2" w:rsidRDefault="000962D2" w:rsidP="000962D2">
            <w:pPr>
              <w:spacing w:after="0" w:line="240" w:lineRule="auto"/>
              <w:rPr>
                <w:rFonts w:cs="Calibri"/>
              </w:rPr>
            </w:pPr>
            <w:r w:rsidRPr="000962D2">
              <w:rPr>
                <w:rFonts w:cs="Calibri"/>
              </w:rPr>
              <w:t xml:space="preserve">nurodytas skelbime </w:t>
            </w:r>
          </w:p>
        </w:tc>
        <w:tc>
          <w:tcPr>
            <w:tcW w:w="2954" w:type="dxa"/>
            <w:tcMar>
              <w:top w:w="0" w:type="dxa"/>
              <w:left w:w="108" w:type="dxa"/>
              <w:bottom w:w="0" w:type="dxa"/>
              <w:right w:w="108" w:type="dxa"/>
            </w:tcMar>
          </w:tcPr>
          <w:p w14:paraId="2EA29908" w14:textId="77777777" w:rsidR="000962D2" w:rsidRPr="000962D2" w:rsidRDefault="000962D2" w:rsidP="000962D2">
            <w:pPr>
              <w:spacing w:after="0" w:line="240" w:lineRule="auto"/>
              <w:rPr>
                <w:rFonts w:cs="Calibri"/>
                <w:iCs/>
              </w:rPr>
            </w:pPr>
            <w:r w:rsidRPr="000962D2">
              <w:rPr>
                <w:rFonts w:cs="Calibri"/>
              </w:rPr>
              <w:t>Perkančioji organizacija turi teisę pratęsti pasiūlymų pateikimo terminą.</w:t>
            </w:r>
          </w:p>
        </w:tc>
      </w:tr>
      <w:tr w:rsidR="000962D2" w:rsidRPr="000962D2" w14:paraId="76D49FBC" w14:textId="77777777" w:rsidTr="00F66381">
        <w:trPr>
          <w:trHeight w:val="20"/>
        </w:trPr>
        <w:tc>
          <w:tcPr>
            <w:tcW w:w="726" w:type="dxa"/>
            <w:tcMar>
              <w:top w:w="0" w:type="dxa"/>
              <w:left w:w="108" w:type="dxa"/>
              <w:bottom w:w="0" w:type="dxa"/>
              <w:right w:w="108" w:type="dxa"/>
            </w:tcMar>
          </w:tcPr>
          <w:p w14:paraId="52C2440B" w14:textId="77777777" w:rsidR="000962D2" w:rsidRPr="000962D2" w:rsidRDefault="000962D2" w:rsidP="000962D2">
            <w:pPr>
              <w:keepNext/>
              <w:spacing w:after="0" w:line="240" w:lineRule="auto"/>
              <w:rPr>
                <w:rFonts w:cs="Calibri"/>
                <w:bCs/>
              </w:rPr>
            </w:pPr>
            <w:r w:rsidRPr="000962D2">
              <w:rPr>
                <w:rFonts w:cs="Calibri"/>
                <w:bCs/>
              </w:rPr>
              <w:t>2.</w:t>
            </w:r>
          </w:p>
        </w:tc>
        <w:tc>
          <w:tcPr>
            <w:tcW w:w="2531" w:type="dxa"/>
            <w:tcMar>
              <w:top w:w="0" w:type="dxa"/>
              <w:left w:w="108" w:type="dxa"/>
              <w:bottom w:w="0" w:type="dxa"/>
              <w:right w:w="108" w:type="dxa"/>
            </w:tcMar>
          </w:tcPr>
          <w:p w14:paraId="01B93D6E" w14:textId="77777777" w:rsidR="000962D2" w:rsidRPr="000962D2" w:rsidRDefault="000962D2" w:rsidP="000962D2">
            <w:pPr>
              <w:keepNext/>
              <w:spacing w:after="0" w:line="240" w:lineRule="auto"/>
              <w:rPr>
                <w:rFonts w:cs="Calibri"/>
              </w:rPr>
            </w:pPr>
            <w:r w:rsidRPr="000962D2">
              <w:rPr>
                <w:rFonts w:eastAsia="Times New Roman" w:cs="Calibri"/>
              </w:rPr>
              <w:t>Pradinis susipažinimas su CVP IS priemonėmis gautais pasiūlymais</w:t>
            </w:r>
          </w:p>
        </w:tc>
        <w:tc>
          <w:tcPr>
            <w:tcW w:w="3643" w:type="dxa"/>
            <w:tcMar>
              <w:top w:w="0" w:type="dxa"/>
              <w:left w:w="108" w:type="dxa"/>
              <w:bottom w:w="0" w:type="dxa"/>
              <w:right w:w="108" w:type="dxa"/>
            </w:tcMar>
          </w:tcPr>
          <w:p w14:paraId="3A7659DC" w14:textId="77777777" w:rsidR="000962D2" w:rsidRPr="000962D2" w:rsidRDefault="000962D2" w:rsidP="000962D2">
            <w:pPr>
              <w:spacing w:after="0" w:line="240" w:lineRule="auto"/>
              <w:rPr>
                <w:rFonts w:cs="Calibri"/>
              </w:rPr>
            </w:pPr>
            <w:r w:rsidRPr="000962D2">
              <w:rPr>
                <w:rFonts w:cs="Calibri"/>
              </w:rPr>
              <w:t xml:space="preserve">Pradedamas ne anksčiau nei po 30  </w:t>
            </w:r>
            <w:r w:rsidRPr="000962D2">
              <w:rPr>
                <w:rFonts w:cs="Calibri"/>
                <w:color w:val="000000" w:themeColor="text1"/>
              </w:rPr>
              <w:t>minučių</w:t>
            </w:r>
            <w:r w:rsidRPr="000962D2">
              <w:rPr>
                <w:rFonts w:cs="Calibri"/>
              </w:rPr>
              <w:t xml:space="preserve"> po pasiūlymų pateikimo termino pabaigos</w:t>
            </w:r>
          </w:p>
        </w:tc>
        <w:tc>
          <w:tcPr>
            <w:tcW w:w="2954" w:type="dxa"/>
            <w:tcMar>
              <w:top w:w="0" w:type="dxa"/>
              <w:left w:w="108" w:type="dxa"/>
              <w:bottom w:w="0" w:type="dxa"/>
              <w:right w:w="108" w:type="dxa"/>
            </w:tcMar>
          </w:tcPr>
          <w:p w14:paraId="69622FE7" w14:textId="77777777" w:rsidR="000962D2" w:rsidRPr="000962D2" w:rsidRDefault="000962D2" w:rsidP="000962D2">
            <w:pPr>
              <w:spacing w:after="0" w:line="240" w:lineRule="auto"/>
              <w:rPr>
                <w:rFonts w:cs="Calibri"/>
                <w:iCs/>
              </w:rPr>
            </w:pPr>
          </w:p>
        </w:tc>
      </w:tr>
      <w:tr w:rsidR="000962D2" w:rsidRPr="000962D2" w14:paraId="3E5A708F" w14:textId="77777777" w:rsidTr="00F66381">
        <w:trPr>
          <w:trHeight w:val="20"/>
        </w:trPr>
        <w:tc>
          <w:tcPr>
            <w:tcW w:w="726" w:type="dxa"/>
            <w:tcMar>
              <w:top w:w="0" w:type="dxa"/>
              <w:left w:w="108" w:type="dxa"/>
              <w:bottom w:w="0" w:type="dxa"/>
              <w:right w:w="108" w:type="dxa"/>
            </w:tcMar>
          </w:tcPr>
          <w:p w14:paraId="5600E1F0" w14:textId="77777777" w:rsidR="000962D2" w:rsidRPr="000962D2" w:rsidRDefault="000962D2" w:rsidP="000962D2">
            <w:pPr>
              <w:keepNext/>
              <w:spacing w:after="0" w:line="240" w:lineRule="auto"/>
              <w:rPr>
                <w:rFonts w:cs="Calibri"/>
                <w:bCs/>
              </w:rPr>
            </w:pPr>
            <w:r w:rsidRPr="000962D2">
              <w:rPr>
                <w:rFonts w:cs="Calibri"/>
                <w:bCs/>
              </w:rPr>
              <w:t>3.</w:t>
            </w:r>
          </w:p>
        </w:tc>
        <w:tc>
          <w:tcPr>
            <w:tcW w:w="2531" w:type="dxa"/>
            <w:tcMar>
              <w:top w:w="0" w:type="dxa"/>
              <w:left w:w="108" w:type="dxa"/>
              <w:bottom w:w="0" w:type="dxa"/>
              <w:right w:w="108" w:type="dxa"/>
            </w:tcMar>
          </w:tcPr>
          <w:p w14:paraId="7AE88ABA" w14:textId="77777777" w:rsidR="000962D2" w:rsidRPr="000962D2" w:rsidRDefault="000962D2" w:rsidP="000962D2">
            <w:pPr>
              <w:keepNext/>
              <w:spacing w:after="0" w:line="240" w:lineRule="auto"/>
              <w:rPr>
                <w:rFonts w:cs="Calibri"/>
                <w:bCs/>
              </w:rPr>
            </w:pPr>
            <w:r w:rsidRPr="000962D2">
              <w:rPr>
                <w:rFonts w:cs="Calibri"/>
              </w:rPr>
              <w:t>Prašymą paaiškinti, patikslinti pirkimo sąlygas tiekėjas turi pateikti ne vėliau kaip:</w:t>
            </w:r>
          </w:p>
        </w:tc>
        <w:tc>
          <w:tcPr>
            <w:tcW w:w="3643" w:type="dxa"/>
            <w:tcMar>
              <w:top w:w="0" w:type="dxa"/>
              <w:left w:w="108" w:type="dxa"/>
              <w:bottom w:w="0" w:type="dxa"/>
              <w:right w:w="108" w:type="dxa"/>
            </w:tcMar>
          </w:tcPr>
          <w:p w14:paraId="461EF9E8" w14:textId="77777777" w:rsidR="000962D2" w:rsidRPr="000962D2" w:rsidRDefault="000962D2" w:rsidP="000962D2">
            <w:pPr>
              <w:spacing w:after="0" w:line="240" w:lineRule="auto"/>
              <w:rPr>
                <w:rFonts w:cs="Calibri"/>
              </w:rPr>
            </w:pPr>
            <w:r w:rsidRPr="000962D2">
              <w:rPr>
                <w:rFonts w:cs="Calibri"/>
              </w:rPr>
              <w:t>10 (dešimt) dienų iki pasiūlymų pateikimo termino dienos</w:t>
            </w:r>
          </w:p>
        </w:tc>
        <w:tc>
          <w:tcPr>
            <w:tcW w:w="2954" w:type="dxa"/>
            <w:tcMar>
              <w:top w:w="0" w:type="dxa"/>
              <w:left w:w="108" w:type="dxa"/>
              <w:bottom w:w="0" w:type="dxa"/>
              <w:right w:w="108" w:type="dxa"/>
            </w:tcMar>
          </w:tcPr>
          <w:p w14:paraId="2D660855" w14:textId="77777777" w:rsidR="000962D2" w:rsidRPr="000962D2" w:rsidRDefault="000962D2" w:rsidP="000962D2">
            <w:pPr>
              <w:spacing w:after="0" w:line="240" w:lineRule="auto"/>
              <w:rPr>
                <w:rFonts w:cs="Calibri"/>
                <w:iCs/>
                <w:color w:val="7030A0"/>
              </w:rPr>
            </w:pPr>
          </w:p>
        </w:tc>
      </w:tr>
      <w:tr w:rsidR="000962D2" w:rsidRPr="000962D2" w14:paraId="71C30007" w14:textId="77777777" w:rsidTr="00F66381">
        <w:trPr>
          <w:trHeight w:val="20"/>
        </w:trPr>
        <w:tc>
          <w:tcPr>
            <w:tcW w:w="726" w:type="dxa"/>
            <w:tcMar>
              <w:top w:w="0" w:type="dxa"/>
              <w:left w:w="108" w:type="dxa"/>
              <w:bottom w:w="0" w:type="dxa"/>
              <w:right w:w="108" w:type="dxa"/>
            </w:tcMar>
          </w:tcPr>
          <w:p w14:paraId="2E9CE2F6" w14:textId="77777777" w:rsidR="000962D2" w:rsidRPr="000962D2" w:rsidRDefault="000962D2" w:rsidP="000962D2">
            <w:pPr>
              <w:numPr>
                <w:ilvl w:val="0"/>
                <w:numId w:val="6"/>
              </w:numPr>
              <w:spacing w:after="0" w:line="240" w:lineRule="auto"/>
              <w:contextualSpacing/>
              <w:rPr>
                <w:rFonts w:cs="Calibri"/>
                <w:bCs/>
              </w:rPr>
            </w:pPr>
          </w:p>
        </w:tc>
        <w:tc>
          <w:tcPr>
            <w:tcW w:w="2531" w:type="dxa"/>
            <w:tcMar>
              <w:top w:w="0" w:type="dxa"/>
              <w:left w:w="108" w:type="dxa"/>
              <w:bottom w:w="0" w:type="dxa"/>
              <w:right w:w="108" w:type="dxa"/>
            </w:tcMar>
          </w:tcPr>
          <w:p w14:paraId="53BBB602" w14:textId="77777777" w:rsidR="000962D2" w:rsidRPr="000962D2" w:rsidRDefault="000962D2" w:rsidP="000962D2">
            <w:pPr>
              <w:spacing w:after="0" w:line="240" w:lineRule="auto"/>
              <w:rPr>
                <w:rFonts w:cs="Calibri"/>
              </w:rPr>
            </w:pPr>
            <w:r w:rsidRPr="000962D2">
              <w:rPr>
                <w:rFonts w:cs="Calibri"/>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3423EDF" w14:textId="77777777" w:rsidR="000962D2" w:rsidRPr="000962D2" w:rsidRDefault="000962D2" w:rsidP="000962D2">
            <w:pPr>
              <w:spacing w:after="0" w:line="240" w:lineRule="auto"/>
              <w:rPr>
                <w:rFonts w:cs="Calibri"/>
              </w:rPr>
            </w:pPr>
            <w:r w:rsidRPr="000962D2">
              <w:rPr>
                <w:rFonts w:cs="Calibri"/>
              </w:rPr>
              <w:t>6 (šešios) dienos iki pasiūlymų pateikimo termino dienos</w:t>
            </w:r>
          </w:p>
        </w:tc>
        <w:tc>
          <w:tcPr>
            <w:tcW w:w="2954" w:type="dxa"/>
            <w:tcMar>
              <w:top w:w="0" w:type="dxa"/>
              <w:left w:w="108" w:type="dxa"/>
              <w:bottom w:w="0" w:type="dxa"/>
              <w:right w:w="108" w:type="dxa"/>
            </w:tcMar>
          </w:tcPr>
          <w:p w14:paraId="7F72CA2C" w14:textId="77777777" w:rsidR="000962D2" w:rsidRPr="000962D2" w:rsidRDefault="000962D2" w:rsidP="000962D2">
            <w:pPr>
              <w:spacing w:after="0" w:line="240" w:lineRule="auto"/>
              <w:rPr>
                <w:rFonts w:cs="Calibri"/>
              </w:rPr>
            </w:pPr>
          </w:p>
        </w:tc>
      </w:tr>
      <w:tr w:rsidR="000962D2" w:rsidRPr="000962D2" w14:paraId="344E5DB8" w14:textId="77777777" w:rsidTr="00F66381">
        <w:trPr>
          <w:trHeight w:val="20"/>
        </w:trPr>
        <w:tc>
          <w:tcPr>
            <w:tcW w:w="726" w:type="dxa"/>
            <w:tcMar>
              <w:top w:w="0" w:type="dxa"/>
              <w:left w:w="108" w:type="dxa"/>
              <w:bottom w:w="0" w:type="dxa"/>
              <w:right w:w="108" w:type="dxa"/>
            </w:tcMar>
          </w:tcPr>
          <w:p w14:paraId="60E50B18" w14:textId="77777777" w:rsidR="000962D2" w:rsidRPr="000962D2" w:rsidRDefault="000962D2" w:rsidP="000962D2">
            <w:pPr>
              <w:numPr>
                <w:ilvl w:val="0"/>
                <w:numId w:val="6"/>
              </w:numPr>
              <w:spacing w:after="0" w:line="240" w:lineRule="auto"/>
              <w:contextualSpacing/>
              <w:rPr>
                <w:rFonts w:cs="Calibri"/>
                <w:bCs/>
              </w:rPr>
            </w:pPr>
          </w:p>
        </w:tc>
        <w:tc>
          <w:tcPr>
            <w:tcW w:w="2531" w:type="dxa"/>
            <w:tcMar>
              <w:top w:w="0" w:type="dxa"/>
              <w:left w:w="108" w:type="dxa"/>
              <w:bottom w:w="0" w:type="dxa"/>
              <w:right w:w="108" w:type="dxa"/>
            </w:tcMar>
          </w:tcPr>
          <w:p w14:paraId="4DE78FFA" w14:textId="77777777" w:rsidR="000962D2" w:rsidRPr="000962D2" w:rsidRDefault="000962D2" w:rsidP="000962D2">
            <w:pPr>
              <w:spacing w:after="0" w:line="240" w:lineRule="auto"/>
              <w:rPr>
                <w:rFonts w:cs="Calibri"/>
              </w:rPr>
            </w:pPr>
            <w:r w:rsidRPr="000962D2">
              <w:rPr>
                <w:rFonts w:cs="Calibri"/>
              </w:rPr>
              <w:t>Objekto apžiūra bus vykdoma:</w:t>
            </w:r>
          </w:p>
        </w:tc>
        <w:tc>
          <w:tcPr>
            <w:tcW w:w="3643" w:type="dxa"/>
            <w:tcMar>
              <w:top w:w="0" w:type="dxa"/>
              <w:left w:w="108" w:type="dxa"/>
              <w:bottom w:w="0" w:type="dxa"/>
              <w:right w:w="108" w:type="dxa"/>
            </w:tcMar>
          </w:tcPr>
          <w:p w14:paraId="478B581D" w14:textId="77777777" w:rsidR="000962D2" w:rsidRPr="000962D2" w:rsidRDefault="000962D2" w:rsidP="000962D2">
            <w:pPr>
              <w:spacing w:after="0" w:line="240" w:lineRule="auto"/>
              <w:rPr>
                <w:rFonts w:cs="Calibri"/>
                <w:iCs/>
                <w:color w:val="FF0000"/>
              </w:rPr>
            </w:pPr>
            <w:r w:rsidRPr="000962D2">
              <w:rPr>
                <w:rFonts w:cs="Calibri"/>
                <w:iCs/>
              </w:rPr>
              <w:t>NETAIKOMA</w:t>
            </w:r>
          </w:p>
        </w:tc>
        <w:tc>
          <w:tcPr>
            <w:tcW w:w="2954" w:type="dxa"/>
            <w:tcMar>
              <w:top w:w="0" w:type="dxa"/>
              <w:left w:w="108" w:type="dxa"/>
              <w:bottom w:w="0" w:type="dxa"/>
              <w:right w:w="108" w:type="dxa"/>
            </w:tcMar>
          </w:tcPr>
          <w:p w14:paraId="47C038C3" w14:textId="77777777" w:rsidR="000962D2" w:rsidRPr="000962D2" w:rsidRDefault="000962D2" w:rsidP="000962D2">
            <w:pPr>
              <w:spacing w:after="0" w:line="240" w:lineRule="auto"/>
              <w:rPr>
                <w:rFonts w:cs="Calibri"/>
              </w:rPr>
            </w:pPr>
          </w:p>
        </w:tc>
      </w:tr>
      <w:tr w:rsidR="000962D2" w:rsidRPr="000962D2" w14:paraId="2375496E" w14:textId="77777777" w:rsidTr="00F66381">
        <w:trPr>
          <w:trHeight w:val="20"/>
        </w:trPr>
        <w:tc>
          <w:tcPr>
            <w:tcW w:w="726" w:type="dxa"/>
            <w:tcMar>
              <w:top w:w="0" w:type="dxa"/>
              <w:left w:w="108" w:type="dxa"/>
              <w:bottom w:w="0" w:type="dxa"/>
              <w:right w:w="108" w:type="dxa"/>
            </w:tcMar>
          </w:tcPr>
          <w:p w14:paraId="3D6E1D42" w14:textId="77777777" w:rsidR="000962D2" w:rsidRPr="000962D2" w:rsidRDefault="000962D2" w:rsidP="000962D2">
            <w:pPr>
              <w:numPr>
                <w:ilvl w:val="0"/>
                <w:numId w:val="6"/>
              </w:numPr>
              <w:spacing w:after="0" w:line="240" w:lineRule="auto"/>
              <w:contextualSpacing/>
              <w:rPr>
                <w:rFonts w:cs="Calibri"/>
                <w:bCs/>
              </w:rPr>
            </w:pPr>
          </w:p>
        </w:tc>
        <w:tc>
          <w:tcPr>
            <w:tcW w:w="2531" w:type="dxa"/>
            <w:tcMar>
              <w:top w:w="0" w:type="dxa"/>
              <w:left w:w="108" w:type="dxa"/>
              <w:bottom w:w="0" w:type="dxa"/>
              <w:right w:w="108" w:type="dxa"/>
            </w:tcMar>
          </w:tcPr>
          <w:p w14:paraId="44653668" w14:textId="77777777" w:rsidR="000962D2" w:rsidRPr="000962D2" w:rsidRDefault="000962D2" w:rsidP="000962D2">
            <w:pPr>
              <w:spacing w:after="0" w:line="240" w:lineRule="auto"/>
              <w:rPr>
                <w:rFonts w:cs="Calibri"/>
              </w:rPr>
            </w:pPr>
            <w:r w:rsidRPr="000962D2">
              <w:rPr>
                <w:rFonts w:cs="Calibri"/>
              </w:rPr>
              <w:t>Perkančioji organizacija rengs susitikimus su tiekėjais dėl pirkimo sąlygų paaiškinimo</w:t>
            </w:r>
          </w:p>
        </w:tc>
        <w:tc>
          <w:tcPr>
            <w:tcW w:w="3643" w:type="dxa"/>
            <w:tcMar>
              <w:top w:w="0" w:type="dxa"/>
              <w:left w:w="108" w:type="dxa"/>
              <w:bottom w:w="0" w:type="dxa"/>
              <w:right w:w="108" w:type="dxa"/>
            </w:tcMar>
          </w:tcPr>
          <w:p w14:paraId="79E50DEB" w14:textId="77777777" w:rsidR="000962D2" w:rsidRPr="000962D2" w:rsidRDefault="000962D2" w:rsidP="000962D2">
            <w:pPr>
              <w:spacing w:after="0" w:line="240" w:lineRule="auto"/>
              <w:rPr>
                <w:rFonts w:cs="Calibri"/>
                <w:iCs/>
              </w:rPr>
            </w:pPr>
            <w:r w:rsidRPr="000962D2">
              <w:rPr>
                <w:rFonts w:cs="Calibri"/>
                <w:iCs/>
              </w:rPr>
              <w:t>NETAIKOMA</w:t>
            </w:r>
          </w:p>
        </w:tc>
        <w:tc>
          <w:tcPr>
            <w:tcW w:w="2954" w:type="dxa"/>
            <w:tcMar>
              <w:top w:w="0" w:type="dxa"/>
              <w:left w:w="108" w:type="dxa"/>
              <w:bottom w:w="0" w:type="dxa"/>
              <w:right w:w="108" w:type="dxa"/>
            </w:tcMar>
          </w:tcPr>
          <w:p w14:paraId="6353DDEA" w14:textId="77777777" w:rsidR="000962D2" w:rsidRPr="000962D2" w:rsidRDefault="000962D2" w:rsidP="000962D2">
            <w:pPr>
              <w:spacing w:after="0" w:line="240" w:lineRule="auto"/>
              <w:rPr>
                <w:rFonts w:cs="Calibri"/>
              </w:rPr>
            </w:pPr>
          </w:p>
        </w:tc>
      </w:tr>
      <w:tr w:rsidR="000962D2" w:rsidRPr="000962D2" w14:paraId="2F7A9512" w14:textId="77777777" w:rsidTr="00F66381">
        <w:trPr>
          <w:trHeight w:val="20"/>
        </w:trPr>
        <w:tc>
          <w:tcPr>
            <w:tcW w:w="726" w:type="dxa"/>
            <w:tcMar>
              <w:top w:w="0" w:type="dxa"/>
              <w:left w:w="108" w:type="dxa"/>
              <w:bottom w:w="0" w:type="dxa"/>
              <w:right w:w="108" w:type="dxa"/>
            </w:tcMar>
          </w:tcPr>
          <w:p w14:paraId="658EB842" w14:textId="77777777" w:rsidR="000962D2" w:rsidRPr="000962D2" w:rsidRDefault="000962D2" w:rsidP="000962D2">
            <w:pPr>
              <w:numPr>
                <w:ilvl w:val="0"/>
                <w:numId w:val="6"/>
              </w:numPr>
              <w:spacing w:after="0" w:line="240" w:lineRule="auto"/>
              <w:contextualSpacing/>
              <w:rPr>
                <w:rFonts w:cs="Calibri"/>
                <w:bCs/>
              </w:rPr>
            </w:pPr>
          </w:p>
        </w:tc>
        <w:tc>
          <w:tcPr>
            <w:tcW w:w="2531" w:type="dxa"/>
            <w:tcMar>
              <w:top w:w="0" w:type="dxa"/>
              <w:left w:w="108" w:type="dxa"/>
              <w:bottom w:w="0" w:type="dxa"/>
              <w:right w:w="108" w:type="dxa"/>
            </w:tcMar>
          </w:tcPr>
          <w:p w14:paraId="2F3F97C4" w14:textId="77777777" w:rsidR="000962D2" w:rsidRPr="000962D2" w:rsidRDefault="000962D2" w:rsidP="000962D2">
            <w:pPr>
              <w:spacing w:after="0" w:line="240" w:lineRule="auto"/>
              <w:rPr>
                <w:rFonts w:cs="Calibri"/>
              </w:rPr>
            </w:pPr>
            <w:r w:rsidRPr="000962D2">
              <w:rPr>
                <w:rFonts w:cs="Calibri"/>
              </w:rPr>
              <w:t>Tiekėjai turi pateikti prekių pavyzdžius</w:t>
            </w:r>
          </w:p>
        </w:tc>
        <w:tc>
          <w:tcPr>
            <w:tcW w:w="3643" w:type="dxa"/>
            <w:tcMar>
              <w:top w:w="0" w:type="dxa"/>
              <w:left w:w="108" w:type="dxa"/>
              <w:bottom w:w="0" w:type="dxa"/>
              <w:right w:w="108" w:type="dxa"/>
            </w:tcMar>
          </w:tcPr>
          <w:p w14:paraId="35AE013C" w14:textId="77777777" w:rsidR="000962D2" w:rsidRPr="000962D2" w:rsidRDefault="000962D2" w:rsidP="000962D2">
            <w:pPr>
              <w:suppressAutoHyphens/>
              <w:spacing w:after="0" w:line="240" w:lineRule="auto"/>
              <w:jc w:val="both"/>
              <w:rPr>
                <w:rFonts w:eastAsia="Arial Unicode MS" w:cs="Calibri"/>
                <w:lang w:eastAsia="en-US"/>
              </w:rPr>
            </w:pPr>
            <w:r w:rsidRPr="000962D2">
              <w:rPr>
                <w:rFonts w:eastAsia="Arial Unicode MS" w:cs="Calibri"/>
                <w:lang w:eastAsia="en-US"/>
              </w:rPr>
              <w:t>NETAIKOMA</w:t>
            </w:r>
          </w:p>
          <w:p w14:paraId="6F723C20" w14:textId="77777777" w:rsidR="000962D2" w:rsidRPr="000962D2" w:rsidRDefault="000962D2" w:rsidP="000962D2">
            <w:pPr>
              <w:spacing w:after="0" w:line="240" w:lineRule="auto"/>
              <w:rPr>
                <w:rFonts w:cs="Calibri"/>
                <w:iCs/>
                <w:color w:val="00B050"/>
              </w:rPr>
            </w:pPr>
            <w:r w:rsidRPr="000962D2">
              <w:rPr>
                <w:rFonts w:cs="Calibri"/>
                <w:i/>
                <w:iCs/>
                <w:color w:val="7030A0"/>
              </w:rPr>
              <w:t xml:space="preserve"> </w:t>
            </w:r>
          </w:p>
        </w:tc>
        <w:tc>
          <w:tcPr>
            <w:tcW w:w="2954" w:type="dxa"/>
            <w:tcMar>
              <w:top w:w="0" w:type="dxa"/>
              <w:left w:w="108" w:type="dxa"/>
              <w:bottom w:w="0" w:type="dxa"/>
              <w:right w:w="108" w:type="dxa"/>
            </w:tcMar>
          </w:tcPr>
          <w:p w14:paraId="0C7995F5" w14:textId="77777777" w:rsidR="000962D2" w:rsidRPr="000962D2" w:rsidRDefault="000962D2" w:rsidP="000962D2">
            <w:pPr>
              <w:spacing w:after="0" w:line="240" w:lineRule="auto"/>
              <w:rPr>
                <w:rFonts w:cs="Calibri"/>
              </w:rPr>
            </w:pPr>
          </w:p>
        </w:tc>
      </w:tr>
      <w:tr w:rsidR="000962D2" w:rsidRPr="000962D2" w14:paraId="0BF8DDE7" w14:textId="77777777" w:rsidTr="00F66381">
        <w:trPr>
          <w:trHeight w:val="20"/>
        </w:trPr>
        <w:tc>
          <w:tcPr>
            <w:tcW w:w="726" w:type="dxa"/>
            <w:tcMar>
              <w:top w:w="0" w:type="dxa"/>
              <w:left w:w="108" w:type="dxa"/>
              <w:bottom w:w="0" w:type="dxa"/>
              <w:right w:w="108" w:type="dxa"/>
            </w:tcMar>
          </w:tcPr>
          <w:p w14:paraId="0CB5AECE" w14:textId="77777777" w:rsidR="000962D2" w:rsidRPr="000962D2" w:rsidRDefault="000962D2" w:rsidP="000962D2">
            <w:pPr>
              <w:numPr>
                <w:ilvl w:val="0"/>
                <w:numId w:val="6"/>
              </w:numPr>
              <w:spacing w:after="0" w:line="240" w:lineRule="auto"/>
              <w:contextualSpacing/>
              <w:rPr>
                <w:rFonts w:cs="Calibri"/>
                <w:bCs/>
              </w:rPr>
            </w:pPr>
          </w:p>
        </w:tc>
        <w:tc>
          <w:tcPr>
            <w:tcW w:w="2531" w:type="dxa"/>
            <w:tcMar>
              <w:top w:w="0" w:type="dxa"/>
              <w:left w:w="108" w:type="dxa"/>
              <w:bottom w:w="0" w:type="dxa"/>
              <w:right w:w="108" w:type="dxa"/>
            </w:tcMar>
          </w:tcPr>
          <w:p w14:paraId="30FFD174" w14:textId="77777777" w:rsidR="000962D2" w:rsidRPr="000962D2" w:rsidRDefault="000962D2" w:rsidP="000962D2">
            <w:pPr>
              <w:spacing w:after="0" w:line="240" w:lineRule="auto"/>
              <w:rPr>
                <w:rFonts w:cs="Calibri"/>
                <w:bCs/>
              </w:rPr>
            </w:pPr>
            <w:r w:rsidRPr="000962D2">
              <w:rPr>
                <w:rFonts w:cs="Calibri"/>
                <w:bCs/>
              </w:rPr>
              <w:t>Pasiūlymo galiojimo ir pasiūlymo galiojimo užtikrinimo (jei taikoma) terminas ne trumpesnis kaip</w:t>
            </w:r>
          </w:p>
        </w:tc>
        <w:tc>
          <w:tcPr>
            <w:tcW w:w="3643" w:type="dxa"/>
            <w:tcMar>
              <w:top w:w="0" w:type="dxa"/>
              <w:left w:w="108" w:type="dxa"/>
              <w:bottom w:w="0" w:type="dxa"/>
              <w:right w:w="108" w:type="dxa"/>
            </w:tcMar>
          </w:tcPr>
          <w:p w14:paraId="611326F4" w14:textId="77777777" w:rsidR="000962D2" w:rsidRPr="000962D2" w:rsidRDefault="000962D2" w:rsidP="000962D2">
            <w:pPr>
              <w:spacing w:after="0" w:line="240" w:lineRule="auto"/>
              <w:rPr>
                <w:rFonts w:cs="Calibri"/>
                <w:iCs/>
              </w:rPr>
            </w:pPr>
            <w:r w:rsidRPr="000962D2">
              <w:rPr>
                <w:rFonts w:cs="Calibri"/>
                <w:iCs/>
              </w:rPr>
              <w:t>90 (devyniasdešimt) dienų nuo pasiūlymų pateikimo galutinio termino pabaigos</w:t>
            </w:r>
          </w:p>
        </w:tc>
        <w:tc>
          <w:tcPr>
            <w:tcW w:w="2954" w:type="dxa"/>
            <w:tcMar>
              <w:top w:w="0" w:type="dxa"/>
              <w:left w:w="108" w:type="dxa"/>
              <w:bottom w:w="0" w:type="dxa"/>
              <w:right w:w="108" w:type="dxa"/>
            </w:tcMar>
          </w:tcPr>
          <w:p w14:paraId="36CA5A59" w14:textId="77777777" w:rsidR="000962D2" w:rsidRPr="000962D2" w:rsidRDefault="000962D2" w:rsidP="000962D2">
            <w:pPr>
              <w:spacing w:after="0" w:line="240" w:lineRule="auto"/>
              <w:rPr>
                <w:rFonts w:cs="Calibri"/>
              </w:rPr>
            </w:pPr>
          </w:p>
        </w:tc>
      </w:tr>
      <w:tr w:rsidR="000962D2" w:rsidRPr="000962D2" w14:paraId="382215BD" w14:textId="77777777" w:rsidTr="00F66381">
        <w:trPr>
          <w:trHeight w:val="20"/>
        </w:trPr>
        <w:tc>
          <w:tcPr>
            <w:tcW w:w="726" w:type="dxa"/>
            <w:tcMar>
              <w:top w:w="0" w:type="dxa"/>
              <w:left w:w="108" w:type="dxa"/>
              <w:bottom w:w="0" w:type="dxa"/>
              <w:right w:w="108" w:type="dxa"/>
            </w:tcMar>
          </w:tcPr>
          <w:p w14:paraId="6565AB07" w14:textId="77777777" w:rsidR="000962D2" w:rsidRPr="000962D2" w:rsidRDefault="000962D2" w:rsidP="000962D2">
            <w:pPr>
              <w:numPr>
                <w:ilvl w:val="0"/>
                <w:numId w:val="6"/>
              </w:numPr>
              <w:spacing w:after="0" w:line="240" w:lineRule="auto"/>
              <w:contextualSpacing/>
              <w:rPr>
                <w:rFonts w:cs="Calibri"/>
              </w:rPr>
            </w:pPr>
          </w:p>
        </w:tc>
        <w:tc>
          <w:tcPr>
            <w:tcW w:w="2531" w:type="dxa"/>
            <w:tcMar>
              <w:top w:w="0" w:type="dxa"/>
              <w:left w:w="108" w:type="dxa"/>
              <w:bottom w:w="0" w:type="dxa"/>
              <w:right w:w="108" w:type="dxa"/>
            </w:tcMar>
          </w:tcPr>
          <w:p w14:paraId="085F09A8" w14:textId="77777777" w:rsidR="000962D2" w:rsidRPr="000962D2" w:rsidRDefault="000962D2" w:rsidP="000962D2">
            <w:pPr>
              <w:spacing w:after="0" w:line="240" w:lineRule="auto"/>
              <w:rPr>
                <w:rFonts w:cs="Calibri"/>
                <w:bCs/>
              </w:rPr>
            </w:pPr>
            <w:r w:rsidRPr="000962D2">
              <w:rPr>
                <w:rFonts w:cs="Calibr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1022AE7" w14:textId="77777777" w:rsidR="000962D2" w:rsidRPr="000962D2" w:rsidRDefault="000962D2" w:rsidP="000962D2">
            <w:pPr>
              <w:spacing w:after="0" w:line="240" w:lineRule="auto"/>
              <w:rPr>
                <w:rFonts w:cs="Calibri"/>
              </w:rPr>
            </w:pPr>
            <w:r w:rsidRPr="000962D2">
              <w:rPr>
                <w:rFonts w:cs="Calibri"/>
                <w:iCs/>
              </w:rPr>
              <w:t>NETAIKOMA</w:t>
            </w:r>
          </w:p>
          <w:p w14:paraId="0B34B497" w14:textId="77777777" w:rsidR="000962D2" w:rsidRPr="000962D2" w:rsidRDefault="000962D2" w:rsidP="000962D2">
            <w:pPr>
              <w:spacing w:after="0" w:line="240" w:lineRule="auto"/>
              <w:rPr>
                <w:rFonts w:cs="Calibri"/>
                <w:iCs/>
              </w:rPr>
            </w:pPr>
          </w:p>
        </w:tc>
        <w:tc>
          <w:tcPr>
            <w:tcW w:w="2954" w:type="dxa"/>
            <w:tcMar>
              <w:top w:w="0" w:type="dxa"/>
              <w:left w:w="108" w:type="dxa"/>
              <w:bottom w:w="0" w:type="dxa"/>
              <w:right w:w="108" w:type="dxa"/>
            </w:tcMar>
          </w:tcPr>
          <w:p w14:paraId="0000C213" w14:textId="77777777" w:rsidR="000962D2" w:rsidRPr="000962D2" w:rsidRDefault="000962D2" w:rsidP="000962D2">
            <w:pPr>
              <w:spacing w:after="0" w:line="240" w:lineRule="auto"/>
              <w:rPr>
                <w:rFonts w:cs="Calibri"/>
              </w:rPr>
            </w:pPr>
          </w:p>
        </w:tc>
      </w:tr>
      <w:tr w:rsidR="000962D2" w:rsidRPr="000962D2" w14:paraId="2A3B6D0A" w14:textId="77777777" w:rsidTr="00F66381">
        <w:trPr>
          <w:trHeight w:val="20"/>
        </w:trPr>
        <w:tc>
          <w:tcPr>
            <w:tcW w:w="726" w:type="dxa"/>
            <w:tcMar>
              <w:top w:w="0" w:type="dxa"/>
              <w:left w:w="108" w:type="dxa"/>
              <w:bottom w:w="0" w:type="dxa"/>
              <w:right w:w="108" w:type="dxa"/>
            </w:tcMar>
          </w:tcPr>
          <w:p w14:paraId="0EA8CE67" w14:textId="77777777" w:rsidR="000962D2" w:rsidRPr="000962D2" w:rsidRDefault="000962D2" w:rsidP="000962D2">
            <w:pPr>
              <w:numPr>
                <w:ilvl w:val="0"/>
                <w:numId w:val="6"/>
              </w:numPr>
              <w:spacing w:after="0" w:line="240" w:lineRule="auto"/>
              <w:contextualSpacing/>
              <w:rPr>
                <w:rFonts w:cs="Calibri"/>
                <w:bCs/>
              </w:rPr>
            </w:pPr>
          </w:p>
        </w:tc>
        <w:tc>
          <w:tcPr>
            <w:tcW w:w="2531" w:type="dxa"/>
            <w:tcMar>
              <w:top w:w="0" w:type="dxa"/>
              <w:left w:w="108" w:type="dxa"/>
              <w:bottom w:w="0" w:type="dxa"/>
              <w:right w:w="108" w:type="dxa"/>
            </w:tcMar>
          </w:tcPr>
          <w:p w14:paraId="7D030567" w14:textId="77777777" w:rsidR="000962D2" w:rsidRPr="000962D2" w:rsidRDefault="000962D2" w:rsidP="000962D2">
            <w:pPr>
              <w:spacing w:after="0" w:line="240" w:lineRule="auto"/>
              <w:rPr>
                <w:rFonts w:cs="Calibri"/>
                <w:bCs/>
              </w:rPr>
            </w:pPr>
            <w:r w:rsidRPr="000962D2">
              <w:rPr>
                <w:rFonts w:cs="Calibr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7F34543" w14:textId="77777777" w:rsidR="000962D2" w:rsidRPr="000962D2" w:rsidRDefault="000962D2" w:rsidP="000962D2">
            <w:pPr>
              <w:spacing w:after="0" w:line="240" w:lineRule="auto"/>
              <w:jc w:val="both"/>
              <w:rPr>
                <w:rFonts w:cs="Calibri"/>
              </w:rPr>
            </w:pPr>
            <w:r w:rsidRPr="000962D2">
              <w:rPr>
                <w:rFonts w:cs="Calibri"/>
              </w:rPr>
              <w:t>NETAIKOMA</w:t>
            </w:r>
          </w:p>
          <w:p w14:paraId="4AB51D7D" w14:textId="77777777" w:rsidR="000962D2" w:rsidRPr="000962D2" w:rsidRDefault="000962D2" w:rsidP="000962D2">
            <w:pPr>
              <w:spacing w:after="0" w:line="240" w:lineRule="auto"/>
              <w:jc w:val="both"/>
              <w:rPr>
                <w:rFonts w:cs="Calibri"/>
              </w:rPr>
            </w:pPr>
          </w:p>
        </w:tc>
        <w:tc>
          <w:tcPr>
            <w:tcW w:w="2954" w:type="dxa"/>
            <w:tcMar>
              <w:top w:w="0" w:type="dxa"/>
              <w:left w:w="108" w:type="dxa"/>
              <w:bottom w:w="0" w:type="dxa"/>
              <w:right w:w="108" w:type="dxa"/>
            </w:tcMar>
          </w:tcPr>
          <w:p w14:paraId="213931E2" w14:textId="77777777" w:rsidR="000962D2" w:rsidRPr="000962D2" w:rsidRDefault="000962D2" w:rsidP="000962D2">
            <w:pPr>
              <w:spacing w:after="0" w:line="240" w:lineRule="auto"/>
              <w:rPr>
                <w:rFonts w:cs="Calibri"/>
              </w:rPr>
            </w:pPr>
          </w:p>
        </w:tc>
      </w:tr>
      <w:tr w:rsidR="000962D2" w:rsidRPr="000962D2" w14:paraId="017A84EA" w14:textId="77777777" w:rsidTr="00F66381">
        <w:trPr>
          <w:trHeight w:val="20"/>
        </w:trPr>
        <w:tc>
          <w:tcPr>
            <w:tcW w:w="726" w:type="dxa"/>
            <w:tcMar>
              <w:top w:w="0" w:type="dxa"/>
              <w:left w:w="108" w:type="dxa"/>
              <w:bottom w:w="0" w:type="dxa"/>
              <w:right w:w="108" w:type="dxa"/>
            </w:tcMar>
          </w:tcPr>
          <w:p w14:paraId="44D2EC7A" w14:textId="77777777" w:rsidR="000962D2" w:rsidRPr="000962D2" w:rsidRDefault="000962D2" w:rsidP="000962D2">
            <w:pPr>
              <w:numPr>
                <w:ilvl w:val="0"/>
                <w:numId w:val="6"/>
              </w:numPr>
              <w:spacing w:after="0" w:line="240" w:lineRule="auto"/>
              <w:contextualSpacing/>
              <w:rPr>
                <w:rFonts w:cs="Calibri"/>
                <w:bCs/>
              </w:rPr>
            </w:pPr>
          </w:p>
        </w:tc>
        <w:tc>
          <w:tcPr>
            <w:tcW w:w="2531" w:type="dxa"/>
            <w:tcMar>
              <w:top w:w="0" w:type="dxa"/>
              <w:left w:w="108" w:type="dxa"/>
              <w:bottom w:w="0" w:type="dxa"/>
              <w:right w:w="108" w:type="dxa"/>
            </w:tcMar>
          </w:tcPr>
          <w:p w14:paraId="6AC6E7F9" w14:textId="77777777" w:rsidR="000962D2" w:rsidRPr="000962D2" w:rsidRDefault="000962D2" w:rsidP="000962D2">
            <w:pPr>
              <w:spacing w:after="0" w:line="240" w:lineRule="auto"/>
              <w:rPr>
                <w:rFonts w:cs="Calibri"/>
                <w:bCs/>
              </w:rPr>
            </w:pPr>
            <w:r w:rsidRPr="000962D2">
              <w:rPr>
                <w:rFonts w:cs="Calibri"/>
                <w:bCs/>
              </w:rPr>
              <w:t>Perkančioji organizacija informuoja pirkimo dalyvius apie EBVPD vertinimo rezultatus ne vėliau kaip per</w:t>
            </w:r>
          </w:p>
        </w:tc>
        <w:tc>
          <w:tcPr>
            <w:tcW w:w="3643" w:type="dxa"/>
            <w:tcMar>
              <w:top w:w="0" w:type="dxa"/>
              <w:left w:w="108" w:type="dxa"/>
              <w:bottom w:w="0" w:type="dxa"/>
              <w:right w:w="108" w:type="dxa"/>
            </w:tcMar>
          </w:tcPr>
          <w:p w14:paraId="6BBE2B9F" w14:textId="77777777" w:rsidR="000962D2" w:rsidRPr="000962D2" w:rsidRDefault="000962D2" w:rsidP="000962D2">
            <w:pPr>
              <w:spacing w:after="0" w:line="240" w:lineRule="auto"/>
              <w:rPr>
                <w:rFonts w:cs="Calibri"/>
                <w:bCs/>
              </w:rPr>
            </w:pPr>
            <w:r w:rsidRPr="000962D2">
              <w:rPr>
                <w:rFonts w:cs="Calibri"/>
                <w:bCs/>
              </w:rPr>
              <w:t>3 (tris) darbo dienas nuo sprendimo priėmimo dienos</w:t>
            </w:r>
          </w:p>
        </w:tc>
        <w:tc>
          <w:tcPr>
            <w:tcW w:w="2954" w:type="dxa"/>
            <w:tcMar>
              <w:top w:w="0" w:type="dxa"/>
              <w:left w:w="108" w:type="dxa"/>
              <w:bottom w:w="0" w:type="dxa"/>
              <w:right w:w="108" w:type="dxa"/>
            </w:tcMar>
          </w:tcPr>
          <w:p w14:paraId="799C6FD0" w14:textId="77777777" w:rsidR="000962D2" w:rsidRPr="000962D2" w:rsidRDefault="000962D2" w:rsidP="000962D2">
            <w:pPr>
              <w:spacing w:after="0" w:line="240" w:lineRule="auto"/>
              <w:rPr>
                <w:rFonts w:cs="Calibri"/>
                <w:bCs/>
              </w:rPr>
            </w:pPr>
          </w:p>
        </w:tc>
      </w:tr>
      <w:tr w:rsidR="000962D2" w:rsidRPr="000962D2" w14:paraId="3D8ACF6D" w14:textId="77777777" w:rsidTr="00F66381">
        <w:trPr>
          <w:trHeight w:val="20"/>
        </w:trPr>
        <w:tc>
          <w:tcPr>
            <w:tcW w:w="726" w:type="dxa"/>
            <w:tcMar>
              <w:top w:w="0" w:type="dxa"/>
              <w:left w:w="108" w:type="dxa"/>
              <w:bottom w:w="0" w:type="dxa"/>
              <w:right w:w="108" w:type="dxa"/>
            </w:tcMar>
          </w:tcPr>
          <w:p w14:paraId="5449AC58" w14:textId="77777777" w:rsidR="000962D2" w:rsidRPr="000962D2" w:rsidRDefault="000962D2" w:rsidP="000962D2">
            <w:pPr>
              <w:numPr>
                <w:ilvl w:val="0"/>
                <w:numId w:val="6"/>
              </w:numPr>
              <w:spacing w:after="0" w:line="240" w:lineRule="auto"/>
              <w:contextualSpacing/>
              <w:rPr>
                <w:rFonts w:cs="Calibri"/>
                <w:bCs/>
              </w:rPr>
            </w:pPr>
          </w:p>
        </w:tc>
        <w:tc>
          <w:tcPr>
            <w:tcW w:w="2531" w:type="dxa"/>
            <w:tcMar>
              <w:top w:w="0" w:type="dxa"/>
              <w:left w:w="108" w:type="dxa"/>
              <w:bottom w:w="0" w:type="dxa"/>
              <w:right w:w="108" w:type="dxa"/>
            </w:tcMar>
          </w:tcPr>
          <w:p w14:paraId="296593AC" w14:textId="77777777" w:rsidR="000962D2" w:rsidRPr="000962D2" w:rsidRDefault="000962D2" w:rsidP="000962D2">
            <w:pPr>
              <w:spacing w:after="0" w:line="240" w:lineRule="auto"/>
              <w:rPr>
                <w:rFonts w:cs="Calibri"/>
                <w:bCs/>
              </w:rPr>
            </w:pPr>
            <w:r w:rsidRPr="000962D2">
              <w:rPr>
                <w:rFonts w:cs="Calibri"/>
                <w:bCs/>
              </w:rPr>
              <w:t xml:space="preserve">Perkančioji organizacija pirkimo dalyviams praneša apie priimtą sprendimą nustatyti laimėjusį pasiūlymą, </w:t>
            </w:r>
            <w:r w:rsidRPr="000962D2">
              <w:rPr>
                <w:rFonts w:cs="Calibri"/>
              </w:rPr>
              <w:t>dėl kurio bus sudaroma</w:t>
            </w:r>
            <w:r w:rsidRPr="000962D2">
              <w:rPr>
                <w:rFonts w:cs="Calibri"/>
                <w:bCs/>
              </w:rPr>
              <w:t xml:space="preserve"> sutartis ne vėliau kaip per</w:t>
            </w:r>
          </w:p>
        </w:tc>
        <w:tc>
          <w:tcPr>
            <w:tcW w:w="3643" w:type="dxa"/>
            <w:tcMar>
              <w:top w:w="0" w:type="dxa"/>
              <w:left w:w="108" w:type="dxa"/>
              <w:bottom w:w="0" w:type="dxa"/>
              <w:right w:w="108" w:type="dxa"/>
            </w:tcMar>
          </w:tcPr>
          <w:p w14:paraId="38DEFB69" w14:textId="77777777" w:rsidR="000962D2" w:rsidRPr="000962D2" w:rsidRDefault="000962D2" w:rsidP="000962D2">
            <w:pPr>
              <w:spacing w:after="0" w:line="240" w:lineRule="auto"/>
              <w:rPr>
                <w:rFonts w:cs="Calibri"/>
                <w:bCs/>
              </w:rPr>
            </w:pPr>
            <w:r w:rsidRPr="000962D2">
              <w:rPr>
                <w:rFonts w:cs="Calibri"/>
                <w:bCs/>
              </w:rPr>
              <w:t>3 (tris) darbo dienas nuo sprendimo priėmimo dienos</w:t>
            </w:r>
          </w:p>
        </w:tc>
        <w:tc>
          <w:tcPr>
            <w:tcW w:w="2954" w:type="dxa"/>
            <w:tcMar>
              <w:top w:w="0" w:type="dxa"/>
              <w:left w:w="108" w:type="dxa"/>
              <w:bottom w:w="0" w:type="dxa"/>
              <w:right w:w="108" w:type="dxa"/>
            </w:tcMar>
          </w:tcPr>
          <w:p w14:paraId="5D5FC163" w14:textId="77777777" w:rsidR="000962D2" w:rsidRPr="000962D2" w:rsidRDefault="000962D2" w:rsidP="000962D2">
            <w:pPr>
              <w:spacing w:after="0" w:line="240" w:lineRule="auto"/>
              <w:rPr>
                <w:rFonts w:cs="Calibri"/>
              </w:rPr>
            </w:pPr>
          </w:p>
        </w:tc>
      </w:tr>
      <w:tr w:rsidR="000962D2" w:rsidRPr="000962D2" w14:paraId="2D41FD71" w14:textId="77777777" w:rsidTr="00F66381">
        <w:trPr>
          <w:trHeight w:val="20"/>
        </w:trPr>
        <w:tc>
          <w:tcPr>
            <w:tcW w:w="726" w:type="dxa"/>
            <w:tcMar>
              <w:top w:w="0" w:type="dxa"/>
              <w:left w:w="108" w:type="dxa"/>
              <w:bottom w:w="0" w:type="dxa"/>
              <w:right w:w="108" w:type="dxa"/>
            </w:tcMar>
          </w:tcPr>
          <w:p w14:paraId="114467FC" w14:textId="77777777" w:rsidR="000962D2" w:rsidRPr="000962D2" w:rsidRDefault="000962D2" w:rsidP="000962D2">
            <w:pPr>
              <w:numPr>
                <w:ilvl w:val="0"/>
                <w:numId w:val="6"/>
              </w:numPr>
              <w:spacing w:after="0" w:line="240" w:lineRule="auto"/>
              <w:contextualSpacing/>
              <w:rPr>
                <w:rFonts w:cs="Calibri"/>
                <w:bCs/>
              </w:rPr>
            </w:pPr>
          </w:p>
        </w:tc>
        <w:tc>
          <w:tcPr>
            <w:tcW w:w="2531" w:type="dxa"/>
            <w:tcMar>
              <w:top w:w="0" w:type="dxa"/>
              <w:left w:w="108" w:type="dxa"/>
              <w:bottom w:w="0" w:type="dxa"/>
              <w:right w:w="108" w:type="dxa"/>
            </w:tcMar>
          </w:tcPr>
          <w:p w14:paraId="0855EACB" w14:textId="77777777" w:rsidR="000962D2" w:rsidRPr="000962D2" w:rsidRDefault="000962D2" w:rsidP="000962D2">
            <w:pPr>
              <w:spacing w:after="0" w:line="240" w:lineRule="auto"/>
              <w:rPr>
                <w:rFonts w:cs="Calibri"/>
                <w:bCs/>
              </w:rPr>
            </w:pPr>
            <w:r w:rsidRPr="000962D2">
              <w:rPr>
                <w:rFonts w:cs="Calibr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1D22B8" w14:textId="77777777" w:rsidR="000962D2" w:rsidRPr="000962D2" w:rsidRDefault="000962D2" w:rsidP="000962D2">
            <w:pPr>
              <w:spacing w:after="0" w:line="240" w:lineRule="auto"/>
              <w:rPr>
                <w:rFonts w:cs="Calibri"/>
                <w:bCs/>
              </w:rPr>
            </w:pPr>
            <w:r w:rsidRPr="000962D2">
              <w:rPr>
                <w:rFonts w:cs="Calibri"/>
                <w:bCs/>
              </w:rPr>
              <w:t>15 (penkiolika) dienų nuo pirkimo dalyvio raštu pateikto prašymo gavimo dienos</w:t>
            </w:r>
          </w:p>
        </w:tc>
        <w:tc>
          <w:tcPr>
            <w:tcW w:w="2954" w:type="dxa"/>
            <w:tcMar>
              <w:top w:w="0" w:type="dxa"/>
              <w:left w:w="108" w:type="dxa"/>
              <w:bottom w:w="0" w:type="dxa"/>
              <w:right w:w="108" w:type="dxa"/>
            </w:tcMar>
          </w:tcPr>
          <w:p w14:paraId="6FC9D6CA" w14:textId="77777777" w:rsidR="000962D2" w:rsidRPr="000962D2" w:rsidRDefault="000962D2" w:rsidP="000962D2">
            <w:pPr>
              <w:shd w:val="clear" w:color="auto" w:fill="FFFFFF"/>
              <w:spacing w:after="0" w:line="240" w:lineRule="auto"/>
              <w:ind w:firstLine="313"/>
              <w:rPr>
                <w:rFonts w:cs="Calibri"/>
              </w:rPr>
            </w:pPr>
          </w:p>
        </w:tc>
      </w:tr>
      <w:tr w:rsidR="000962D2" w:rsidRPr="000962D2" w14:paraId="30851F2C" w14:textId="77777777" w:rsidTr="00F66381">
        <w:trPr>
          <w:trHeight w:val="20"/>
        </w:trPr>
        <w:tc>
          <w:tcPr>
            <w:tcW w:w="726" w:type="dxa"/>
            <w:tcMar>
              <w:top w:w="0" w:type="dxa"/>
              <w:left w:w="108" w:type="dxa"/>
              <w:bottom w:w="0" w:type="dxa"/>
              <w:right w:w="108" w:type="dxa"/>
            </w:tcMar>
          </w:tcPr>
          <w:p w14:paraId="57A4ADD8" w14:textId="77777777" w:rsidR="000962D2" w:rsidRPr="000962D2" w:rsidRDefault="000962D2" w:rsidP="000962D2">
            <w:pPr>
              <w:numPr>
                <w:ilvl w:val="0"/>
                <w:numId w:val="6"/>
              </w:numPr>
              <w:spacing w:after="0" w:line="240" w:lineRule="auto"/>
              <w:contextualSpacing/>
              <w:rPr>
                <w:rFonts w:cs="Calibri"/>
                <w:bCs/>
              </w:rPr>
            </w:pPr>
          </w:p>
        </w:tc>
        <w:tc>
          <w:tcPr>
            <w:tcW w:w="2531" w:type="dxa"/>
            <w:tcMar>
              <w:top w:w="0" w:type="dxa"/>
              <w:left w:w="108" w:type="dxa"/>
              <w:bottom w:w="0" w:type="dxa"/>
              <w:right w:w="108" w:type="dxa"/>
            </w:tcMar>
          </w:tcPr>
          <w:p w14:paraId="63AE107B" w14:textId="77777777" w:rsidR="000962D2" w:rsidRPr="000962D2" w:rsidRDefault="000962D2" w:rsidP="000962D2">
            <w:pPr>
              <w:spacing w:after="0" w:line="240" w:lineRule="auto"/>
              <w:rPr>
                <w:rFonts w:cs="Calibri"/>
                <w:bCs/>
              </w:rPr>
            </w:pPr>
            <w:r w:rsidRPr="000962D2">
              <w:rPr>
                <w:rFonts w:cs="Calibri"/>
                <w:color w:val="000000"/>
                <w:shd w:val="clear" w:color="auto" w:fill="FFFFFF"/>
              </w:rPr>
              <w:t xml:space="preserve">Tiekėjas turi teisę pateikti pretenziją perkančiajai organizacijai, pateikti prašymą ar pareikšti ieškinį teismui </w:t>
            </w:r>
            <w:r w:rsidRPr="000962D2">
              <w:rPr>
                <w:rFonts w:cs="Calibri"/>
                <w:bCs/>
              </w:rPr>
              <w:t>ne vėliau kaip per</w:t>
            </w:r>
          </w:p>
        </w:tc>
        <w:tc>
          <w:tcPr>
            <w:tcW w:w="3643" w:type="dxa"/>
            <w:tcMar>
              <w:top w:w="0" w:type="dxa"/>
              <w:left w:w="108" w:type="dxa"/>
              <w:bottom w:w="0" w:type="dxa"/>
              <w:right w:w="108" w:type="dxa"/>
            </w:tcMar>
          </w:tcPr>
          <w:p w14:paraId="27BB36CC" w14:textId="77777777" w:rsidR="000962D2" w:rsidRPr="000962D2" w:rsidRDefault="000962D2" w:rsidP="000962D2">
            <w:pPr>
              <w:spacing w:after="0" w:line="240" w:lineRule="auto"/>
              <w:rPr>
                <w:rFonts w:cs="Calibri"/>
              </w:rPr>
            </w:pPr>
            <w:r w:rsidRPr="000962D2">
              <w:rPr>
                <w:rFonts w:cs="Calibri"/>
              </w:rPr>
              <w:t>10 (dešimt) dienų</w:t>
            </w:r>
          </w:p>
          <w:p w14:paraId="5431EA1A" w14:textId="77777777" w:rsidR="000962D2" w:rsidRPr="000962D2" w:rsidRDefault="000962D2" w:rsidP="000962D2">
            <w:pPr>
              <w:spacing w:after="0" w:line="240" w:lineRule="auto"/>
              <w:jc w:val="both"/>
              <w:rPr>
                <w:rFonts w:cs="Calibri"/>
              </w:rPr>
            </w:pPr>
            <w:r w:rsidRPr="000962D2">
              <w:rPr>
                <w:rFonts w:cs="Calibri"/>
              </w:rPr>
              <w:t xml:space="preserve">nuo </w:t>
            </w:r>
            <w:r w:rsidRPr="000962D2">
              <w:rPr>
                <w:rFonts w:eastAsia="Times New Roman" w:cs="Calibri"/>
              </w:rPr>
              <w:t>perkančiosios organizacijos</w:t>
            </w:r>
            <w:r w:rsidRPr="000962D2">
              <w:rPr>
                <w:rFonts w:cs="Calibri"/>
              </w:rPr>
              <w:t xml:space="preserve"> pranešimo raštu apie jos priimtą sprendimą išsiuntimo tiekėjams dienos arba nuo paskelbimo apie </w:t>
            </w:r>
            <w:r w:rsidRPr="000962D2">
              <w:rPr>
                <w:rFonts w:eastAsia="Times New Roman" w:cs="Calibri"/>
              </w:rPr>
              <w:t>perkančiosios organizacijos</w:t>
            </w:r>
            <w:r w:rsidRPr="000962D2">
              <w:rPr>
                <w:rFonts w:cs="Calibri"/>
              </w:rPr>
              <w:t xml:space="preserve"> priimtus sprendimus dienos, jei VPĮ nenumato reikalavimo raštu informuoti tiekėjus apie </w:t>
            </w:r>
            <w:r w:rsidRPr="000962D2">
              <w:rPr>
                <w:rFonts w:eastAsia="Times New Roman" w:cs="Calibri"/>
              </w:rPr>
              <w:t xml:space="preserve"> perkančiosios organizacijos</w:t>
            </w:r>
            <w:r w:rsidRPr="000962D2">
              <w:rPr>
                <w:rFonts w:cs="Calibri"/>
              </w:rPr>
              <w:t xml:space="preserve"> priimtus sprendimus;</w:t>
            </w:r>
          </w:p>
          <w:p w14:paraId="19EED7EA" w14:textId="77777777" w:rsidR="000962D2" w:rsidRPr="000962D2" w:rsidRDefault="000962D2" w:rsidP="000962D2">
            <w:pPr>
              <w:spacing w:after="0" w:line="240" w:lineRule="auto"/>
              <w:jc w:val="both"/>
              <w:rPr>
                <w:rFonts w:cs="Calibri"/>
              </w:rPr>
            </w:pPr>
            <w:r w:rsidRPr="000962D2">
              <w:rPr>
                <w:rFonts w:cs="Calibr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ADDF822" w14:textId="77777777" w:rsidR="000962D2" w:rsidRPr="000962D2" w:rsidRDefault="000962D2" w:rsidP="000962D2">
            <w:pPr>
              <w:spacing w:after="0" w:line="240" w:lineRule="auto"/>
              <w:rPr>
                <w:rFonts w:cs="Calibri"/>
                <w:bCs/>
              </w:rPr>
            </w:pPr>
          </w:p>
        </w:tc>
      </w:tr>
      <w:tr w:rsidR="000962D2" w:rsidRPr="000962D2" w14:paraId="6D573978" w14:textId="77777777" w:rsidTr="00F66381">
        <w:trPr>
          <w:trHeight w:val="20"/>
        </w:trPr>
        <w:tc>
          <w:tcPr>
            <w:tcW w:w="726" w:type="dxa"/>
            <w:tcMar>
              <w:top w:w="0" w:type="dxa"/>
              <w:left w:w="108" w:type="dxa"/>
              <w:bottom w:w="0" w:type="dxa"/>
              <w:right w:w="108" w:type="dxa"/>
            </w:tcMar>
          </w:tcPr>
          <w:p w14:paraId="7E09A755" w14:textId="77777777" w:rsidR="000962D2" w:rsidRPr="000962D2" w:rsidRDefault="000962D2" w:rsidP="000962D2">
            <w:pPr>
              <w:numPr>
                <w:ilvl w:val="0"/>
                <w:numId w:val="6"/>
              </w:numPr>
              <w:spacing w:after="0" w:line="240" w:lineRule="auto"/>
              <w:contextualSpacing/>
              <w:rPr>
                <w:rFonts w:cs="Calibri"/>
              </w:rPr>
            </w:pPr>
          </w:p>
        </w:tc>
        <w:tc>
          <w:tcPr>
            <w:tcW w:w="2531" w:type="dxa"/>
            <w:tcMar>
              <w:top w:w="0" w:type="dxa"/>
              <w:left w:w="108" w:type="dxa"/>
              <w:bottom w:w="0" w:type="dxa"/>
              <w:right w:w="108" w:type="dxa"/>
            </w:tcMar>
          </w:tcPr>
          <w:p w14:paraId="53656B9A" w14:textId="77777777" w:rsidR="000962D2" w:rsidRPr="000962D2" w:rsidRDefault="000962D2" w:rsidP="000962D2">
            <w:pPr>
              <w:spacing w:after="0" w:line="240" w:lineRule="auto"/>
              <w:rPr>
                <w:rFonts w:cs="Calibri"/>
              </w:rPr>
            </w:pPr>
            <w:r w:rsidRPr="000962D2">
              <w:rPr>
                <w:rFonts w:cs="Calibr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4DDD95F" w14:textId="77777777" w:rsidR="000962D2" w:rsidRPr="000962D2" w:rsidRDefault="000962D2" w:rsidP="000962D2">
            <w:pPr>
              <w:spacing w:after="0" w:line="240" w:lineRule="auto"/>
              <w:rPr>
                <w:rFonts w:cs="Calibri"/>
              </w:rPr>
            </w:pPr>
            <w:r w:rsidRPr="000962D2">
              <w:rPr>
                <w:rFonts w:cs="Calibri"/>
              </w:rPr>
              <w:t>6 (šešias) darbo dienas nuo pretenzijos gavimo dienos</w:t>
            </w:r>
          </w:p>
        </w:tc>
        <w:tc>
          <w:tcPr>
            <w:tcW w:w="2954" w:type="dxa"/>
            <w:tcMar>
              <w:top w:w="0" w:type="dxa"/>
              <w:left w:w="108" w:type="dxa"/>
              <w:bottom w:w="0" w:type="dxa"/>
              <w:right w:w="108" w:type="dxa"/>
            </w:tcMar>
          </w:tcPr>
          <w:p w14:paraId="7DE8F6F6" w14:textId="77777777" w:rsidR="000962D2" w:rsidRPr="000962D2" w:rsidRDefault="000962D2" w:rsidP="000962D2">
            <w:pPr>
              <w:spacing w:after="0" w:line="240" w:lineRule="auto"/>
              <w:rPr>
                <w:rFonts w:cs="Calibri"/>
              </w:rPr>
            </w:pPr>
          </w:p>
        </w:tc>
      </w:tr>
      <w:tr w:rsidR="000962D2" w:rsidRPr="000962D2" w14:paraId="54D7295C" w14:textId="77777777" w:rsidTr="00F66381">
        <w:trPr>
          <w:trHeight w:val="20"/>
        </w:trPr>
        <w:tc>
          <w:tcPr>
            <w:tcW w:w="726" w:type="dxa"/>
            <w:tcMar>
              <w:top w:w="0" w:type="dxa"/>
              <w:left w:w="108" w:type="dxa"/>
              <w:bottom w:w="0" w:type="dxa"/>
              <w:right w:w="108" w:type="dxa"/>
            </w:tcMar>
          </w:tcPr>
          <w:p w14:paraId="4644A568" w14:textId="77777777" w:rsidR="000962D2" w:rsidRPr="000962D2" w:rsidRDefault="000962D2" w:rsidP="000962D2">
            <w:pPr>
              <w:numPr>
                <w:ilvl w:val="0"/>
                <w:numId w:val="6"/>
              </w:numPr>
              <w:spacing w:after="0" w:line="240" w:lineRule="auto"/>
              <w:contextualSpacing/>
              <w:rPr>
                <w:rFonts w:cs="Calibri"/>
                <w:bCs/>
              </w:rPr>
            </w:pPr>
          </w:p>
        </w:tc>
        <w:tc>
          <w:tcPr>
            <w:tcW w:w="2531" w:type="dxa"/>
            <w:tcMar>
              <w:top w:w="0" w:type="dxa"/>
              <w:left w:w="108" w:type="dxa"/>
              <w:bottom w:w="0" w:type="dxa"/>
              <w:right w:w="108" w:type="dxa"/>
            </w:tcMar>
          </w:tcPr>
          <w:p w14:paraId="528A6783" w14:textId="77777777" w:rsidR="000962D2" w:rsidRPr="000962D2" w:rsidRDefault="000962D2" w:rsidP="000962D2">
            <w:pPr>
              <w:spacing w:after="0" w:line="240" w:lineRule="auto"/>
              <w:rPr>
                <w:rFonts w:cs="Calibri"/>
                <w:bCs/>
              </w:rPr>
            </w:pPr>
            <w:r w:rsidRPr="000962D2">
              <w:rPr>
                <w:rFonts w:cs="Calibri"/>
              </w:rPr>
              <w:t>Jeigu perkančioji organizacija per nustatytą terminą neišnagrinėja jai pateiktos pretenzijos, tiekėjas turi teisę pateikti prašymą ar pareikšti ieškinį teismui per</w:t>
            </w:r>
            <w:r w:rsidRPr="000962D2">
              <w:rPr>
                <w:rFonts w:cs="Calibri"/>
                <w:bCs/>
              </w:rPr>
              <w:t xml:space="preserve"> (išskyrus ieškinį dėl sutarties pripažinimo negaliojančia) </w:t>
            </w:r>
          </w:p>
        </w:tc>
        <w:tc>
          <w:tcPr>
            <w:tcW w:w="3643" w:type="dxa"/>
            <w:tcMar>
              <w:top w:w="0" w:type="dxa"/>
              <w:left w:w="108" w:type="dxa"/>
              <w:bottom w:w="0" w:type="dxa"/>
              <w:right w:w="108" w:type="dxa"/>
            </w:tcMar>
          </w:tcPr>
          <w:p w14:paraId="22B1F98A" w14:textId="77777777" w:rsidR="000962D2" w:rsidRPr="000962D2" w:rsidRDefault="000962D2" w:rsidP="000962D2">
            <w:pPr>
              <w:spacing w:after="0" w:line="240" w:lineRule="auto"/>
              <w:rPr>
                <w:rFonts w:cs="Calibri"/>
              </w:rPr>
            </w:pPr>
            <w:r w:rsidRPr="000962D2">
              <w:rPr>
                <w:rFonts w:cs="Calibr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0BEDAA8" w14:textId="77777777" w:rsidR="000962D2" w:rsidRPr="000962D2" w:rsidRDefault="000962D2" w:rsidP="000962D2">
            <w:pPr>
              <w:spacing w:after="0" w:line="240" w:lineRule="auto"/>
              <w:rPr>
                <w:rFonts w:cs="Calibri"/>
              </w:rPr>
            </w:pPr>
          </w:p>
        </w:tc>
      </w:tr>
      <w:tr w:rsidR="000962D2" w:rsidRPr="000962D2" w14:paraId="324425B1" w14:textId="77777777" w:rsidTr="00F66381">
        <w:trPr>
          <w:trHeight w:val="20"/>
        </w:trPr>
        <w:tc>
          <w:tcPr>
            <w:tcW w:w="726" w:type="dxa"/>
            <w:tcMar>
              <w:top w:w="0" w:type="dxa"/>
              <w:left w:w="108" w:type="dxa"/>
              <w:bottom w:w="0" w:type="dxa"/>
              <w:right w:w="108" w:type="dxa"/>
            </w:tcMar>
          </w:tcPr>
          <w:p w14:paraId="5D5A8F74" w14:textId="77777777" w:rsidR="000962D2" w:rsidRPr="000962D2" w:rsidRDefault="000962D2" w:rsidP="000962D2">
            <w:pPr>
              <w:numPr>
                <w:ilvl w:val="0"/>
                <w:numId w:val="6"/>
              </w:numPr>
              <w:spacing w:after="0" w:line="240" w:lineRule="auto"/>
              <w:contextualSpacing/>
              <w:rPr>
                <w:rFonts w:cs="Calibri"/>
              </w:rPr>
            </w:pPr>
          </w:p>
        </w:tc>
        <w:tc>
          <w:tcPr>
            <w:tcW w:w="2531" w:type="dxa"/>
            <w:tcMar>
              <w:top w:w="0" w:type="dxa"/>
              <w:left w:w="108" w:type="dxa"/>
              <w:bottom w:w="0" w:type="dxa"/>
              <w:right w:w="108" w:type="dxa"/>
            </w:tcMar>
          </w:tcPr>
          <w:p w14:paraId="763E3798" w14:textId="77777777" w:rsidR="000962D2" w:rsidRPr="000962D2" w:rsidRDefault="000962D2" w:rsidP="000962D2">
            <w:pPr>
              <w:spacing w:after="0" w:line="240" w:lineRule="auto"/>
              <w:rPr>
                <w:rFonts w:cs="Calibri"/>
              </w:rPr>
            </w:pPr>
            <w:r w:rsidRPr="000962D2">
              <w:rPr>
                <w:rFonts w:cs="Calibri"/>
              </w:rPr>
              <w:t>Perkančioji organizacija negali sudaryti sutarties anksčiau kaip po</w:t>
            </w:r>
          </w:p>
        </w:tc>
        <w:tc>
          <w:tcPr>
            <w:tcW w:w="3643" w:type="dxa"/>
            <w:tcMar>
              <w:top w:w="0" w:type="dxa"/>
              <w:left w:w="108" w:type="dxa"/>
              <w:bottom w:w="0" w:type="dxa"/>
              <w:right w:w="108" w:type="dxa"/>
            </w:tcMar>
          </w:tcPr>
          <w:p w14:paraId="4BE7B5FC" w14:textId="77777777" w:rsidR="000962D2" w:rsidRPr="000962D2" w:rsidRDefault="000962D2" w:rsidP="000962D2">
            <w:pPr>
              <w:spacing w:after="0" w:line="240" w:lineRule="auto"/>
              <w:rPr>
                <w:rFonts w:cs="Calibri"/>
              </w:rPr>
            </w:pPr>
            <w:r w:rsidRPr="000962D2">
              <w:rPr>
                <w:rFonts w:cs="Calibri"/>
                <w:bCs/>
              </w:rPr>
              <w:t>10 (dešimt) dienų,</w:t>
            </w:r>
            <w:r w:rsidRPr="000962D2">
              <w:rPr>
                <w:rFonts w:cs="Calibri"/>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133D5074" w14:textId="77777777" w:rsidR="000962D2" w:rsidRPr="000962D2" w:rsidRDefault="000962D2" w:rsidP="000962D2">
            <w:pPr>
              <w:spacing w:after="0" w:line="240" w:lineRule="auto"/>
              <w:rPr>
                <w:rFonts w:cs="Calibri"/>
              </w:rPr>
            </w:pPr>
          </w:p>
        </w:tc>
      </w:tr>
      <w:tr w:rsidR="000962D2" w:rsidRPr="000962D2" w14:paraId="67D4350D" w14:textId="77777777" w:rsidTr="00F66381">
        <w:trPr>
          <w:trHeight w:val="20"/>
        </w:trPr>
        <w:tc>
          <w:tcPr>
            <w:tcW w:w="726" w:type="dxa"/>
            <w:tcMar>
              <w:top w:w="0" w:type="dxa"/>
              <w:left w:w="108" w:type="dxa"/>
              <w:bottom w:w="0" w:type="dxa"/>
              <w:right w:w="108" w:type="dxa"/>
            </w:tcMar>
          </w:tcPr>
          <w:p w14:paraId="7B66CFF0" w14:textId="77777777" w:rsidR="000962D2" w:rsidRPr="000962D2" w:rsidRDefault="000962D2" w:rsidP="000962D2">
            <w:pPr>
              <w:numPr>
                <w:ilvl w:val="0"/>
                <w:numId w:val="6"/>
              </w:numPr>
              <w:spacing w:after="0" w:line="240" w:lineRule="auto"/>
              <w:contextualSpacing/>
              <w:rPr>
                <w:rFonts w:cs="Calibri"/>
              </w:rPr>
            </w:pPr>
          </w:p>
        </w:tc>
        <w:tc>
          <w:tcPr>
            <w:tcW w:w="2531" w:type="dxa"/>
            <w:tcMar>
              <w:top w:w="0" w:type="dxa"/>
              <w:left w:w="108" w:type="dxa"/>
              <w:bottom w:w="0" w:type="dxa"/>
              <w:right w:w="108" w:type="dxa"/>
            </w:tcMar>
          </w:tcPr>
          <w:p w14:paraId="324425D2" w14:textId="77777777" w:rsidR="000962D2" w:rsidRPr="000962D2" w:rsidRDefault="000962D2" w:rsidP="000962D2">
            <w:pPr>
              <w:spacing w:after="0" w:line="240" w:lineRule="auto"/>
              <w:rPr>
                <w:rFonts w:cs="Calibri"/>
              </w:rPr>
            </w:pPr>
            <w:r w:rsidRPr="000962D2">
              <w:rPr>
                <w:rFonts w:cs="Calibri"/>
              </w:rPr>
              <w:t xml:space="preserve">Jeigu </w:t>
            </w:r>
            <w:r w:rsidRPr="000962D2">
              <w:rPr>
                <w:rFonts w:cs="Calibri"/>
                <w:iCs/>
              </w:rPr>
              <w:t>suinteresuotas dalyvis paprašys perkančiosios organizacijos pateikti laimėjusį pasiūlymą</w:t>
            </w:r>
          </w:p>
        </w:tc>
        <w:tc>
          <w:tcPr>
            <w:tcW w:w="3643" w:type="dxa"/>
            <w:tcMar>
              <w:top w:w="0" w:type="dxa"/>
              <w:left w:w="108" w:type="dxa"/>
              <w:bottom w:w="0" w:type="dxa"/>
              <w:right w:w="108" w:type="dxa"/>
            </w:tcMar>
          </w:tcPr>
          <w:p w14:paraId="7B6BB809" w14:textId="77777777" w:rsidR="000962D2" w:rsidRPr="000962D2" w:rsidRDefault="000962D2" w:rsidP="000962D2">
            <w:pPr>
              <w:spacing w:after="0" w:line="240" w:lineRule="auto"/>
              <w:jc w:val="both"/>
              <w:rPr>
                <w:rFonts w:cs="Calibri"/>
                <w:i/>
                <w:iCs/>
              </w:rPr>
            </w:pPr>
            <w:r w:rsidRPr="000962D2">
              <w:rPr>
                <w:rFonts w:cs="Calibr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962D2">
              <w:rPr>
                <w:rFonts w:cs="Calibri"/>
                <w:i/>
                <w:iCs/>
              </w:rPr>
              <w:t xml:space="preserve">. </w:t>
            </w:r>
          </w:p>
          <w:p w14:paraId="6E802DCC" w14:textId="77777777" w:rsidR="000962D2" w:rsidRPr="000962D2" w:rsidRDefault="000962D2" w:rsidP="000962D2">
            <w:pPr>
              <w:spacing w:after="0" w:line="240" w:lineRule="auto"/>
              <w:jc w:val="both"/>
              <w:rPr>
                <w:rFonts w:cs="Calibri"/>
                <w:i/>
                <w:iCs/>
                <w:color w:val="FF0000"/>
              </w:rPr>
            </w:pPr>
          </w:p>
        </w:tc>
        <w:tc>
          <w:tcPr>
            <w:tcW w:w="2954" w:type="dxa"/>
            <w:tcMar>
              <w:top w:w="0" w:type="dxa"/>
              <w:left w:w="108" w:type="dxa"/>
              <w:bottom w:w="0" w:type="dxa"/>
              <w:right w:w="108" w:type="dxa"/>
            </w:tcMar>
          </w:tcPr>
          <w:p w14:paraId="4669E71E" w14:textId="77777777" w:rsidR="000962D2" w:rsidRPr="000962D2" w:rsidRDefault="000962D2" w:rsidP="000962D2">
            <w:pPr>
              <w:spacing w:after="0" w:line="240" w:lineRule="auto"/>
              <w:rPr>
                <w:rFonts w:cs="Calibri"/>
              </w:rPr>
            </w:pPr>
          </w:p>
        </w:tc>
      </w:tr>
      <w:tr w:rsidR="000962D2" w:rsidRPr="000962D2" w14:paraId="77C83D50" w14:textId="77777777" w:rsidTr="00F66381">
        <w:trPr>
          <w:trHeight w:val="20"/>
        </w:trPr>
        <w:tc>
          <w:tcPr>
            <w:tcW w:w="726" w:type="dxa"/>
            <w:tcMar>
              <w:top w:w="0" w:type="dxa"/>
              <w:left w:w="108" w:type="dxa"/>
              <w:bottom w:w="0" w:type="dxa"/>
              <w:right w:w="108" w:type="dxa"/>
            </w:tcMar>
          </w:tcPr>
          <w:p w14:paraId="530414AE" w14:textId="77777777" w:rsidR="000962D2" w:rsidRPr="000962D2" w:rsidRDefault="000962D2" w:rsidP="000962D2">
            <w:pPr>
              <w:numPr>
                <w:ilvl w:val="0"/>
                <w:numId w:val="6"/>
              </w:numPr>
              <w:spacing w:after="0" w:line="240" w:lineRule="auto"/>
              <w:contextualSpacing/>
              <w:rPr>
                <w:rFonts w:cs="Calibri"/>
              </w:rPr>
            </w:pPr>
          </w:p>
        </w:tc>
        <w:tc>
          <w:tcPr>
            <w:tcW w:w="2531" w:type="dxa"/>
            <w:tcMar>
              <w:top w:w="0" w:type="dxa"/>
              <w:left w:w="108" w:type="dxa"/>
              <w:bottom w:w="0" w:type="dxa"/>
              <w:right w:w="108" w:type="dxa"/>
            </w:tcMar>
          </w:tcPr>
          <w:p w14:paraId="5E9A32B2" w14:textId="77777777" w:rsidR="000962D2" w:rsidRPr="000962D2" w:rsidRDefault="000962D2" w:rsidP="000962D2">
            <w:pPr>
              <w:spacing w:after="0" w:line="240" w:lineRule="auto"/>
              <w:rPr>
                <w:rFonts w:cs="Calibri"/>
              </w:rPr>
            </w:pPr>
            <w:r w:rsidRPr="000962D2">
              <w:rPr>
                <w:rFonts w:cs="Calibri"/>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w:t>
            </w:r>
            <w:r w:rsidRPr="000962D2">
              <w:rPr>
                <w:rFonts w:cs="Calibri"/>
              </w:rPr>
              <w:tab/>
            </w:r>
          </w:p>
        </w:tc>
        <w:tc>
          <w:tcPr>
            <w:tcW w:w="3643" w:type="dxa"/>
            <w:tcMar>
              <w:top w:w="0" w:type="dxa"/>
              <w:left w:w="108" w:type="dxa"/>
              <w:bottom w:w="0" w:type="dxa"/>
              <w:right w:w="108" w:type="dxa"/>
            </w:tcMar>
          </w:tcPr>
          <w:p w14:paraId="5C97CE8C" w14:textId="77777777" w:rsidR="000962D2" w:rsidRPr="000962D2" w:rsidRDefault="000962D2" w:rsidP="000962D2">
            <w:pPr>
              <w:spacing w:after="0" w:line="240" w:lineRule="auto"/>
              <w:jc w:val="both"/>
              <w:rPr>
                <w:rFonts w:cs="Calibri"/>
                <w:i/>
                <w:iCs/>
              </w:rPr>
            </w:pPr>
            <w:r w:rsidRPr="000962D2">
              <w:rPr>
                <w:rFonts w:cs="Calibri"/>
              </w:rPr>
              <w:t>30 dienų nuo pirkimo sutarties nutraukimo ar perkančiosios organizacijos sprendimo išsiuntimo tiekėjui dienos.</w:t>
            </w:r>
            <w:r w:rsidRPr="000962D2">
              <w:rPr>
                <w:rFonts w:cs="Calibri"/>
              </w:rPr>
              <w:tab/>
            </w:r>
          </w:p>
        </w:tc>
        <w:tc>
          <w:tcPr>
            <w:tcW w:w="2954" w:type="dxa"/>
            <w:tcMar>
              <w:top w:w="0" w:type="dxa"/>
              <w:left w:w="108" w:type="dxa"/>
              <w:bottom w:w="0" w:type="dxa"/>
              <w:right w:w="108" w:type="dxa"/>
            </w:tcMar>
          </w:tcPr>
          <w:p w14:paraId="46DBC2AD" w14:textId="77777777" w:rsidR="000962D2" w:rsidRPr="000962D2" w:rsidRDefault="000962D2" w:rsidP="000962D2">
            <w:pPr>
              <w:spacing w:after="0" w:line="240" w:lineRule="auto"/>
              <w:rPr>
                <w:rFonts w:cs="Calibri"/>
              </w:rPr>
            </w:pPr>
          </w:p>
        </w:tc>
      </w:tr>
    </w:tbl>
    <w:p w14:paraId="5369DEF7" w14:textId="010661B5" w:rsidR="000962D2" w:rsidRDefault="000962D2">
      <w:pPr>
        <w:rPr>
          <w:rFonts w:eastAsia="Calibri" w:cstheme="minorHAnsi"/>
          <w:color w:val="0070C0"/>
        </w:rPr>
      </w:pPr>
      <w:r>
        <w:rPr>
          <w:rFonts w:eastAsia="Calibri" w:cstheme="minorHAnsi"/>
          <w:color w:val="0070C0"/>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617CCAEF" w14:textId="50803544" w:rsidR="00717724" w:rsidRPr="00300DA7" w:rsidRDefault="00E1329C" w:rsidP="00300DA7">
      <w:pPr>
        <w:tabs>
          <w:tab w:val="left" w:pos="810"/>
          <w:tab w:val="left" w:pos="990"/>
        </w:tabs>
        <w:spacing w:after="0" w:line="240" w:lineRule="auto"/>
        <w:jc w:val="both"/>
        <w:rPr>
          <w:rFonts w:eastAsia="Calibri" w:cstheme="minorHAnsi"/>
        </w:rPr>
      </w:pPr>
      <w:r w:rsidRPr="00300DA7">
        <w:rPr>
          <w:rFonts w:eastAsia="Calibri" w:cstheme="minorHAnsi"/>
        </w:rPr>
        <w:t>Techninė</w:t>
      </w:r>
      <w:r w:rsidR="005020EF" w:rsidRPr="00300DA7">
        <w:rPr>
          <w:rFonts w:eastAsia="Calibri" w:cstheme="minorHAnsi"/>
        </w:rPr>
        <w:t xml:space="preserve"> specifikacij</w:t>
      </w:r>
      <w:r w:rsidR="00144210" w:rsidRPr="00300DA7">
        <w:rPr>
          <w:rFonts w:eastAsia="Calibri" w:cstheme="minorHAnsi"/>
        </w:rPr>
        <w:t>a pridedama atskiru priedu.</w:t>
      </w:r>
      <w:r w:rsidR="005020EF" w:rsidRPr="00300DA7">
        <w:rPr>
          <w:rFonts w:eastAsia="Calibri" w:cstheme="minorHAnsi"/>
        </w:rPr>
        <w:t xml:space="preserve"> </w:t>
      </w:r>
    </w:p>
    <w:p w14:paraId="7EC91839" w14:textId="4456CA36" w:rsidR="00A4599F" w:rsidRDefault="00A257AC" w:rsidP="00DE290C">
      <w:pPr>
        <w:rPr>
          <w:rFonts w:cstheme="minorHAnsi"/>
          <w:b/>
          <w:bCs/>
          <w:smallCaps/>
          <w:sz w:val="22"/>
          <w:szCs w:val="22"/>
        </w:rPr>
      </w:pPr>
      <w:r>
        <w:rPr>
          <w:rFonts w:cstheme="minorHAnsi"/>
          <w:b/>
          <w:bCs/>
          <w:smallCaps/>
          <w:sz w:val="22"/>
          <w:szCs w:val="22"/>
        </w:rPr>
        <w:t xml:space="preserve"> </w:t>
      </w:r>
    </w:p>
    <w:p w14:paraId="5624124B" w14:textId="77777777" w:rsidR="0006579F" w:rsidRPr="00F0499F" w:rsidRDefault="0006579F" w:rsidP="00DE290C">
      <w:pPr>
        <w:rPr>
          <w:rFonts w:cstheme="minorHAnsi"/>
          <w:b/>
          <w:bCs/>
          <w:smallCaps/>
          <w:sz w:val="22"/>
          <w:szCs w:val="22"/>
        </w:rPr>
      </w:pP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0FE5B37F" w:rsidR="00C96CEC" w:rsidRPr="00300DA7" w:rsidRDefault="0015579D" w:rsidP="00E81709">
      <w:r w:rsidRPr="00300DA7">
        <w:t>Tiekėjų pašalinimo pagrindai pridedami atskiru priedu.</w:t>
      </w:r>
    </w:p>
    <w:p w14:paraId="25AFA42D" w14:textId="77777777" w:rsidR="0006579F" w:rsidRDefault="0006579F" w:rsidP="000962D2">
      <w:pPr>
        <w:rPr>
          <w:rFonts w:cstheme="minorHAnsi"/>
          <w:smallCaps/>
          <w:sz w:val="22"/>
          <w:szCs w:val="22"/>
        </w:rPr>
      </w:pP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12633394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824D01C" w14:textId="6E1DC433" w:rsidR="00035BFE" w:rsidRPr="00300DA7" w:rsidRDefault="006015A1" w:rsidP="00300DA7">
      <w:pPr>
        <w:spacing w:after="0" w:line="240" w:lineRule="auto"/>
        <w:jc w:val="both"/>
        <w:rPr>
          <w:iCs/>
          <w:lang w:eastAsia="en-US"/>
        </w:rPr>
      </w:pPr>
      <w:r w:rsidRPr="00300DA7">
        <w:rPr>
          <w:iCs/>
          <w:lang w:eastAsia="en-US"/>
        </w:rPr>
        <w:t xml:space="preserve">Tiekėjo kvalifikacijos reikalavimai </w:t>
      </w:r>
      <w:r w:rsidR="000E62EB" w:rsidRPr="00300DA7">
        <w:rPr>
          <w:iCs/>
          <w:lang w:eastAsia="en-US"/>
        </w:rPr>
        <w:t>pridedami atskiru priedu</w:t>
      </w:r>
      <w:r w:rsidR="00BD56DD" w:rsidRPr="00300DA7">
        <w:rPr>
          <w:iCs/>
          <w:lang w:eastAsia="en-US"/>
        </w:rPr>
        <w:t xml:space="preserve">. </w:t>
      </w:r>
    </w:p>
    <w:p w14:paraId="59C5F90A" w14:textId="77777777" w:rsidR="00035BFE" w:rsidRDefault="00035BFE" w:rsidP="00035BFE">
      <w:pPr>
        <w:spacing w:after="0" w:line="240" w:lineRule="auto"/>
        <w:ind w:firstLine="567"/>
        <w:jc w:val="both"/>
        <w:rPr>
          <w:i/>
          <w:color w:val="7030A0"/>
          <w:lang w:eastAsia="en-US"/>
        </w:rPr>
      </w:pPr>
    </w:p>
    <w:p w14:paraId="2AE912CA" w14:textId="27509738" w:rsidR="002F396F" w:rsidRDefault="23669F6D" w:rsidP="00035BFE">
      <w:pPr>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7C0792AE" w14:textId="77777777" w:rsidR="00035BFE" w:rsidRPr="002D71B6" w:rsidRDefault="00035BFE" w:rsidP="00035BFE">
      <w:pPr>
        <w:spacing w:after="0" w:line="240" w:lineRule="auto"/>
        <w:ind w:firstLine="567"/>
        <w:jc w:val="center"/>
        <w:rPr>
          <w:rFonts w:eastAsia="Calibri"/>
          <w:b/>
          <w:bCs/>
          <w:lang w:eastAsia="en-US"/>
        </w:rPr>
      </w:pPr>
    </w:p>
    <w:p w14:paraId="41F01C12" w14:textId="02690E74" w:rsidR="005B19E4" w:rsidRPr="00DE0365" w:rsidRDefault="00DB7F65" w:rsidP="005F03F3">
      <w:pPr>
        <w:pStyle w:val="Sraopastraipa"/>
        <w:spacing w:after="0" w:line="20" w:lineRule="atLeast"/>
        <w:ind w:left="0" w:firstLine="567"/>
        <w:jc w:val="both"/>
        <w:rPr>
          <w:rFonts w:eastAsiaTheme="minorHAnsi" w:cstheme="minorHAnsi"/>
        </w:rPr>
      </w:pPr>
      <w:r w:rsidRPr="00DE0365">
        <w:rPr>
          <w:rFonts w:eastAsia="Calibri" w:cstheme="minorHAnsi"/>
          <w:lang w:eastAsia="en-US"/>
        </w:rPr>
        <w:t>P</w:t>
      </w:r>
      <w:r w:rsidR="008F38C8" w:rsidRPr="00DE0365">
        <w:rPr>
          <w:rFonts w:eastAsia="Calibri" w:cstheme="minorHAnsi"/>
          <w:lang w:eastAsia="en-US"/>
        </w:rPr>
        <w:t>erkančioji organizacija nereikalauja, kad tiekėjai laikytųsi k</w:t>
      </w:r>
      <w:r w:rsidR="005B19E4" w:rsidRPr="00DE0365">
        <w:rPr>
          <w:rFonts w:eastAsia="Calibri" w:cstheme="minorHAnsi"/>
          <w:iCs/>
          <w:lang w:eastAsia="en-US"/>
        </w:rPr>
        <w:t>okybės vadybos sistemos ir aplinkos apsaugos vadybos sistemos standart</w:t>
      </w:r>
      <w:r w:rsidR="008F38C8" w:rsidRPr="00DE0365">
        <w:rPr>
          <w:rFonts w:eastAsia="Calibri" w:cstheme="minorHAnsi"/>
          <w:iCs/>
          <w:lang w:eastAsia="en-US"/>
        </w:rPr>
        <w:t>ų</w:t>
      </w:r>
      <w:r w:rsidR="005B19E4" w:rsidRPr="00DE0365">
        <w:rPr>
          <w:rFonts w:eastAsia="Calibri" w:cstheme="minorHAnsi"/>
          <w:iCs/>
          <w:lang w:eastAsia="en-US"/>
        </w:rPr>
        <w:t>.</w:t>
      </w:r>
    </w:p>
    <w:p w14:paraId="09870E7B" w14:textId="77777777" w:rsidR="006545F9" w:rsidRDefault="006545F9" w:rsidP="00384F5A">
      <w:pPr>
        <w:spacing w:after="0" w:line="240" w:lineRule="auto"/>
        <w:jc w:val="center"/>
        <w:rPr>
          <w:rFonts w:eastAsiaTheme="minorHAnsi" w:cstheme="minorHAnsi"/>
          <w:lang w:eastAsia="en-US"/>
        </w:rPr>
      </w:pPr>
    </w:p>
    <w:p w14:paraId="2C5CC1B4" w14:textId="77777777" w:rsidR="0006579F" w:rsidRPr="00F0499F" w:rsidRDefault="0006579F" w:rsidP="00384F5A">
      <w:pPr>
        <w:spacing w:after="0" w:line="240" w:lineRule="auto"/>
        <w:jc w:val="center"/>
        <w:rPr>
          <w:rFonts w:eastAsiaTheme="minorHAnsi" w:cstheme="minorHAnsi"/>
          <w:lang w:eastAsia="en-US"/>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3FBCAA27" w14:textId="77777777" w:rsidR="00DF42B2" w:rsidRDefault="00DF42B2"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126333944"/>
    </w:p>
    <w:p w14:paraId="44D514D3" w14:textId="529F2E36" w:rsidR="008D704D" w:rsidRPr="00F0499F" w:rsidRDefault="008D704D" w:rsidP="008D704D">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4AA5FAD3" w14:textId="1FB58279" w:rsidR="00693D4F" w:rsidRPr="0015579D" w:rsidRDefault="0015579D" w:rsidP="00DE290C">
      <w:pPr>
        <w:rPr>
          <w:rFonts w:cstheme="minorHAnsi"/>
          <w:color w:val="000000" w:themeColor="text1"/>
        </w:rPr>
      </w:pPr>
      <w:r w:rsidRPr="0015579D">
        <w:rPr>
          <w:rFonts w:cstheme="minorHAnsi"/>
          <w:color w:val="000000" w:themeColor="text1"/>
        </w:rPr>
        <w:t>Pasiūlymo forma pateikiama atskiru priedu.</w:t>
      </w:r>
    </w:p>
    <w:p w14:paraId="1B1C1ECC" w14:textId="77777777" w:rsidR="000C6068" w:rsidRDefault="000C6068" w:rsidP="00DE290C">
      <w:pPr>
        <w:rPr>
          <w:rFonts w:cstheme="minorHAnsi"/>
          <w:b/>
          <w:bCs/>
          <w:smallCaps/>
          <w:sz w:val="22"/>
          <w:szCs w:val="22"/>
        </w:rPr>
      </w:pPr>
    </w:p>
    <w:p w14:paraId="7ACEE540" w14:textId="77777777" w:rsidR="0006579F" w:rsidRPr="00F0499F" w:rsidRDefault="0006579F"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126333945"/>
      <w:bookmarkStart w:id="65" w:name="_Hlk196739176"/>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bookmarkEnd w:id="65"/>
    <w:p w14:paraId="6A0BFF9D" w14:textId="77777777" w:rsidR="00FE3D7C" w:rsidRDefault="00FE3D7C" w:rsidP="00FE3D7C">
      <w:pPr>
        <w:jc w:val="center"/>
        <w:rPr>
          <w:b/>
          <w:szCs w:val="24"/>
        </w:rPr>
      </w:pPr>
    </w:p>
    <w:p w14:paraId="06410182" w14:textId="4FE7797A" w:rsidR="00B66E67" w:rsidRPr="006B6FC5" w:rsidRDefault="00D1736F" w:rsidP="006B6FC5">
      <w:pPr>
        <w:pStyle w:val="paragrafesrasas2lygis"/>
        <w:jc w:val="left"/>
        <w:rPr>
          <w:rFonts w:asciiTheme="minorHAnsi" w:hAnsiTheme="minorHAnsi" w:cstheme="minorHAnsi"/>
          <w:sz w:val="21"/>
          <w:szCs w:val="21"/>
        </w:rPr>
      </w:pPr>
      <w:r w:rsidRPr="006B6FC5">
        <w:rPr>
          <w:rFonts w:asciiTheme="minorHAnsi" w:hAnsiTheme="minorHAnsi" w:cstheme="minorHAnsi"/>
          <w:sz w:val="21"/>
          <w:szCs w:val="21"/>
        </w:rPr>
        <w:t>P</w:t>
      </w:r>
      <w:r w:rsidR="00210870" w:rsidRPr="006B6FC5">
        <w:rPr>
          <w:rFonts w:asciiTheme="minorHAnsi" w:hAnsiTheme="minorHAnsi" w:cstheme="minorHAnsi"/>
          <w:sz w:val="21"/>
          <w:szCs w:val="21"/>
        </w:rPr>
        <w:t>asiūlymų vertinimo kriterij</w:t>
      </w:r>
      <w:r w:rsidRPr="006B6FC5">
        <w:rPr>
          <w:rFonts w:asciiTheme="minorHAnsi" w:hAnsiTheme="minorHAnsi" w:cstheme="minorHAnsi"/>
          <w:sz w:val="21"/>
          <w:szCs w:val="21"/>
        </w:rPr>
        <w:t>ai</w:t>
      </w:r>
      <w:r w:rsidR="00210870" w:rsidRPr="006B6FC5">
        <w:rPr>
          <w:rFonts w:asciiTheme="minorHAnsi" w:hAnsiTheme="minorHAnsi" w:cstheme="minorHAnsi"/>
          <w:sz w:val="21"/>
          <w:szCs w:val="21"/>
        </w:rPr>
        <w:t xml:space="preserve"> ir tvark</w:t>
      </w:r>
      <w:r w:rsidRPr="006B6FC5">
        <w:rPr>
          <w:rFonts w:asciiTheme="minorHAnsi" w:hAnsiTheme="minorHAnsi" w:cstheme="minorHAnsi"/>
          <w:sz w:val="21"/>
          <w:szCs w:val="21"/>
        </w:rPr>
        <w:t>a pateikiami atskiru priedu.</w:t>
      </w:r>
    </w:p>
    <w:p w14:paraId="2FB46436" w14:textId="77777777" w:rsidR="00EF54B0" w:rsidRDefault="00EF54B0" w:rsidP="00210870">
      <w:pPr>
        <w:pStyle w:val="paragrafesrasas2lygis"/>
        <w:ind w:firstLine="397"/>
        <w:jc w:val="left"/>
        <w:rPr>
          <w:rFonts w:asciiTheme="minorHAnsi" w:hAnsiTheme="minorHAnsi" w:cstheme="minorHAnsi"/>
          <w:color w:val="7030A0"/>
          <w:sz w:val="21"/>
          <w:szCs w:val="21"/>
        </w:rPr>
      </w:pPr>
    </w:p>
    <w:p w14:paraId="4747D81C" w14:textId="77777777" w:rsidR="00EF54B0" w:rsidRDefault="00EF54B0" w:rsidP="00210870">
      <w:pPr>
        <w:pStyle w:val="paragrafesrasas2lygis"/>
        <w:ind w:firstLine="397"/>
        <w:jc w:val="left"/>
        <w:rPr>
          <w:rFonts w:asciiTheme="minorHAnsi" w:hAnsiTheme="minorHAnsi" w:cstheme="minorHAnsi"/>
          <w:color w:val="7030A0"/>
          <w:sz w:val="21"/>
          <w:szCs w:val="21"/>
        </w:rPr>
      </w:pPr>
    </w:p>
    <w:p w14:paraId="07E397BF" w14:textId="297BF96E" w:rsidR="007545D6" w:rsidRDefault="00FE3D1F" w:rsidP="00AB5541">
      <w:pPr>
        <w:pStyle w:val="Antrat2"/>
        <w:ind w:left="5103"/>
        <w:rPr>
          <w:rFonts w:asciiTheme="minorHAnsi" w:hAnsiTheme="minorHAnsi"/>
          <w:color w:val="0070C0"/>
          <w:sz w:val="21"/>
          <w:szCs w:val="21"/>
        </w:rPr>
      </w:pPr>
      <w:bookmarkStart w:id="66" w:name="_Toc126333946"/>
      <w:bookmarkStart w:id="67" w:name="_Ref39586171"/>
      <w:bookmarkStart w:id="68" w:name="_Ref39673580"/>
      <w:bookmarkStart w:id="69"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6"/>
    </w:p>
    <w:p w14:paraId="5B45E78B" w14:textId="77777777" w:rsidR="00210594" w:rsidRDefault="00210594" w:rsidP="00210594"/>
    <w:p w14:paraId="420C5481" w14:textId="1EF4AD7F" w:rsidR="00D1736F" w:rsidRDefault="00D1736F" w:rsidP="00210594">
      <w:r>
        <w:t>Tiekėjo deklaracij</w:t>
      </w:r>
      <w:r w:rsidR="00553810">
        <w:t>os</w:t>
      </w:r>
      <w:r>
        <w:t xml:space="preserve"> dėl atitikties Reglamento nuostatoms </w:t>
      </w:r>
      <w:r w:rsidR="00553810">
        <w:t xml:space="preserve">forma </w:t>
      </w:r>
      <w:r>
        <w:t>pateikiama atskiru priedu.</w:t>
      </w:r>
    </w:p>
    <w:p w14:paraId="09EDE71F" w14:textId="77777777" w:rsidR="00D1736F" w:rsidRDefault="00D1736F" w:rsidP="00210594"/>
    <w:p w14:paraId="6D541C8A" w14:textId="77777777" w:rsidR="00EF54B0" w:rsidRDefault="00EF54B0" w:rsidP="00210594"/>
    <w:p w14:paraId="1EC03555" w14:textId="3F3D8678" w:rsidR="00AB71C9" w:rsidRDefault="004D3BE3" w:rsidP="00AB71C9">
      <w:pPr>
        <w:pStyle w:val="Antrat2"/>
        <w:ind w:left="5103"/>
        <w:rPr>
          <w:rFonts w:ascii="Calibri" w:hAnsi="Calibri" w:cs="Calibri"/>
          <w:color w:val="0070C0"/>
          <w:sz w:val="21"/>
          <w:szCs w:val="21"/>
        </w:rPr>
      </w:pPr>
      <w:bookmarkStart w:id="70" w:name="_Toc126333947"/>
      <w:r w:rsidRPr="00F37D11">
        <w:rPr>
          <w:rFonts w:asciiTheme="minorHAnsi" w:hAnsiTheme="minorHAnsi"/>
          <w:color w:val="0070C0"/>
          <w:sz w:val="21"/>
          <w:szCs w:val="21"/>
        </w:rPr>
        <w:t xml:space="preserve">Pirkimo sąlygų 9 priedas </w:t>
      </w:r>
      <w:bookmarkEnd w:id="70"/>
      <w:r w:rsidR="00AB71C9" w:rsidRPr="00F37D11">
        <w:rPr>
          <w:rFonts w:ascii="Calibri" w:hAnsi="Calibri" w:cs="Calibri"/>
          <w:color w:val="0070C0"/>
          <w:sz w:val="21"/>
          <w:szCs w:val="21"/>
        </w:rPr>
        <w:t>„Nacionalini</w:t>
      </w:r>
      <w:r w:rsidR="008044BE">
        <w:rPr>
          <w:rFonts w:ascii="Calibri" w:hAnsi="Calibri" w:cs="Calibri"/>
          <w:color w:val="0070C0"/>
          <w:sz w:val="21"/>
          <w:szCs w:val="21"/>
        </w:rPr>
        <w:t>o</w:t>
      </w:r>
      <w:r w:rsidR="00AB71C9" w:rsidRPr="00F37D11">
        <w:rPr>
          <w:rFonts w:ascii="Calibri" w:hAnsi="Calibri" w:cs="Calibri"/>
          <w:color w:val="0070C0"/>
          <w:sz w:val="21"/>
          <w:szCs w:val="21"/>
        </w:rPr>
        <w:t xml:space="preserve"> saugumo </w:t>
      </w:r>
      <w:r w:rsidR="008044BE">
        <w:rPr>
          <w:rFonts w:ascii="Calibri" w:hAnsi="Calibri" w:cs="Calibri"/>
          <w:color w:val="0070C0"/>
          <w:sz w:val="21"/>
          <w:szCs w:val="21"/>
        </w:rPr>
        <w:t xml:space="preserve">reikalavimų </w:t>
      </w:r>
      <w:r w:rsidR="00AB71C9" w:rsidRPr="00F37D11">
        <w:rPr>
          <w:rFonts w:ascii="Calibri" w:hAnsi="Calibri" w:cs="Calibri"/>
          <w:color w:val="0070C0"/>
          <w:sz w:val="21"/>
          <w:szCs w:val="21"/>
        </w:rPr>
        <w:t>atitikties deklaracija“</w:t>
      </w:r>
    </w:p>
    <w:p w14:paraId="5DC0E416" w14:textId="77777777" w:rsidR="00553810" w:rsidRPr="00553810" w:rsidRDefault="00553810" w:rsidP="00553810"/>
    <w:p w14:paraId="5C59103E" w14:textId="141742ED" w:rsidR="00AB71C9" w:rsidRPr="00D52834" w:rsidRDefault="00AB71C9" w:rsidP="00F37D11">
      <w:pPr>
        <w:pStyle w:val="Antrat2"/>
        <w:rPr>
          <w:rFonts w:ascii="Calibri" w:hAnsi="Calibri" w:cs="Calibri"/>
          <w:color w:val="auto"/>
          <w:sz w:val="21"/>
          <w:szCs w:val="21"/>
        </w:rPr>
      </w:pPr>
      <w:r w:rsidRPr="00D52834">
        <w:rPr>
          <w:rFonts w:ascii="Calibri" w:hAnsi="Calibri" w:cs="Calibri"/>
          <w:color w:val="auto"/>
          <w:sz w:val="21"/>
          <w:szCs w:val="21"/>
        </w:rPr>
        <w:t xml:space="preserve"> Nacionalini</w:t>
      </w:r>
      <w:r w:rsidR="00E83DB9">
        <w:rPr>
          <w:rFonts w:ascii="Calibri" w:hAnsi="Calibri" w:cs="Calibri"/>
          <w:color w:val="auto"/>
          <w:sz w:val="21"/>
          <w:szCs w:val="21"/>
        </w:rPr>
        <w:t>o</w:t>
      </w:r>
      <w:r w:rsidRPr="00D52834">
        <w:rPr>
          <w:rFonts w:ascii="Calibri" w:hAnsi="Calibri" w:cs="Calibri"/>
          <w:color w:val="auto"/>
          <w:sz w:val="21"/>
          <w:szCs w:val="21"/>
        </w:rPr>
        <w:t xml:space="preserve"> saugumo reikalavimų atitikties deklaracij</w:t>
      </w:r>
      <w:r w:rsidR="000B3426">
        <w:rPr>
          <w:rFonts w:ascii="Calibri" w:hAnsi="Calibri" w:cs="Calibri"/>
          <w:color w:val="auto"/>
          <w:sz w:val="21"/>
          <w:szCs w:val="21"/>
        </w:rPr>
        <w:t>os</w:t>
      </w:r>
      <w:r w:rsidR="00553810">
        <w:rPr>
          <w:rFonts w:ascii="Calibri" w:hAnsi="Calibri" w:cs="Calibri"/>
          <w:color w:val="auto"/>
          <w:sz w:val="21"/>
          <w:szCs w:val="21"/>
        </w:rPr>
        <w:t xml:space="preserve"> forma pateikiama atskiru priedu. </w:t>
      </w:r>
    </w:p>
    <w:p w14:paraId="722834BE" w14:textId="77777777" w:rsidR="00210594" w:rsidRDefault="00210594" w:rsidP="00210594">
      <w:pPr>
        <w:rPr>
          <w:sz w:val="20"/>
          <w:szCs w:val="20"/>
        </w:rPr>
      </w:pPr>
    </w:p>
    <w:p w14:paraId="6BDAE440" w14:textId="77777777" w:rsidR="00EF54B0" w:rsidRDefault="00EF54B0" w:rsidP="00210594">
      <w:pPr>
        <w:rPr>
          <w:sz w:val="20"/>
          <w:szCs w:val="20"/>
        </w:rPr>
      </w:pPr>
    </w:p>
    <w:p w14:paraId="65D09982" w14:textId="77777777" w:rsidR="00EF54B0" w:rsidRPr="00425CFB" w:rsidRDefault="00EF54B0" w:rsidP="00210594">
      <w:pPr>
        <w:rPr>
          <w:sz w:val="20"/>
          <w:szCs w:val="20"/>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1" w:name="_Toc126333948"/>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1"/>
    </w:p>
    <w:p w14:paraId="040FB65E" w14:textId="77777777" w:rsidR="00AE422D" w:rsidRPr="00F0499F" w:rsidRDefault="00AE422D" w:rsidP="00AB5541"/>
    <w:p w14:paraId="2826B120" w14:textId="6491D3A7" w:rsidR="008D704D" w:rsidRDefault="0015579D" w:rsidP="0015579D">
      <w:pPr>
        <w:jc w:val="both"/>
        <w:rPr>
          <w:rFonts w:eastAsia="Calibri" w:cstheme="minorHAnsi"/>
        </w:rPr>
      </w:pPr>
      <w:r w:rsidRPr="006B6FC5">
        <w:rPr>
          <w:rFonts w:eastAsia="Calibri" w:cstheme="minorHAnsi"/>
        </w:rPr>
        <w:t>Sutarties projektas pateikiamas atskiru priedu.</w:t>
      </w:r>
    </w:p>
    <w:p w14:paraId="3F4C306B" w14:textId="77777777" w:rsidR="00F47417" w:rsidRDefault="00F47417" w:rsidP="0015579D">
      <w:pPr>
        <w:jc w:val="both"/>
        <w:rPr>
          <w:rFonts w:eastAsia="Calibri" w:cstheme="minorHAnsi"/>
        </w:rPr>
      </w:pPr>
    </w:p>
    <w:p w14:paraId="20776181" w14:textId="77777777" w:rsidR="00DF42B2" w:rsidRDefault="00DF42B2" w:rsidP="0015579D">
      <w:pPr>
        <w:jc w:val="both"/>
        <w:rPr>
          <w:rFonts w:eastAsia="Calibri" w:cstheme="minorHAnsi"/>
        </w:rPr>
      </w:pPr>
    </w:p>
    <w:p w14:paraId="0695A9C2" w14:textId="648C4450" w:rsidR="00F47417" w:rsidRDefault="00F47417" w:rsidP="00F47417">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sidR="00751019">
        <w:rPr>
          <w:rFonts w:asciiTheme="minorHAnsi" w:hAnsiTheme="minorHAnsi"/>
          <w:color w:val="0070C0"/>
          <w:sz w:val="21"/>
          <w:szCs w:val="21"/>
        </w:rPr>
        <w:t xml:space="preserve">Įvykdytų </w:t>
      </w:r>
      <w:r w:rsidR="005B1E2A">
        <w:rPr>
          <w:rFonts w:asciiTheme="minorHAnsi" w:hAnsiTheme="minorHAnsi"/>
          <w:color w:val="0070C0"/>
          <w:sz w:val="21"/>
          <w:szCs w:val="21"/>
        </w:rPr>
        <w:t>su</w:t>
      </w:r>
      <w:r w:rsidR="00751019">
        <w:rPr>
          <w:rFonts w:asciiTheme="minorHAnsi" w:hAnsiTheme="minorHAnsi"/>
          <w:color w:val="0070C0"/>
          <w:sz w:val="21"/>
          <w:szCs w:val="21"/>
        </w:rPr>
        <w:t>tarčių sąrašas</w:t>
      </w:r>
      <w:r w:rsidRPr="00F0499F">
        <w:rPr>
          <w:rFonts w:asciiTheme="minorHAnsi" w:hAnsiTheme="minorHAnsi"/>
          <w:color w:val="0070C0"/>
          <w:sz w:val="21"/>
          <w:szCs w:val="21"/>
        </w:rPr>
        <w:t>“</w:t>
      </w:r>
    </w:p>
    <w:p w14:paraId="61BB75A7" w14:textId="77777777" w:rsidR="005B1E2A" w:rsidRDefault="005B1E2A" w:rsidP="005B1E2A"/>
    <w:p w14:paraId="083BD5A8" w14:textId="6BB4A4E0" w:rsidR="005B1E2A" w:rsidRDefault="005B1E2A" w:rsidP="005B1E2A">
      <w:r>
        <w:t>Įvykdytų sutarčių sąrašo forma pateikiama atskiru priedu.</w:t>
      </w:r>
    </w:p>
    <w:p w14:paraId="699A3686" w14:textId="77777777" w:rsidR="005B1E2A" w:rsidRDefault="005B1E2A" w:rsidP="005B1E2A"/>
    <w:p w14:paraId="3805581A" w14:textId="77777777" w:rsidR="00DF42B2" w:rsidRDefault="00DF42B2" w:rsidP="005B1E2A"/>
    <w:p w14:paraId="44E482FC" w14:textId="5D93BEC6" w:rsidR="00521204" w:rsidRDefault="00521204" w:rsidP="00521204">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12</w:t>
      </w:r>
      <w:r w:rsidRPr="00F0499F">
        <w:rPr>
          <w:rFonts w:asciiTheme="minorHAnsi" w:hAnsiTheme="minorHAnsi"/>
          <w:color w:val="0070C0"/>
          <w:sz w:val="21"/>
          <w:szCs w:val="21"/>
        </w:rPr>
        <w:t xml:space="preserve"> priedas „</w:t>
      </w:r>
      <w:r>
        <w:rPr>
          <w:rFonts w:asciiTheme="minorHAnsi" w:hAnsiTheme="minorHAnsi"/>
          <w:color w:val="0070C0"/>
          <w:sz w:val="21"/>
          <w:szCs w:val="21"/>
        </w:rPr>
        <w:t xml:space="preserve">Specialistų </w:t>
      </w:r>
      <w:r w:rsidR="004434BD">
        <w:rPr>
          <w:rFonts w:asciiTheme="minorHAnsi" w:hAnsiTheme="minorHAnsi"/>
          <w:color w:val="0070C0"/>
          <w:sz w:val="21"/>
          <w:szCs w:val="21"/>
        </w:rPr>
        <w:t>sąrašo forma</w:t>
      </w:r>
      <w:r w:rsidRPr="00F0499F">
        <w:rPr>
          <w:rFonts w:asciiTheme="minorHAnsi" w:hAnsiTheme="minorHAnsi"/>
          <w:color w:val="0070C0"/>
          <w:sz w:val="21"/>
          <w:szCs w:val="21"/>
        </w:rPr>
        <w:t>“</w:t>
      </w:r>
    </w:p>
    <w:p w14:paraId="17EAB528" w14:textId="77777777" w:rsidR="00CB7D56" w:rsidRDefault="00CB7D56" w:rsidP="00521204"/>
    <w:p w14:paraId="328EB4C1" w14:textId="555779DB" w:rsidR="00521204" w:rsidRDefault="00521204" w:rsidP="00521204">
      <w:r>
        <w:t xml:space="preserve">Specialistų </w:t>
      </w:r>
      <w:r w:rsidR="00CB7D56">
        <w:t>sąrašo</w:t>
      </w:r>
      <w:r>
        <w:t xml:space="preserve"> forma pateikiama atskiru priedu.</w:t>
      </w:r>
    </w:p>
    <w:p w14:paraId="7FA20B3A" w14:textId="77777777" w:rsidR="00F47417" w:rsidRPr="006B6FC5" w:rsidRDefault="00F47417" w:rsidP="0015579D">
      <w:pPr>
        <w:jc w:val="both"/>
        <w:rPr>
          <w:rFonts w:cstheme="minorHAnsi"/>
          <w:b/>
          <w:bCs/>
          <w:smallCaps/>
          <w:sz w:val="22"/>
          <w:szCs w:val="22"/>
        </w:rPr>
      </w:pPr>
    </w:p>
    <w:sectPr w:rsidR="00F47417" w:rsidRPr="006B6FC5" w:rsidSect="00ED4920">
      <w:footerReference w:type="firs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40FE" w14:textId="77777777" w:rsidR="00A9384E" w:rsidRDefault="00A9384E" w:rsidP="00D05666">
      <w:r>
        <w:separator/>
      </w:r>
    </w:p>
  </w:endnote>
  <w:endnote w:type="continuationSeparator" w:id="0">
    <w:p w14:paraId="36B13FED" w14:textId="77777777" w:rsidR="00A9384E" w:rsidRDefault="00A9384E" w:rsidP="00D05666">
      <w:r>
        <w:continuationSeparator/>
      </w:r>
    </w:p>
  </w:endnote>
  <w:endnote w:type="continuationNotice" w:id="1">
    <w:p w14:paraId="7677B1C8" w14:textId="77777777" w:rsidR="00A9384E" w:rsidRDefault="00A93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124892"/>
      <w:docPartObj>
        <w:docPartGallery w:val="Page Numbers (Bottom of Page)"/>
        <w:docPartUnique/>
      </w:docPartObj>
    </w:sdtPr>
    <w:sdtContent>
      <w:p w14:paraId="2C43BE8B" w14:textId="067827E3" w:rsidR="00ED4920" w:rsidRDefault="00ED4920">
        <w:pPr>
          <w:pStyle w:val="Porat"/>
          <w:jc w:val="right"/>
        </w:pPr>
        <w:r>
          <w:fldChar w:fldCharType="begin"/>
        </w:r>
        <w:r>
          <w:instrText>PAGE   \* MERGEFORMAT</w:instrText>
        </w:r>
        <w:r>
          <w:fldChar w:fldCharType="separate"/>
        </w:r>
        <w:r>
          <w:t>2</w:t>
        </w:r>
        <w:r>
          <w:fldChar w:fldCharType="end"/>
        </w:r>
      </w:p>
    </w:sdtContent>
  </w:sdt>
  <w:p w14:paraId="5A3032D4" w14:textId="590191D0" w:rsidR="00565B80" w:rsidRDefault="00565B80" w:rsidP="004746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963E906" w:rsidR="00BE180E" w:rsidRDefault="0074178C">
    <w:pPr>
      <w:pStyle w:val="Porat"/>
      <w:jc w:val="right"/>
    </w:pPr>
    <w:r>
      <w:t>7</w:t>
    </w:r>
  </w:p>
  <w:p w14:paraId="0B840016" w14:textId="28EF4746" w:rsidR="00BE180E" w:rsidRDefault="00BE180E" w:rsidP="007417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8BD0" w14:textId="77777777" w:rsidR="00A9384E" w:rsidRDefault="00A9384E" w:rsidP="00D05666">
      <w:r>
        <w:separator/>
      </w:r>
    </w:p>
  </w:footnote>
  <w:footnote w:type="continuationSeparator" w:id="0">
    <w:p w14:paraId="08CD226A" w14:textId="77777777" w:rsidR="00A9384E" w:rsidRDefault="00A9384E" w:rsidP="00D05666">
      <w:r>
        <w:continuationSeparator/>
      </w:r>
    </w:p>
  </w:footnote>
  <w:footnote w:type="continuationNotice" w:id="1">
    <w:p w14:paraId="6C2A04B9" w14:textId="77777777" w:rsidR="00A9384E" w:rsidRDefault="00A938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3430B5"/>
    <w:multiLevelType w:val="multilevel"/>
    <w:tmpl w:val="FFFFFFFF"/>
    <w:lvl w:ilvl="0">
      <w:start w:val="9"/>
      <w:numFmt w:val="decimal"/>
      <w:lvlText w:val="%1."/>
      <w:lvlJc w:val="left"/>
      <w:pPr>
        <w:ind w:left="360" w:hanging="360"/>
      </w:pPr>
      <w:rPr>
        <w:rFonts w:eastAsiaTheme="minorEastAsia" w:cs="Times New Roman" w:hint="default"/>
      </w:rPr>
    </w:lvl>
    <w:lvl w:ilvl="1">
      <w:start w:val="3"/>
      <w:numFmt w:val="decimal"/>
      <w:lvlText w:val="%1.%2."/>
      <w:lvlJc w:val="left"/>
      <w:pPr>
        <w:ind w:left="1069" w:hanging="360"/>
      </w:pPr>
      <w:rPr>
        <w:rFonts w:eastAsiaTheme="minorEastAsia" w:cs="Times New Roman" w:hint="default"/>
      </w:rPr>
    </w:lvl>
    <w:lvl w:ilvl="2">
      <w:start w:val="1"/>
      <w:numFmt w:val="decimal"/>
      <w:lvlText w:val="%1.%2.%3."/>
      <w:lvlJc w:val="left"/>
      <w:pPr>
        <w:ind w:left="2138" w:hanging="720"/>
      </w:pPr>
      <w:rPr>
        <w:rFonts w:eastAsiaTheme="minorEastAsia" w:cs="Times New Roman" w:hint="default"/>
      </w:rPr>
    </w:lvl>
    <w:lvl w:ilvl="3">
      <w:start w:val="1"/>
      <w:numFmt w:val="decimal"/>
      <w:lvlText w:val="%1.%2.%3.%4."/>
      <w:lvlJc w:val="left"/>
      <w:pPr>
        <w:ind w:left="2847" w:hanging="720"/>
      </w:pPr>
      <w:rPr>
        <w:rFonts w:eastAsiaTheme="minorEastAsia" w:cs="Times New Roman" w:hint="default"/>
      </w:rPr>
    </w:lvl>
    <w:lvl w:ilvl="4">
      <w:start w:val="1"/>
      <w:numFmt w:val="decimal"/>
      <w:lvlText w:val="%1.%2.%3.%4.%5."/>
      <w:lvlJc w:val="left"/>
      <w:pPr>
        <w:ind w:left="3916" w:hanging="1080"/>
      </w:pPr>
      <w:rPr>
        <w:rFonts w:eastAsiaTheme="minorEastAsia" w:cs="Times New Roman" w:hint="default"/>
      </w:rPr>
    </w:lvl>
    <w:lvl w:ilvl="5">
      <w:start w:val="1"/>
      <w:numFmt w:val="decimal"/>
      <w:lvlText w:val="%1.%2.%3.%4.%5.%6."/>
      <w:lvlJc w:val="left"/>
      <w:pPr>
        <w:ind w:left="4625" w:hanging="1080"/>
      </w:pPr>
      <w:rPr>
        <w:rFonts w:eastAsiaTheme="minorEastAsia" w:cs="Times New Roman" w:hint="default"/>
      </w:rPr>
    </w:lvl>
    <w:lvl w:ilvl="6">
      <w:start w:val="1"/>
      <w:numFmt w:val="decimal"/>
      <w:lvlText w:val="%1.%2.%3.%4.%5.%6.%7."/>
      <w:lvlJc w:val="left"/>
      <w:pPr>
        <w:ind w:left="5694" w:hanging="1440"/>
      </w:pPr>
      <w:rPr>
        <w:rFonts w:eastAsiaTheme="minorEastAsia" w:cs="Times New Roman" w:hint="default"/>
      </w:rPr>
    </w:lvl>
    <w:lvl w:ilvl="7">
      <w:start w:val="1"/>
      <w:numFmt w:val="decimal"/>
      <w:lvlText w:val="%1.%2.%3.%4.%5.%6.%7.%8."/>
      <w:lvlJc w:val="left"/>
      <w:pPr>
        <w:ind w:left="6403" w:hanging="1440"/>
      </w:pPr>
      <w:rPr>
        <w:rFonts w:eastAsiaTheme="minorEastAsia" w:cs="Times New Roman" w:hint="default"/>
      </w:rPr>
    </w:lvl>
    <w:lvl w:ilvl="8">
      <w:start w:val="1"/>
      <w:numFmt w:val="decimal"/>
      <w:lvlText w:val="%1.%2.%3.%4.%5.%6.%7.%8.%9."/>
      <w:lvlJc w:val="left"/>
      <w:pPr>
        <w:ind w:left="7112" w:hanging="1440"/>
      </w:pPr>
      <w:rPr>
        <w:rFonts w:eastAsiaTheme="minorEastAsia" w:cs="Times New Roman"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6D7486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i w:val="0"/>
        <w:iCs/>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674422"/>
    <w:multiLevelType w:val="multilevel"/>
    <w:tmpl w:val="B10CA3EC"/>
    <w:lvl w:ilvl="0">
      <w:start w:val="1"/>
      <w:numFmt w:val="decimal"/>
      <w:lvlText w:val="%1."/>
      <w:lvlJc w:val="left"/>
      <w:pPr>
        <w:ind w:left="360" w:hanging="360"/>
      </w:pPr>
      <w:rPr>
        <w:rFonts w:cs="Calibri" w:hint="default"/>
      </w:rPr>
    </w:lvl>
    <w:lvl w:ilvl="1">
      <w:start w:val="5"/>
      <w:numFmt w:val="decimal"/>
      <w:lvlText w:val="%1.%2."/>
      <w:lvlJc w:val="left"/>
      <w:pPr>
        <w:ind w:left="720" w:hanging="360"/>
      </w:pPr>
      <w:rPr>
        <w:rFonts w:cs="Calibri" w:hint="default"/>
        <w:color w:val="auto"/>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9"/>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4"/>
  </w:num>
  <w:num w:numId="17" w16cid:durableId="1297491117">
    <w:abstractNumId w:val="7"/>
  </w:num>
  <w:num w:numId="18" w16cid:durableId="1002708622">
    <w:abstractNumId w:val="10"/>
  </w:num>
  <w:num w:numId="19" w16cid:durableId="167425704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5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23C"/>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BFE"/>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79F"/>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24"/>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DB"/>
    <w:rsid w:val="00094604"/>
    <w:rsid w:val="00095834"/>
    <w:rsid w:val="00095A99"/>
    <w:rsid w:val="000962D2"/>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426"/>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2EB"/>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2F1"/>
    <w:rsid w:val="0010779C"/>
    <w:rsid w:val="00107A04"/>
    <w:rsid w:val="00110481"/>
    <w:rsid w:val="00111429"/>
    <w:rsid w:val="00111943"/>
    <w:rsid w:val="0011199A"/>
    <w:rsid w:val="001123B4"/>
    <w:rsid w:val="001126FB"/>
    <w:rsid w:val="00112EE8"/>
    <w:rsid w:val="0011320C"/>
    <w:rsid w:val="0011344C"/>
    <w:rsid w:val="001138A3"/>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275"/>
    <w:rsid w:val="0012584E"/>
    <w:rsid w:val="0012639E"/>
    <w:rsid w:val="00127196"/>
    <w:rsid w:val="001275FB"/>
    <w:rsid w:val="00127F38"/>
    <w:rsid w:val="0013010B"/>
    <w:rsid w:val="0013140B"/>
    <w:rsid w:val="00131BA4"/>
    <w:rsid w:val="001329A7"/>
    <w:rsid w:val="00132BAE"/>
    <w:rsid w:val="00132C73"/>
    <w:rsid w:val="00132FC0"/>
    <w:rsid w:val="0013353A"/>
    <w:rsid w:val="0013478B"/>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210"/>
    <w:rsid w:val="001455B2"/>
    <w:rsid w:val="0014578C"/>
    <w:rsid w:val="00145B8E"/>
    <w:rsid w:val="00146BC9"/>
    <w:rsid w:val="00147552"/>
    <w:rsid w:val="00147A63"/>
    <w:rsid w:val="00147A8C"/>
    <w:rsid w:val="0015079A"/>
    <w:rsid w:val="00150B8F"/>
    <w:rsid w:val="00150D95"/>
    <w:rsid w:val="00150E77"/>
    <w:rsid w:val="00152836"/>
    <w:rsid w:val="0015376E"/>
    <w:rsid w:val="001538C5"/>
    <w:rsid w:val="00153D1C"/>
    <w:rsid w:val="00153FC8"/>
    <w:rsid w:val="00154487"/>
    <w:rsid w:val="0015529C"/>
    <w:rsid w:val="00155354"/>
    <w:rsid w:val="0015579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669"/>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0F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330"/>
    <w:rsid w:val="001D2623"/>
    <w:rsid w:val="001D2CB6"/>
    <w:rsid w:val="001D37D8"/>
    <w:rsid w:val="001D414C"/>
    <w:rsid w:val="001D41F4"/>
    <w:rsid w:val="001D5752"/>
    <w:rsid w:val="001D612E"/>
    <w:rsid w:val="001D621A"/>
    <w:rsid w:val="001D65F8"/>
    <w:rsid w:val="001D7492"/>
    <w:rsid w:val="001D7890"/>
    <w:rsid w:val="001E0107"/>
    <w:rsid w:val="001E138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7A9"/>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2D"/>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2E5"/>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D1D"/>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A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69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4FE8"/>
    <w:rsid w:val="002C5249"/>
    <w:rsid w:val="002C52C2"/>
    <w:rsid w:val="002C53E8"/>
    <w:rsid w:val="002C5826"/>
    <w:rsid w:val="002C590C"/>
    <w:rsid w:val="002C5FF7"/>
    <w:rsid w:val="002C65B9"/>
    <w:rsid w:val="002C7383"/>
    <w:rsid w:val="002D1083"/>
    <w:rsid w:val="002D1C7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572"/>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DA7"/>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53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B0"/>
    <w:rsid w:val="003300F2"/>
    <w:rsid w:val="00331673"/>
    <w:rsid w:val="00331ED1"/>
    <w:rsid w:val="003328D9"/>
    <w:rsid w:val="003331AA"/>
    <w:rsid w:val="00333BFA"/>
    <w:rsid w:val="00334D33"/>
    <w:rsid w:val="00334EB8"/>
    <w:rsid w:val="003354F0"/>
    <w:rsid w:val="00335A01"/>
    <w:rsid w:val="00335DA5"/>
    <w:rsid w:val="0033642E"/>
    <w:rsid w:val="00337A9C"/>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D7A"/>
    <w:rsid w:val="003671C3"/>
    <w:rsid w:val="00370489"/>
    <w:rsid w:val="00370682"/>
    <w:rsid w:val="003713E4"/>
    <w:rsid w:val="00371433"/>
    <w:rsid w:val="00371BD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CC"/>
    <w:rsid w:val="00384F5A"/>
    <w:rsid w:val="00385D49"/>
    <w:rsid w:val="00386E76"/>
    <w:rsid w:val="003903FB"/>
    <w:rsid w:val="00390B20"/>
    <w:rsid w:val="0039114B"/>
    <w:rsid w:val="0039183A"/>
    <w:rsid w:val="00391FE7"/>
    <w:rsid w:val="003926B7"/>
    <w:rsid w:val="0039299B"/>
    <w:rsid w:val="00393698"/>
    <w:rsid w:val="0039371E"/>
    <w:rsid w:val="00394C27"/>
    <w:rsid w:val="0039591E"/>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99"/>
    <w:rsid w:val="003E7F39"/>
    <w:rsid w:val="003F084C"/>
    <w:rsid w:val="003F092C"/>
    <w:rsid w:val="003F0C4F"/>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F48"/>
    <w:rsid w:val="003F5489"/>
    <w:rsid w:val="003F54D8"/>
    <w:rsid w:val="003F5913"/>
    <w:rsid w:val="003F740A"/>
    <w:rsid w:val="003F7FE3"/>
    <w:rsid w:val="00400269"/>
    <w:rsid w:val="004017E7"/>
    <w:rsid w:val="00401AEF"/>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3FD"/>
    <w:rsid w:val="00422EEB"/>
    <w:rsid w:val="00424668"/>
    <w:rsid w:val="0042470D"/>
    <w:rsid w:val="00424B94"/>
    <w:rsid w:val="00424C4C"/>
    <w:rsid w:val="00425052"/>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BD"/>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2E"/>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AF6"/>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7F"/>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3C"/>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D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A97"/>
    <w:rsid w:val="004E1E30"/>
    <w:rsid w:val="004E1FB0"/>
    <w:rsid w:val="004E2034"/>
    <w:rsid w:val="004E2171"/>
    <w:rsid w:val="004E2550"/>
    <w:rsid w:val="004E3243"/>
    <w:rsid w:val="004E341E"/>
    <w:rsid w:val="004E4023"/>
    <w:rsid w:val="004E4308"/>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819"/>
    <w:rsid w:val="0050087A"/>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04"/>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76"/>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8A0"/>
    <w:rsid w:val="00553286"/>
    <w:rsid w:val="00553810"/>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80"/>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71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9D"/>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7D"/>
    <w:rsid w:val="005B19E4"/>
    <w:rsid w:val="005B1D8D"/>
    <w:rsid w:val="005B1E2A"/>
    <w:rsid w:val="005B24C3"/>
    <w:rsid w:val="005B2A1D"/>
    <w:rsid w:val="005B2C82"/>
    <w:rsid w:val="005B2D9B"/>
    <w:rsid w:val="005B2FD0"/>
    <w:rsid w:val="005B34A6"/>
    <w:rsid w:val="005B383F"/>
    <w:rsid w:val="005B3D70"/>
    <w:rsid w:val="005B46C1"/>
    <w:rsid w:val="005B484F"/>
    <w:rsid w:val="005B537C"/>
    <w:rsid w:val="005B5793"/>
    <w:rsid w:val="005B5987"/>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25"/>
    <w:rsid w:val="005D7998"/>
    <w:rsid w:val="005D7A77"/>
    <w:rsid w:val="005D7D8C"/>
    <w:rsid w:val="005E07FD"/>
    <w:rsid w:val="005E0D10"/>
    <w:rsid w:val="005E1041"/>
    <w:rsid w:val="005E1572"/>
    <w:rsid w:val="005E19B2"/>
    <w:rsid w:val="005E2396"/>
    <w:rsid w:val="005E25A4"/>
    <w:rsid w:val="005E2611"/>
    <w:rsid w:val="005E2700"/>
    <w:rsid w:val="005E28FE"/>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ABC"/>
    <w:rsid w:val="00605629"/>
    <w:rsid w:val="006059FB"/>
    <w:rsid w:val="00605D03"/>
    <w:rsid w:val="00606FD4"/>
    <w:rsid w:val="00607C46"/>
    <w:rsid w:val="006102F3"/>
    <w:rsid w:val="0061093E"/>
    <w:rsid w:val="006119DC"/>
    <w:rsid w:val="0061236E"/>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BA4"/>
    <w:rsid w:val="00640DBD"/>
    <w:rsid w:val="0064169B"/>
    <w:rsid w:val="0064259A"/>
    <w:rsid w:val="00642683"/>
    <w:rsid w:val="006428CA"/>
    <w:rsid w:val="00642E25"/>
    <w:rsid w:val="006433F8"/>
    <w:rsid w:val="0064351F"/>
    <w:rsid w:val="00643C6F"/>
    <w:rsid w:val="006440AA"/>
    <w:rsid w:val="006448B8"/>
    <w:rsid w:val="00644F79"/>
    <w:rsid w:val="006450F3"/>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675"/>
    <w:rsid w:val="00677704"/>
    <w:rsid w:val="00680281"/>
    <w:rsid w:val="00681CDE"/>
    <w:rsid w:val="00681E77"/>
    <w:rsid w:val="006824FC"/>
    <w:rsid w:val="006827AB"/>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FC5"/>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083"/>
    <w:rsid w:val="007204DB"/>
    <w:rsid w:val="00720E2A"/>
    <w:rsid w:val="00720F25"/>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78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19"/>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5B"/>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39"/>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A23"/>
    <w:rsid w:val="007C136F"/>
    <w:rsid w:val="007C1C57"/>
    <w:rsid w:val="007C261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990"/>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4BE"/>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6DA"/>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593"/>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86"/>
    <w:rsid w:val="00861C17"/>
    <w:rsid w:val="00861F49"/>
    <w:rsid w:val="0086202D"/>
    <w:rsid w:val="00862DB8"/>
    <w:rsid w:val="0086303D"/>
    <w:rsid w:val="008638DF"/>
    <w:rsid w:val="00864390"/>
    <w:rsid w:val="008643DD"/>
    <w:rsid w:val="008656E1"/>
    <w:rsid w:val="008660B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36"/>
    <w:rsid w:val="0088228F"/>
    <w:rsid w:val="00882826"/>
    <w:rsid w:val="00882956"/>
    <w:rsid w:val="008834C6"/>
    <w:rsid w:val="00884B13"/>
    <w:rsid w:val="00884D1B"/>
    <w:rsid w:val="0088536D"/>
    <w:rsid w:val="0088719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8C"/>
    <w:rsid w:val="008B1FB2"/>
    <w:rsid w:val="008B213C"/>
    <w:rsid w:val="008B31B9"/>
    <w:rsid w:val="008B47EE"/>
    <w:rsid w:val="008B4851"/>
    <w:rsid w:val="008B5444"/>
    <w:rsid w:val="008B5670"/>
    <w:rsid w:val="008B6309"/>
    <w:rsid w:val="008B6389"/>
    <w:rsid w:val="008B6A96"/>
    <w:rsid w:val="008B6ABE"/>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45"/>
    <w:rsid w:val="008F5160"/>
    <w:rsid w:val="008F52B3"/>
    <w:rsid w:val="008F5556"/>
    <w:rsid w:val="008F59C5"/>
    <w:rsid w:val="008F5E15"/>
    <w:rsid w:val="008F6226"/>
    <w:rsid w:val="008F6484"/>
    <w:rsid w:val="008F66FF"/>
    <w:rsid w:val="008F6A15"/>
    <w:rsid w:val="008F6D6B"/>
    <w:rsid w:val="008F7226"/>
    <w:rsid w:val="008F78D4"/>
    <w:rsid w:val="008F7BC1"/>
    <w:rsid w:val="008F7F9A"/>
    <w:rsid w:val="008F7FFE"/>
    <w:rsid w:val="009003B1"/>
    <w:rsid w:val="00900D5D"/>
    <w:rsid w:val="00901552"/>
    <w:rsid w:val="00901FB3"/>
    <w:rsid w:val="009025EC"/>
    <w:rsid w:val="009032BE"/>
    <w:rsid w:val="009034DF"/>
    <w:rsid w:val="00903F2F"/>
    <w:rsid w:val="009043AE"/>
    <w:rsid w:val="00904BC4"/>
    <w:rsid w:val="00905C8B"/>
    <w:rsid w:val="00906E06"/>
    <w:rsid w:val="009079D3"/>
    <w:rsid w:val="0091011B"/>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51A"/>
    <w:rsid w:val="00935773"/>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C17"/>
    <w:rsid w:val="0095251F"/>
    <w:rsid w:val="00952B8C"/>
    <w:rsid w:val="0095321C"/>
    <w:rsid w:val="00953D09"/>
    <w:rsid w:val="00953F2B"/>
    <w:rsid w:val="00954A8F"/>
    <w:rsid w:val="00955067"/>
    <w:rsid w:val="00955109"/>
    <w:rsid w:val="00955F2F"/>
    <w:rsid w:val="00956A4E"/>
    <w:rsid w:val="00956AB5"/>
    <w:rsid w:val="00957153"/>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D8"/>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80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A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D59"/>
    <w:rsid w:val="009F3379"/>
    <w:rsid w:val="009F402F"/>
    <w:rsid w:val="009F474E"/>
    <w:rsid w:val="009F4CE8"/>
    <w:rsid w:val="009F4E56"/>
    <w:rsid w:val="009F4E9A"/>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7AC"/>
    <w:rsid w:val="00A25D08"/>
    <w:rsid w:val="00A26794"/>
    <w:rsid w:val="00A26F11"/>
    <w:rsid w:val="00A27446"/>
    <w:rsid w:val="00A27846"/>
    <w:rsid w:val="00A301B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06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B78"/>
    <w:rsid w:val="00A507A9"/>
    <w:rsid w:val="00A510B9"/>
    <w:rsid w:val="00A51E81"/>
    <w:rsid w:val="00A51FAF"/>
    <w:rsid w:val="00A52316"/>
    <w:rsid w:val="00A524F1"/>
    <w:rsid w:val="00A5253F"/>
    <w:rsid w:val="00A52B08"/>
    <w:rsid w:val="00A53041"/>
    <w:rsid w:val="00A530C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12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152"/>
    <w:rsid w:val="00A90AF8"/>
    <w:rsid w:val="00A91483"/>
    <w:rsid w:val="00A92611"/>
    <w:rsid w:val="00A934E0"/>
    <w:rsid w:val="00A9384E"/>
    <w:rsid w:val="00A93C5D"/>
    <w:rsid w:val="00A940CF"/>
    <w:rsid w:val="00A94463"/>
    <w:rsid w:val="00A94866"/>
    <w:rsid w:val="00A9488B"/>
    <w:rsid w:val="00A94AAE"/>
    <w:rsid w:val="00A950B1"/>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CF"/>
    <w:rsid w:val="00AB1EF3"/>
    <w:rsid w:val="00AB2DB9"/>
    <w:rsid w:val="00AB2E78"/>
    <w:rsid w:val="00AB2FA0"/>
    <w:rsid w:val="00AB3B35"/>
    <w:rsid w:val="00AB3B5E"/>
    <w:rsid w:val="00AB3EA4"/>
    <w:rsid w:val="00AB5541"/>
    <w:rsid w:val="00AB5657"/>
    <w:rsid w:val="00AB5FFA"/>
    <w:rsid w:val="00AB6922"/>
    <w:rsid w:val="00AB6994"/>
    <w:rsid w:val="00AB69B0"/>
    <w:rsid w:val="00AB71C9"/>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35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DFC"/>
    <w:rsid w:val="00AF42F9"/>
    <w:rsid w:val="00AF4EF5"/>
    <w:rsid w:val="00AF534B"/>
    <w:rsid w:val="00AF551E"/>
    <w:rsid w:val="00AF58B1"/>
    <w:rsid w:val="00AF5CF4"/>
    <w:rsid w:val="00AF6074"/>
    <w:rsid w:val="00AF62E6"/>
    <w:rsid w:val="00AF6775"/>
    <w:rsid w:val="00AF6844"/>
    <w:rsid w:val="00AF76C1"/>
    <w:rsid w:val="00AF7CB0"/>
    <w:rsid w:val="00AF7F98"/>
    <w:rsid w:val="00AF7FB3"/>
    <w:rsid w:val="00B004E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B7"/>
    <w:rsid w:val="00B176FD"/>
    <w:rsid w:val="00B17DBA"/>
    <w:rsid w:val="00B203BE"/>
    <w:rsid w:val="00B2069D"/>
    <w:rsid w:val="00B20F2B"/>
    <w:rsid w:val="00B210DB"/>
    <w:rsid w:val="00B2125E"/>
    <w:rsid w:val="00B21AC5"/>
    <w:rsid w:val="00B21EFA"/>
    <w:rsid w:val="00B2239D"/>
    <w:rsid w:val="00B22538"/>
    <w:rsid w:val="00B22665"/>
    <w:rsid w:val="00B24214"/>
    <w:rsid w:val="00B2459A"/>
    <w:rsid w:val="00B24708"/>
    <w:rsid w:val="00B24D95"/>
    <w:rsid w:val="00B252D4"/>
    <w:rsid w:val="00B26C64"/>
    <w:rsid w:val="00B27D89"/>
    <w:rsid w:val="00B27D91"/>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A7B"/>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12"/>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CE9"/>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6D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6FE"/>
    <w:rsid w:val="00C23DFD"/>
    <w:rsid w:val="00C23E06"/>
    <w:rsid w:val="00C25FC8"/>
    <w:rsid w:val="00C26588"/>
    <w:rsid w:val="00C265EA"/>
    <w:rsid w:val="00C271D1"/>
    <w:rsid w:val="00C304B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4D2"/>
    <w:rsid w:val="00C70AD7"/>
    <w:rsid w:val="00C70F76"/>
    <w:rsid w:val="00C714A2"/>
    <w:rsid w:val="00C7179F"/>
    <w:rsid w:val="00C725E4"/>
    <w:rsid w:val="00C727CF"/>
    <w:rsid w:val="00C72B4D"/>
    <w:rsid w:val="00C72D44"/>
    <w:rsid w:val="00C75ABC"/>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C7A"/>
    <w:rsid w:val="00C87941"/>
    <w:rsid w:val="00C87AB8"/>
    <w:rsid w:val="00C87B0E"/>
    <w:rsid w:val="00C87E49"/>
    <w:rsid w:val="00C906F5"/>
    <w:rsid w:val="00C90917"/>
    <w:rsid w:val="00C90E94"/>
    <w:rsid w:val="00C91381"/>
    <w:rsid w:val="00C91760"/>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D5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78A"/>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E80"/>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9B1"/>
    <w:rsid w:val="00D14BB3"/>
    <w:rsid w:val="00D1501C"/>
    <w:rsid w:val="00D1581F"/>
    <w:rsid w:val="00D159D2"/>
    <w:rsid w:val="00D1609F"/>
    <w:rsid w:val="00D16DE2"/>
    <w:rsid w:val="00D1736F"/>
    <w:rsid w:val="00D17945"/>
    <w:rsid w:val="00D17972"/>
    <w:rsid w:val="00D202BA"/>
    <w:rsid w:val="00D20B5F"/>
    <w:rsid w:val="00D22226"/>
    <w:rsid w:val="00D232F1"/>
    <w:rsid w:val="00D23CC8"/>
    <w:rsid w:val="00D247A7"/>
    <w:rsid w:val="00D24970"/>
    <w:rsid w:val="00D24EF8"/>
    <w:rsid w:val="00D25088"/>
    <w:rsid w:val="00D25782"/>
    <w:rsid w:val="00D2629C"/>
    <w:rsid w:val="00D27B3A"/>
    <w:rsid w:val="00D27E76"/>
    <w:rsid w:val="00D304B1"/>
    <w:rsid w:val="00D30CCE"/>
    <w:rsid w:val="00D31062"/>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2D8"/>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96"/>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6BF"/>
    <w:rsid w:val="00D94A6A"/>
    <w:rsid w:val="00D95547"/>
    <w:rsid w:val="00D959F6"/>
    <w:rsid w:val="00D95F57"/>
    <w:rsid w:val="00D96083"/>
    <w:rsid w:val="00D9669E"/>
    <w:rsid w:val="00D96A3A"/>
    <w:rsid w:val="00D974EE"/>
    <w:rsid w:val="00D97A86"/>
    <w:rsid w:val="00DA03B8"/>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1AC"/>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365"/>
    <w:rsid w:val="00DE0954"/>
    <w:rsid w:val="00DE0A53"/>
    <w:rsid w:val="00DE1720"/>
    <w:rsid w:val="00DE18FF"/>
    <w:rsid w:val="00DE2046"/>
    <w:rsid w:val="00DE290C"/>
    <w:rsid w:val="00DE29F0"/>
    <w:rsid w:val="00DE3278"/>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2B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0E"/>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5D"/>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92D"/>
    <w:rsid w:val="00E479A4"/>
    <w:rsid w:val="00E50D81"/>
    <w:rsid w:val="00E50F51"/>
    <w:rsid w:val="00E50F94"/>
    <w:rsid w:val="00E52650"/>
    <w:rsid w:val="00E52B67"/>
    <w:rsid w:val="00E53CA2"/>
    <w:rsid w:val="00E53E12"/>
    <w:rsid w:val="00E54362"/>
    <w:rsid w:val="00E54BE2"/>
    <w:rsid w:val="00E558A3"/>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55F"/>
    <w:rsid w:val="00E80EDE"/>
    <w:rsid w:val="00E81505"/>
    <w:rsid w:val="00E81709"/>
    <w:rsid w:val="00E81834"/>
    <w:rsid w:val="00E81CD8"/>
    <w:rsid w:val="00E81D97"/>
    <w:rsid w:val="00E81E81"/>
    <w:rsid w:val="00E8279E"/>
    <w:rsid w:val="00E83154"/>
    <w:rsid w:val="00E83222"/>
    <w:rsid w:val="00E83DB9"/>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2D3"/>
    <w:rsid w:val="00EB79EA"/>
    <w:rsid w:val="00EB7FCE"/>
    <w:rsid w:val="00EC0799"/>
    <w:rsid w:val="00EC121F"/>
    <w:rsid w:val="00EC1554"/>
    <w:rsid w:val="00EC1B6F"/>
    <w:rsid w:val="00EC23BC"/>
    <w:rsid w:val="00EC3339"/>
    <w:rsid w:val="00EC3E8D"/>
    <w:rsid w:val="00EC42F8"/>
    <w:rsid w:val="00EC4989"/>
    <w:rsid w:val="00EC4A1B"/>
    <w:rsid w:val="00EC4B45"/>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D76"/>
    <w:rsid w:val="00ED4920"/>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B"/>
    <w:rsid w:val="00EE593B"/>
    <w:rsid w:val="00EE5F7A"/>
    <w:rsid w:val="00EE5FC7"/>
    <w:rsid w:val="00EE6920"/>
    <w:rsid w:val="00EE6E84"/>
    <w:rsid w:val="00EE7654"/>
    <w:rsid w:val="00EF13E9"/>
    <w:rsid w:val="00EF22B7"/>
    <w:rsid w:val="00EF2C7C"/>
    <w:rsid w:val="00EF393F"/>
    <w:rsid w:val="00EF43CA"/>
    <w:rsid w:val="00EF50EE"/>
    <w:rsid w:val="00EF54B0"/>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8A"/>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C7"/>
    <w:rsid w:val="00F2293A"/>
    <w:rsid w:val="00F229DE"/>
    <w:rsid w:val="00F2322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11"/>
    <w:rsid w:val="00F40BD7"/>
    <w:rsid w:val="00F40E95"/>
    <w:rsid w:val="00F41BF7"/>
    <w:rsid w:val="00F429B7"/>
    <w:rsid w:val="00F42BEE"/>
    <w:rsid w:val="00F42CE8"/>
    <w:rsid w:val="00F4308E"/>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1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1E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A4"/>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4A"/>
    <w:rsid w:val="00F910C0"/>
    <w:rsid w:val="00F914B7"/>
    <w:rsid w:val="00F929A5"/>
    <w:rsid w:val="00F929B7"/>
    <w:rsid w:val="00F9327D"/>
    <w:rsid w:val="00F934CA"/>
    <w:rsid w:val="00F94AFD"/>
    <w:rsid w:val="00F94D71"/>
    <w:rsid w:val="00F952BE"/>
    <w:rsid w:val="00F953B3"/>
    <w:rsid w:val="00F9566B"/>
    <w:rsid w:val="00F9576C"/>
    <w:rsid w:val="00F9649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327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meliesiene@uzt.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16277</Words>
  <Characters>9279</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2025-04-24T10:14:00Z</dcterms:created>
  <dcterms:modified xsi:type="dcterms:W3CDTF">2025-05-28T08:21:00Z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