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6AE97501"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15228022"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0D2427">
              <w:rPr>
                <w:rFonts w:ascii="Arial" w:hAnsi="Arial" w:cs="Arial"/>
              </w:rPr>
              <w:t xml:space="preserve"> -2025 MP-III pirkimas- kiekiai-vertės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lastRenderedPageBreak/>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w:t>
            </w:r>
            <w:r w:rsidRPr="00CC3D53">
              <w:rPr>
                <w:rFonts w:ascii="Arial" w:hAnsi="Arial" w:cs="Arial"/>
              </w:rPr>
              <w:lastRenderedPageBreak/>
              <w:t>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lastRenderedPageBreak/>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lastRenderedPageBreak/>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lastRenderedPageBreak/>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4280536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lastRenderedPageBreak/>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lastRenderedPageBreak/>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6E79E16" w:rsidR="00D01413" w:rsidRDefault="000D2427" w:rsidP="00D01413">
      <w:pPr>
        <w:rPr>
          <w:rFonts w:ascii="Arial" w:hAnsi="Arial" w:cs="Arial"/>
        </w:rPr>
      </w:pPr>
      <w:r>
        <w:rPr>
          <w:rFonts w:ascii="Arial" w:hAnsi="Arial" w:cs="Arial"/>
        </w:rPr>
        <w:t xml:space="preserve">      </w:t>
      </w:r>
    </w:p>
    <w:p w14:paraId="35151EC8" w14:textId="38C1A66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priedas-2025 MP-III pirkimas- kiekiai-vertės</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C771" w14:textId="77777777" w:rsidR="002E0D95" w:rsidRDefault="002E0D95" w:rsidP="008624E3">
      <w:pPr>
        <w:spacing w:after="0" w:line="240" w:lineRule="auto"/>
      </w:pPr>
      <w:r>
        <w:separator/>
      </w:r>
    </w:p>
  </w:endnote>
  <w:endnote w:type="continuationSeparator" w:id="0">
    <w:p w14:paraId="4DAC57A8" w14:textId="77777777" w:rsidR="002E0D95" w:rsidRDefault="002E0D95" w:rsidP="008624E3">
      <w:pPr>
        <w:spacing w:after="0" w:line="240" w:lineRule="auto"/>
      </w:pPr>
      <w:r>
        <w:continuationSeparator/>
      </w:r>
    </w:p>
  </w:endnote>
  <w:endnote w:type="continuationNotice" w:id="1">
    <w:p w14:paraId="41B7F3CB" w14:textId="77777777" w:rsidR="002E0D95" w:rsidRDefault="002E0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7B3F" w14:textId="77777777" w:rsidR="002E0D95" w:rsidRDefault="002E0D95" w:rsidP="008624E3">
      <w:pPr>
        <w:spacing w:after="0" w:line="240" w:lineRule="auto"/>
      </w:pPr>
      <w:r>
        <w:separator/>
      </w:r>
    </w:p>
  </w:footnote>
  <w:footnote w:type="continuationSeparator" w:id="0">
    <w:p w14:paraId="40109F76" w14:textId="77777777" w:rsidR="002E0D95" w:rsidRDefault="002E0D95" w:rsidP="008624E3">
      <w:pPr>
        <w:spacing w:after="0" w:line="240" w:lineRule="auto"/>
      </w:pPr>
      <w:r>
        <w:continuationSeparator/>
      </w:r>
    </w:p>
  </w:footnote>
  <w:footnote w:type="continuationNotice" w:id="1">
    <w:p w14:paraId="308054B2" w14:textId="77777777" w:rsidR="002E0D95" w:rsidRDefault="002E0D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5E14"/>
    <w:rsid w:val="000C643C"/>
    <w:rsid w:val="000C661D"/>
    <w:rsid w:val="000C725D"/>
    <w:rsid w:val="000C7B84"/>
    <w:rsid w:val="000C7CFB"/>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0D95"/>
    <w:rsid w:val="002E3FAC"/>
    <w:rsid w:val="002E43FA"/>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5EFA"/>
    <w:rsid w:val="007F68DA"/>
    <w:rsid w:val="007F7B87"/>
    <w:rsid w:val="00804C71"/>
    <w:rsid w:val="00806379"/>
    <w:rsid w:val="00806EDA"/>
    <w:rsid w:val="00812119"/>
    <w:rsid w:val="008130A6"/>
    <w:rsid w:val="00813494"/>
    <w:rsid w:val="00817052"/>
    <w:rsid w:val="00820A36"/>
    <w:rsid w:val="00821E8B"/>
    <w:rsid w:val="0082279B"/>
    <w:rsid w:val="008233B1"/>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396C"/>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27B09"/>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36A8"/>
    <w:rsid w:val="00C441F4"/>
    <w:rsid w:val="00C47F33"/>
    <w:rsid w:val="00C5703C"/>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34900</Words>
  <Characters>19893</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cp:lastPrinted>2021-11-25T10:11:00Z</cp:lastPrinted>
  <dcterms:created xsi:type="dcterms:W3CDTF">2025-05-29T06:55:00Z</dcterms:created>
  <dcterms:modified xsi:type="dcterms:W3CDTF">2025-05-29T06:55:00Z</dcterms:modified>
</cp:coreProperties>
</file>