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1D6EF0" w:rsidP="007C7568">
      <w:pPr>
        <w:jc w:val="center"/>
        <w:rPr>
          <w:rFonts w:asciiTheme="majorHAnsi" w:hAnsiTheme="majorHAnsi"/>
          <w:b/>
          <w:bCs/>
          <w:sz w:val="22"/>
          <w:szCs w:val="22"/>
          <w:lang w:val="lt-LT"/>
        </w:rPr>
      </w:pPr>
      <w:r>
        <w:rPr>
          <w:rFonts w:asciiTheme="majorHAnsi" w:hAnsiTheme="majorHAnsi"/>
          <w:b/>
          <w:bCs/>
          <w:sz w:val="22"/>
          <w:szCs w:val="22"/>
          <w:lang w:val="lt-LT"/>
        </w:rPr>
        <w:t>AUTOKLAVUOJAMI RŪBAI ŠVARIOMS PATALPOMS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91EE0">
        <w:rPr>
          <w:rFonts w:asciiTheme="majorHAnsi" w:hAnsiTheme="majorHAnsi"/>
          <w:b/>
          <w:bCs/>
          <w:color w:val="548DD4" w:themeColor="text2" w:themeTint="99"/>
          <w:sz w:val="22"/>
          <w:szCs w:val="22"/>
        </w:rPr>
        <w:t>autoklavuojamus rūbus švarioms patalpoms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F01B38">
        <w:rPr>
          <w:rFonts w:asciiTheme="majorHAnsi" w:hAnsiTheme="majorHAnsi"/>
          <w:b/>
          <w:bCs/>
          <w:color w:val="548DD4" w:themeColor="text2" w:themeTint="99"/>
        </w:rPr>
        <w:t>autoklavuojami rūbai švarioms patalpoms</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F01B38">
        <w:rPr>
          <w:rFonts w:asciiTheme="majorHAnsi" w:hAnsiTheme="majorHAnsi"/>
          <w:b/>
        </w:rPr>
        <w:t>3</w:t>
      </w:r>
      <w:r w:rsidR="00274BA9">
        <w:rPr>
          <w:rFonts w:asciiTheme="majorHAnsi" w:hAnsiTheme="majorHAnsi"/>
          <w:b/>
        </w:rPr>
        <w:t xml:space="preserve">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asiūlymą vienai pirkimo daliai</w:t>
      </w:r>
      <w:r w:rsidR="00F01B38">
        <w:rPr>
          <w:rFonts w:ascii="Cambria" w:hAnsi="Cambria"/>
        </w:rPr>
        <w:t>, dviems</w:t>
      </w:r>
      <w:r w:rsidR="00274BA9">
        <w:rPr>
          <w:rFonts w:ascii="Cambria" w:hAnsi="Cambria"/>
        </w:rPr>
        <w:t xml:space="preserve">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096F47">
        <w:rPr>
          <w:rFonts w:asciiTheme="majorHAnsi" w:hAnsiTheme="majorHAnsi"/>
          <w:b/>
          <w:sz w:val="22"/>
          <w:szCs w:val="22"/>
        </w:rPr>
        <w:t>2694005</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451C86"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451C86"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2A53C4">
        <w:rPr>
          <w:rFonts w:asciiTheme="majorHAnsi" w:hAnsiTheme="majorHAnsi" w:cs="Times New Roman"/>
          <w:b/>
          <w:iCs/>
          <w:color w:val="548DD4" w:themeColor="text2" w:themeTint="99"/>
        </w:rPr>
        <w:t>birželio</w:t>
      </w:r>
      <w:r w:rsidR="00BB7F9F" w:rsidRPr="00AA7953">
        <w:rPr>
          <w:rFonts w:asciiTheme="majorHAnsi" w:hAnsiTheme="majorHAnsi" w:cs="Times New Roman"/>
          <w:b/>
          <w:iCs/>
          <w:color w:val="548DD4" w:themeColor="text2" w:themeTint="99"/>
        </w:rPr>
        <w:t xml:space="preserve"> </w:t>
      </w:r>
      <w:r w:rsidR="009675AB">
        <w:rPr>
          <w:rFonts w:asciiTheme="majorHAnsi" w:hAnsiTheme="majorHAnsi" w:cs="Times New Roman"/>
          <w:b/>
          <w:iCs/>
          <w:color w:val="548DD4" w:themeColor="text2" w:themeTint="99"/>
        </w:rPr>
        <w:t>9</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03170B">
        <w:rPr>
          <w:rFonts w:asciiTheme="majorHAnsi" w:hAnsiTheme="majorHAnsi"/>
          <w:b/>
          <w:iCs/>
          <w:color w:val="548DD4" w:themeColor="text2" w:themeTint="99"/>
          <w:sz w:val="22"/>
          <w:szCs w:val="22"/>
        </w:rPr>
        <w:t>birželio</w:t>
      </w:r>
      <w:r w:rsidR="006C6C9B" w:rsidRPr="00085813">
        <w:rPr>
          <w:rFonts w:asciiTheme="majorHAnsi" w:hAnsiTheme="majorHAnsi"/>
          <w:b/>
          <w:iCs/>
          <w:color w:val="548DD4" w:themeColor="text2" w:themeTint="99"/>
          <w:sz w:val="22"/>
          <w:szCs w:val="22"/>
        </w:rPr>
        <w:t xml:space="preserve"> </w:t>
      </w:r>
      <w:r w:rsidR="009675AB">
        <w:rPr>
          <w:rFonts w:asciiTheme="majorHAnsi" w:hAnsiTheme="majorHAnsi"/>
          <w:b/>
          <w:iCs/>
          <w:color w:val="548DD4" w:themeColor="text2" w:themeTint="99"/>
          <w:sz w:val="22"/>
          <w:szCs w:val="22"/>
        </w:rPr>
        <w:t>9</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03170B">
        <w:rPr>
          <w:rFonts w:asciiTheme="majorHAnsi" w:hAnsiTheme="majorHAnsi"/>
          <w:b/>
          <w:iCs/>
          <w:color w:val="548DD4" w:themeColor="text2" w:themeTint="99"/>
          <w:sz w:val="22"/>
          <w:szCs w:val="22"/>
          <w:u w:val="single"/>
        </w:rPr>
        <w:t>birželio</w:t>
      </w:r>
      <w:r w:rsidR="00F67163" w:rsidRPr="00085813">
        <w:rPr>
          <w:rFonts w:asciiTheme="majorHAnsi" w:hAnsiTheme="majorHAnsi"/>
          <w:b/>
          <w:iCs/>
          <w:color w:val="548DD4" w:themeColor="text2" w:themeTint="99"/>
          <w:sz w:val="22"/>
          <w:szCs w:val="22"/>
          <w:u w:val="single"/>
        </w:rPr>
        <w:t xml:space="preserve"> </w:t>
      </w:r>
      <w:r w:rsidR="009675AB">
        <w:rPr>
          <w:rFonts w:asciiTheme="majorHAnsi" w:hAnsiTheme="majorHAnsi"/>
          <w:b/>
          <w:iCs/>
          <w:color w:val="548DD4" w:themeColor="text2" w:themeTint="99"/>
          <w:sz w:val="22"/>
          <w:szCs w:val="22"/>
          <w:u w:val="single"/>
        </w:rPr>
        <w:t>9</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17.3. Taikoma kainodara – fiksuotas 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B7B33">
        <w:rPr>
          <w:rFonts w:asciiTheme="majorHAnsi" w:hAnsiTheme="majorHAnsi"/>
          <w:b/>
          <w:bCs/>
          <w:sz w:val="22"/>
          <w:szCs w:val="22"/>
        </w:rPr>
        <w:t>AUTOKLAVUOJAMŲ RŪBŲ ŠVARIOMS PATALPOMS</w:t>
      </w:r>
      <w:bookmarkStart w:id="47" w:name="_GoBack"/>
      <w:bookmarkEnd w:id="47"/>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86" w:rsidRDefault="00451C86" w:rsidP="000D1449">
      <w:r>
        <w:separator/>
      </w:r>
    </w:p>
  </w:endnote>
  <w:endnote w:type="continuationSeparator" w:id="0">
    <w:p w:rsidR="00451C86" w:rsidRDefault="00451C86"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86" w:rsidRDefault="00451C86" w:rsidP="000D1449">
      <w:r>
        <w:separator/>
      </w:r>
    </w:p>
  </w:footnote>
  <w:footnote w:type="continuationSeparator" w:id="0">
    <w:p w:rsidR="00451C86" w:rsidRDefault="00451C86"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B7B33"/>
    <w:rsid w:val="001D30F1"/>
    <w:rsid w:val="001D3AAD"/>
    <w:rsid w:val="001D3AE6"/>
    <w:rsid w:val="001D6EF0"/>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51C86"/>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1484A"/>
    <w:rsid w:val="005176B6"/>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675AB"/>
    <w:rsid w:val="00974B98"/>
    <w:rsid w:val="009755C5"/>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766DB"/>
    <w:rsid w:val="00D843E3"/>
    <w:rsid w:val="00D9038D"/>
    <w:rsid w:val="00DA29C9"/>
    <w:rsid w:val="00DA7CF8"/>
    <w:rsid w:val="00DB149F"/>
    <w:rsid w:val="00DD38A2"/>
    <w:rsid w:val="00DD6F43"/>
    <w:rsid w:val="00DD7BEF"/>
    <w:rsid w:val="00DF2AA8"/>
    <w:rsid w:val="00DF624F"/>
    <w:rsid w:val="00E14C77"/>
    <w:rsid w:val="00E21100"/>
    <w:rsid w:val="00E21AB1"/>
    <w:rsid w:val="00E30E23"/>
    <w:rsid w:val="00E3390A"/>
    <w:rsid w:val="00E4128C"/>
    <w:rsid w:val="00E7015B"/>
    <w:rsid w:val="00E731C9"/>
    <w:rsid w:val="00E9056C"/>
    <w:rsid w:val="00E91EE0"/>
    <w:rsid w:val="00EA1205"/>
    <w:rsid w:val="00EA5985"/>
    <w:rsid w:val="00EB24FB"/>
    <w:rsid w:val="00EB641A"/>
    <w:rsid w:val="00EC66D4"/>
    <w:rsid w:val="00ED375E"/>
    <w:rsid w:val="00ED6A8E"/>
    <w:rsid w:val="00EE48A7"/>
    <w:rsid w:val="00EF5E3F"/>
    <w:rsid w:val="00F01B38"/>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F8C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0C411-4CE7-4FAB-B023-2390333B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21</Pages>
  <Words>41365</Words>
  <Characters>23579</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95</cp:revision>
  <cp:lastPrinted>2022-07-19T12:55:00Z</cp:lastPrinted>
  <dcterms:created xsi:type="dcterms:W3CDTF">2020-10-05T13:26:00Z</dcterms:created>
  <dcterms:modified xsi:type="dcterms:W3CDTF">2025-05-29T07:24:00Z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