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2A9C5CBA" w:rsidR="0068231C" w:rsidRDefault="00AA0448">
            <w:pPr>
              <w:jc w:val="both"/>
              <w:rPr>
                <w:kern w:val="2"/>
                <w:szCs w:val="24"/>
              </w:rPr>
            </w:pPr>
            <w:r w:rsidRPr="00AA0448">
              <w:rPr>
                <w:kern w:val="2"/>
                <w:szCs w:val="24"/>
              </w:rPr>
              <w:t>„</w:t>
            </w:r>
            <w:r w:rsidR="00D61404" w:rsidRPr="00D61404">
              <w:rPr>
                <w:kern w:val="2"/>
                <w:szCs w:val="24"/>
              </w:rPr>
              <w:t xml:space="preserve">Odontologiniai instrumentai (Ultragarsiniai </w:t>
            </w:r>
            <w:proofErr w:type="spellStart"/>
            <w:r w:rsidR="00D61404" w:rsidRPr="00D61404">
              <w:rPr>
                <w:kern w:val="2"/>
                <w:szCs w:val="24"/>
              </w:rPr>
              <w:t>endodontiniai</w:t>
            </w:r>
            <w:proofErr w:type="spellEnd"/>
            <w:r w:rsidR="00D61404" w:rsidRPr="00D61404">
              <w:rPr>
                <w:kern w:val="2"/>
                <w:szCs w:val="24"/>
              </w:rPr>
              <w:t xml:space="preserve"> instrumentai, koaguliaciniai pincetai ir pan.) (10786-1)</w:t>
            </w:r>
            <w:r w:rsidR="00CF0B97"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CD48168"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Pr="004C6076">
              <w:rPr>
                <w:color w:val="4472C4"/>
                <w:kern w:val="2"/>
                <w:szCs w:val="24"/>
              </w:rPr>
              <w:t xml:space="preserve">(nurodyti </w:t>
            </w:r>
            <w:r w:rsidR="009C1BC4" w:rsidRPr="009C1BC4">
              <w:rPr>
                <w:color w:val="4472C4"/>
                <w:kern w:val="2"/>
                <w:szCs w:val="24"/>
              </w:rPr>
              <w:t>padalinį / skyrių</w:t>
            </w:r>
            <w:r w:rsidR="009C1BC4">
              <w:rPr>
                <w:color w:val="4472C4"/>
                <w:kern w:val="2"/>
                <w:szCs w:val="24"/>
              </w:rPr>
              <w:t xml:space="preserve">, </w:t>
            </w:r>
            <w:r w:rsidRPr="004C6076">
              <w:rPr>
                <w:color w:val="4472C4"/>
                <w:kern w:val="2"/>
                <w:szCs w:val="24"/>
              </w:rPr>
              <w:t xml:space="preserve">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2DAE040"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AB09FF">
              <w:t xml:space="preserve"> o</w:t>
            </w:r>
            <w:r w:rsidR="00AB09FF" w:rsidRPr="00AB09FF">
              <w:rPr>
                <w:kern w:val="2"/>
                <w:szCs w:val="24"/>
              </w:rPr>
              <w:t>dontologini</w:t>
            </w:r>
            <w:r w:rsidR="00AB09FF">
              <w:rPr>
                <w:kern w:val="2"/>
                <w:szCs w:val="24"/>
              </w:rPr>
              <w:t>us</w:t>
            </w:r>
            <w:r w:rsidR="00AB09FF" w:rsidRPr="00AB09FF">
              <w:rPr>
                <w:kern w:val="2"/>
                <w:szCs w:val="24"/>
              </w:rPr>
              <w:t xml:space="preserve"> instrument</w:t>
            </w:r>
            <w:r w:rsidR="00AB09FF">
              <w:rPr>
                <w:kern w:val="2"/>
                <w:szCs w:val="24"/>
              </w:rPr>
              <w:t>us</w:t>
            </w:r>
            <w:r w:rsidR="00AB09FF" w:rsidRPr="00AB09FF">
              <w:rPr>
                <w:kern w:val="2"/>
                <w:szCs w:val="24"/>
              </w:rPr>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rekėms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3BB23A3" w:rsidR="0068231C" w:rsidRPr="004B2763" w:rsidRDefault="00D9400C" w:rsidP="0033481E">
            <w:pPr>
              <w:jc w:val="both"/>
              <w:rPr>
                <w:kern w:val="2"/>
                <w:szCs w:val="24"/>
              </w:rPr>
            </w:pPr>
            <w:r w:rsidRPr="004B2763">
              <w:rPr>
                <w:kern w:val="2"/>
                <w:szCs w:val="24"/>
              </w:rPr>
              <w:t>„</w:t>
            </w:r>
            <w:r w:rsidR="00D61404" w:rsidRPr="00D61404">
              <w:rPr>
                <w:kern w:val="2"/>
                <w:szCs w:val="24"/>
              </w:rPr>
              <w:t xml:space="preserve">Odontologiniai instrumentai (Ultragarsiniai </w:t>
            </w:r>
            <w:proofErr w:type="spellStart"/>
            <w:r w:rsidR="00D61404" w:rsidRPr="00D61404">
              <w:rPr>
                <w:kern w:val="2"/>
                <w:szCs w:val="24"/>
              </w:rPr>
              <w:t>endodontiniai</w:t>
            </w:r>
            <w:proofErr w:type="spellEnd"/>
            <w:r w:rsidR="00D61404" w:rsidRPr="00D61404">
              <w:rPr>
                <w:kern w:val="2"/>
                <w:szCs w:val="24"/>
              </w:rPr>
              <w:t xml:space="preserve"> instrumentai, koaguliaciniai pincetai ir pan.) (10786-1)</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2CEA6154"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Pr="009A4DF2">
              <w:rPr>
                <w:b/>
                <w:bCs/>
                <w:kern w:val="2"/>
                <w:szCs w:val="24"/>
              </w:rPr>
              <w:t>0 (dešimt) darbo dienų</w:t>
            </w:r>
            <w:r w:rsidRPr="00D4692A">
              <w:rPr>
                <w:kern w:val="2"/>
                <w:szCs w:val="24"/>
              </w:rPr>
              <w:t xml:space="preserve"> nuo užsakymo pateikimo dienos</w:t>
            </w:r>
            <w:r>
              <w:rPr>
                <w:kern w:val="2"/>
                <w:szCs w:val="24"/>
              </w:rPr>
              <w:t xml:space="preserve"> </w:t>
            </w:r>
            <w:r w:rsidRPr="00D4692A">
              <w:rPr>
                <w:kern w:val="2"/>
                <w:szCs w:val="24"/>
              </w:rPr>
              <w:t>šiuo adresu:</w:t>
            </w:r>
          </w:p>
          <w:p w14:paraId="27935A16" w14:textId="6619F38C" w:rsidR="00995C47" w:rsidRDefault="004F3524" w:rsidP="00D4692A">
            <w:pPr>
              <w:jc w:val="both"/>
              <w:textAlignment w:val="baseline"/>
              <w:rPr>
                <w:szCs w:val="24"/>
              </w:rPr>
            </w:pPr>
            <w:r>
              <w:rPr>
                <w:kern w:val="2"/>
                <w:szCs w:val="24"/>
              </w:rPr>
              <w:t>Žalgirio</w:t>
            </w:r>
            <w:r w:rsidRPr="00D4692A">
              <w:rPr>
                <w:kern w:val="2"/>
                <w:szCs w:val="24"/>
              </w:rPr>
              <w:t xml:space="preserve"> </w:t>
            </w:r>
            <w:r w:rsidR="00D4692A" w:rsidRPr="00D4692A">
              <w:rPr>
                <w:kern w:val="2"/>
                <w:szCs w:val="24"/>
              </w:rPr>
              <w:t xml:space="preserve">g. </w:t>
            </w:r>
            <w:r>
              <w:rPr>
                <w:kern w:val="2"/>
                <w:szCs w:val="24"/>
              </w:rPr>
              <w:t>115</w:t>
            </w:r>
            <w:r w:rsidR="00D4692A" w:rsidRPr="00D4692A">
              <w:rPr>
                <w:kern w:val="2"/>
                <w:szCs w:val="24"/>
              </w:rPr>
              <w:t>, Vilnius.</w:t>
            </w:r>
            <w:r w:rsidR="00D4692A">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35B01555" w:rsidR="00FB060D" w:rsidRPr="00FE33D6" w:rsidRDefault="000F4D31" w:rsidP="00D01B2F">
            <w:pPr>
              <w:jc w:val="both"/>
              <w:rPr>
                <w:kern w:val="2"/>
                <w:szCs w:val="24"/>
              </w:rPr>
            </w:pPr>
            <w:r w:rsidRPr="00FE33D6">
              <w:rPr>
                <w:kern w:val="2"/>
                <w:szCs w:val="24"/>
              </w:rPr>
              <w:t xml:space="preserve">4.5.1. </w:t>
            </w:r>
            <w:r w:rsidR="004646E3" w:rsidRPr="004646E3">
              <w:rPr>
                <w:kern w:val="2"/>
                <w:szCs w:val="24"/>
              </w:rPr>
              <w:t>Prekių perdavimo</w:t>
            </w:r>
            <w:r w:rsidR="004577C7">
              <w:rPr>
                <w:kern w:val="2"/>
                <w:szCs w:val="24"/>
              </w:rPr>
              <w:t>–</w:t>
            </w:r>
            <w:r w:rsidR="004646E3" w:rsidRPr="004646E3">
              <w:rPr>
                <w:kern w:val="2"/>
                <w:szCs w:val="24"/>
              </w:rPr>
              <w:t xml:space="preserve">priėmimo aktas ar kitas Prekių pristatymą patvirtinantis dokumentas (krovinio važtaraštis, sąskaita faktūra); </w:t>
            </w:r>
          </w:p>
          <w:p w14:paraId="562BEB55" w14:textId="1B35497A" w:rsidR="004646E3" w:rsidRDefault="00FB060D" w:rsidP="00D01B2F">
            <w:pPr>
              <w:jc w:val="both"/>
              <w:rPr>
                <w:kern w:val="2"/>
                <w:szCs w:val="24"/>
              </w:rPr>
            </w:pPr>
            <w:r w:rsidRPr="00FE33D6">
              <w:rPr>
                <w:kern w:val="2"/>
                <w:szCs w:val="24"/>
              </w:rPr>
              <w:t>4.5.2.</w:t>
            </w:r>
            <w:r w:rsidR="000F4D31" w:rsidRPr="00FE33D6">
              <w:rPr>
                <w:kern w:val="2"/>
                <w:szCs w:val="24"/>
              </w:rPr>
              <w:t xml:space="preserve"> </w:t>
            </w:r>
            <w:r w:rsidR="004646E3">
              <w:rPr>
                <w:kern w:val="2"/>
                <w:szCs w:val="24"/>
              </w:rPr>
              <w:t>T</w:t>
            </w:r>
            <w:r w:rsidR="004646E3" w:rsidRPr="00CD6A68">
              <w:rPr>
                <w:kern w:val="2"/>
                <w:szCs w:val="24"/>
              </w:rPr>
              <w:t>echninė ir naudojimo</w:t>
            </w:r>
            <w:r w:rsidR="004646E3">
              <w:rPr>
                <w:kern w:val="2"/>
                <w:szCs w:val="24"/>
              </w:rPr>
              <w:t xml:space="preserve"> </w:t>
            </w:r>
            <w:r w:rsidR="004646E3" w:rsidRPr="00CD6A68">
              <w:rPr>
                <w:kern w:val="2"/>
                <w:szCs w:val="24"/>
              </w:rPr>
              <w:t>instrukcijos lietuvių kalba</w:t>
            </w:r>
            <w:r w:rsidR="000F51CA">
              <w:rPr>
                <w:kern w:val="2"/>
                <w:szCs w:val="24"/>
              </w:rPr>
              <w:t>;</w:t>
            </w:r>
            <w:r w:rsidR="004646E3" w:rsidRPr="00CD6A68">
              <w:rPr>
                <w:kern w:val="2"/>
                <w:szCs w:val="24"/>
              </w:rPr>
              <w:t xml:space="preserve"> </w:t>
            </w:r>
          </w:p>
          <w:p w14:paraId="21D96F2D" w14:textId="5F1ADC57" w:rsidR="004646E3" w:rsidRDefault="000F4D31" w:rsidP="00D01B2F">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4646E3" w:rsidRPr="00CD6A68">
              <w:rPr>
                <w:kern w:val="2"/>
                <w:szCs w:val="24"/>
              </w:rPr>
              <w:t>CE sertifikatų arba EB atitikties</w:t>
            </w:r>
            <w:r w:rsidR="004646E3">
              <w:rPr>
                <w:kern w:val="2"/>
                <w:szCs w:val="24"/>
              </w:rPr>
              <w:t xml:space="preserve"> </w:t>
            </w:r>
            <w:r w:rsidR="004646E3" w:rsidRPr="00CD6A68">
              <w:rPr>
                <w:kern w:val="2"/>
                <w:szCs w:val="24"/>
              </w:rPr>
              <w:t>deklaracijų kopijos (arba lygiaverčiai dokumentai)</w:t>
            </w:r>
            <w:r w:rsidR="000F51CA">
              <w:rPr>
                <w:kern w:val="2"/>
                <w:szCs w:val="24"/>
              </w:rPr>
              <w:t>;</w:t>
            </w:r>
          </w:p>
          <w:p w14:paraId="013F5D90" w14:textId="5A17E96D" w:rsidR="00CF0B97" w:rsidRDefault="00FB060D" w:rsidP="00D01B2F">
            <w:pPr>
              <w:jc w:val="both"/>
              <w:rPr>
                <w:kern w:val="2"/>
                <w:szCs w:val="24"/>
              </w:rPr>
            </w:pPr>
            <w:r w:rsidRPr="00FE33D6">
              <w:rPr>
                <w:kern w:val="2"/>
                <w:szCs w:val="24"/>
              </w:rPr>
              <w:t>4.5.4</w:t>
            </w:r>
            <w:r w:rsidRPr="00770110">
              <w:rPr>
                <w:kern w:val="2"/>
                <w:szCs w:val="24"/>
              </w:rPr>
              <w:t>.</w:t>
            </w:r>
            <w:r w:rsidR="000F51CA" w:rsidRPr="00770110">
              <w:rPr>
                <w:kern w:val="2"/>
                <w:szCs w:val="24"/>
              </w:rPr>
              <w:t xml:space="preserve"> </w:t>
            </w:r>
            <w:r w:rsidR="00FF1184" w:rsidRPr="00770110">
              <w:rPr>
                <w:kern w:val="2"/>
                <w:szCs w:val="24"/>
              </w:rPr>
              <w:t>Dokumentai, patvirtinantys aplinkosauginių reikalavimų,  nustatytų 13.1.1</w:t>
            </w:r>
            <w:r w:rsidR="00CF0B97" w:rsidRPr="00770110">
              <w:rPr>
                <w:kern w:val="2"/>
                <w:szCs w:val="24"/>
              </w:rPr>
              <w:t xml:space="preserve"> </w:t>
            </w:r>
            <w:r w:rsidR="00FF1184" w:rsidRPr="00770110">
              <w:rPr>
                <w:kern w:val="2"/>
                <w:szCs w:val="24"/>
              </w:rPr>
              <w:t>papunktyje,  laikymąsi</w:t>
            </w:r>
            <w:r w:rsidR="00CF0B97" w:rsidRPr="00770110">
              <w:rPr>
                <w:kern w:val="2"/>
                <w:szCs w:val="24"/>
              </w:rPr>
              <w:t>.</w:t>
            </w:r>
          </w:p>
          <w:p w14:paraId="6085B884" w14:textId="6993F489" w:rsidR="00CD6A68" w:rsidRPr="00FB060D" w:rsidRDefault="000F4D31" w:rsidP="00D01B2F">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2ACE05F" w14:textId="77777777" w:rsidR="0043243C" w:rsidRDefault="0043243C" w:rsidP="0043243C">
            <w:pPr>
              <w:rPr>
                <w:color w:val="000000"/>
                <w:kern w:val="2"/>
                <w:szCs w:val="24"/>
              </w:rPr>
            </w:pPr>
          </w:p>
          <w:p w14:paraId="74D345D7" w14:textId="0074C30A" w:rsidR="0036581E" w:rsidRDefault="0043243C"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760288">
              <w:rPr>
                <w:color w:val="000000"/>
                <w:kern w:val="2"/>
                <w:szCs w:val="24"/>
              </w:rPr>
              <w:t xml:space="preserve"> 1 </w:t>
            </w:r>
            <w:r>
              <w:rPr>
                <w:color w:val="000000"/>
                <w:kern w:val="2"/>
                <w:szCs w:val="24"/>
              </w:rPr>
              <w:t xml:space="preserve">nurodytais įkainiais, neviršijant jame nurodyto Prekių maksimalaus kiekio. </w:t>
            </w:r>
            <w:r w:rsidRPr="005806FC">
              <w:rPr>
                <w:kern w:val="2"/>
                <w:szCs w:val="24"/>
              </w:rPr>
              <w:t>Pirkėjas neįsipareigoja išpirkti maksimalaus Prekių kiekio ar bet kokios jo dalies</w:t>
            </w:r>
            <w:r w:rsidR="00904A91" w:rsidRPr="005806FC">
              <w:rPr>
                <w:kern w:val="2"/>
                <w:szCs w:val="24"/>
              </w:rPr>
              <w:t>.</w:t>
            </w:r>
          </w:p>
          <w:p w14:paraId="29E57CFC" w14:textId="77777777" w:rsidR="007B2588" w:rsidRPr="003D63F7" w:rsidRDefault="007B2588" w:rsidP="0036581E">
            <w:pPr>
              <w:jc w:val="both"/>
              <w:rPr>
                <w:kern w:val="2"/>
                <w:szCs w:val="24"/>
              </w:rPr>
            </w:pPr>
          </w:p>
          <w:p w14:paraId="16A8DCDC" w14:textId="682B4B1B" w:rsidR="0036581E" w:rsidRPr="00D9400C" w:rsidRDefault="0036581E" w:rsidP="0036581E">
            <w:pPr>
              <w:jc w:val="both"/>
              <w:rPr>
                <w:color w:val="00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B2588">
        <w:trPr>
          <w:trHeight w:val="410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lastRenderedPageBreak/>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14D95B" w14:textId="0B2F2B22"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 xml:space="preserve">.1. Bet kuri Sutarties šalis Sutarties galiojimo metu turi teisę inicijuoti Sutartyje numatytų įkainių peržiūrą (keitimą) ne anksčiau kaip po </w:t>
            </w:r>
            <w:r>
              <w:rPr>
                <w:color w:val="242424"/>
              </w:rPr>
              <w:t>6 (šešių)</w:t>
            </w:r>
            <w:r w:rsidRPr="00B71206">
              <w:rPr>
                <w:color w:val="242424"/>
              </w:rPr>
              <w:t xml:space="preserve"> mėnesių nuo Sutarties įsigaliojimo dienos (jeigu peržiūra jau buvo atlikta – nuo Susitarimo dėl paskutinio perskaičiavimo pagal šį Specialiųjų sąlygų punktą įsigaliojimo dienos), jeigu Vartojimo prekių ir paslaugų kainų pokytis (k), viršija 8</w:t>
            </w:r>
            <w:r>
              <w:rPr>
                <w:color w:val="242424"/>
              </w:rPr>
              <w:t xml:space="preserve"> (aštuonis)</w:t>
            </w:r>
            <w:r w:rsidRPr="00B71206">
              <w:rPr>
                <w:color w:val="242424"/>
              </w:rPr>
              <w:t xml:space="preserve"> procentus.</w:t>
            </w:r>
          </w:p>
          <w:p w14:paraId="2EE333E4" w14:textId="76609D20"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.2. Sutarties kaina / įkainiai peržiūrimi tik tai Sutarties daliai, kuri nėra išpirkta, t. y., Prekėms, kurios nėra priimtos ir apmokėtos. Vėlesnė Sutarties kainos / įkainių peržiūra negali apimti laikotarpio, už kurį jau buvo atlikta peržiūra.</w:t>
            </w:r>
          </w:p>
          <w:p w14:paraId="5D4A7A05" w14:textId="3E845730"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.3. Jeigu Prekių tiekimas vėluoja dėl Tiekėjo kaltės, uždelstų pristatyti Prekių kaina / įkainiai nėra perskaičiuojami dėl kainų lygio kilimo (negali būti didinami).</w:t>
            </w:r>
          </w:p>
          <w:p w14:paraId="0D37FF41" w14:textId="0E7258F0"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480BEC" w14:textId="2AF76C90"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EFE3620" w14:textId="038F5C4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.6. Nauja Sutarties kaina / įkainiai apskaičiuojami pagal žemiau pateiktą formulę:</w:t>
            </w:r>
          </w:p>
          <w:p w14:paraId="396F37DA"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rFonts w:ascii="Cambria Math" w:hAnsi="Cambria Math" w:cs="Cambria Math"/>
                <w:color w:val="242424"/>
              </w:rPr>
              <w:t>𝑎</w:t>
            </w:r>
            <w:r w:rsidRPr="00B71206">
              <w:rPr>
                <w:color w:val="242424"/>
              </w:rPr>
              <w:t xml:space="preserve">1 = </w:t>
            </w:r>
            <w:r w:rsidRPr="00B71206">
              <w:rPr>
                <w:rFonts w:ascii="Cambria Math" w:hAnsi="Cambria Math" w:cs="Cambria Math"/>
                <w:color w:val="242424"/>
              </w:rPr>
              <w:t>𝑎</w:t>
            </w:r>
            <w:r w:rsidRPr="00B71206">
              <w:rPr>
                <w:color w:val="242424"/>
              </w:rPr>
              <w:t xml:space="preserve"> + (100 </w:t>
            </w:r>
            <w:r w:rsidRPr="00B71206">
              <w:rPr>
                <w:rFonts w:ascii="Cambria Math" w:hAnsi="Cambria Math" w:cs="Cambria Math"/>
                <w:color w:val="242424"/>
              </w:rPr>
              <w:t>𝑘</w:t>
            </w:r>
            <w:r w:rsidRPr="00B71206">
              <w:rPr>
                <w:color w:val="242424"/>
              </w:rPr>
              <w:t xml:space="preserve"> × </w:t>
            </w:r>
            <w:r w:rsidRPr="00B71206">
              <w:rPr>
                <w:rFonts w:ascii="Cambria Math" w:hAnsi="Cambria Math" w:cs="Cambria Math"/>
                <w:color w:val="242424"/>
              </w:rPr>
              <w:t>𝑎</w:t>
            </w:r>
            <w:r w:rsidRPr="00B71206">
              <w:rPr>
                <w:color w:val="242424"/>
              </w:rPr>
              <w:t xml:space="preserve">), kur </w:t>
            </w:r>
          </w:p>
          <w:p w14:paraId="7ABE71F2"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a – kaina / įkainis (Eur be PVM)) (jei peržiūra jau buvo atlikta, tai po paskutinio perskaičiavimo)</w:t>
            </w:r>
          </w:p>
          <w:p w14:paraId="77264340"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a1 – perskaičiuota (pakeista) kaina / įkainis (Eur be PVM)</w:t>
            </w:r>
          </w:p>
          <w:p w14:paraId="11EEF5A6"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k – pagal vartotojų kainų indeksą (06 SVEIKATA) apskaičiuotas Vartojimo prekių ir paslaugų kainų pokytis (padidėjimas arba sumažėjimas) (%). „k“ reikšmė skaičiuojama pagal formulę:</w:t>
            </w:r>
          </w:p>
          <w:p w14:paraId="17529D7A"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k =</w:t>
            </w:r>
            <w:proofErr w:type="spellStart"/>
            <w:r w:rsidRPr="00B71206">
              <w:rPr>
                <w:color w:val="242424"/>
              </w:rPr>
              <w:t>Ind_naujausias</w:t>
            </w:r>
            <w:proofErr w:type="spellEnd"/>
            <w:r w:rsidRPr="00B71206">
              <w:rPr>
                <w:color w:val="242424"/>
              </w:rPr>
              <w:t>/</w:t>
            </w:r>
            <w:proofErr w:type="spellStart"/>
            <w:r w:rsidRPr="00B71206">
              <w:rPr>
                <w:color w:val="242424"/>
              </w:rPr>
              <w:t>Ind_pradžia</w:t>
            </w:r>
            <w:proofErr w:type="spellEnd"/>
            <w:r w:rsidRPr="00B71206">
              <w:rPr>
                <w:color w:val="242424"/>
              </w:rPr>
              <w:t xml:space="preserve"> ×100-100, (proc.) kur</w:t>
            </w:r>
          </w:p>
          <w:p w14:paraId="576FFF53" w14:textId="77777777" w:rsidR="00E64401" w:rsidRPr="00B71206" w:rsidRDefault="00E64401" w:rsidP="009A0679">
            <w:pPr>
              <w:pStyle w:val="NormalWeb"/>
              <w:shd w:val="clear" w:color="auto" w:fill="FFFFFF"/>
              <w:spacing w:before="0" w:beforeAutospacing="0" w:after="0" w:afterAutospacing="0"/>
              <w:jc w:val="both"/>
              <w:rPr>
                <w:color w:val="242424"/>
              </w:rPr>
            </w:pPr>
            <w:proofErr w:type="spellStart"/>
            <w:r w:rsidRPr="00B71206">
              <w:rPr>
                <w:color w:val="242424"/>
              </w:rPr>
              <w:t>Indnaujausias</w:t>
            </w:r>
            <w:proofErr w:type="spellEnd"/>
            <w:r w:rsidRPr="00B71206">
              <w:rPr>
                <w:color w:val="242424"/>
              </w:rPr>
              <w:t xml:space="preserve"> – kreipimosi dėl kainos / įkainių peržiūros išsiuntimo kitai šaliai dieną paskelbtas naujausias vartojimo prekių ir paslaugų indeksas (06 SVEIKATA).</w:t>
            </w:r>
          </w:p>
          <w:p w14:paraId="4E72BB07" w14:textId="2494A5FC" w:rsidR="00E64401" w:rsidRPr="00B71206" w:rsidRDefault="00E64401" w:rsidP="009A0679">
            <w:pPr>
              <w:pStyle w:val="NormalWeb"/>
              <w:shd w:val="clear" w:color="auto" w:fill="FFFFFF"/>
              <w:spacing w:before="0" w:beforeAutospacing="0" w:after="0" w:afterAutospacing="0"/>
              <w:jc w:val="both"/>
              <w:rPr>
                <w:color w:val="242424"/>
              </w:rPr>
            </w:pPr>
            <w:proofErr w:type="spellStart"/>
            <w:r w:rsidRPr="00B71206">
              <w:rPr>
                <w:color w:val="242424"/>
              </w:rPr>
              <w:t>Indpradžia</w:t>
            </w:r>
            <w:proofErr w:type="spellEnd"/>
            <w:r w:rsidRPr="00B71206">
              <w:rPr>
                <w:color w:val="242424"/>
              </w:rPr>
              <w:t xml:space="preserve"> – laikotarpio pradžios datos (mėnesio) vartojimo prekių ir paslaugų indeksas (06 SVEIKATA). </w:t>
            </w:r>
          </w:p>
          <w:p w14:paraId="227DD4C9" w14:textId="77777777"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58E34F" w14:textId="159BB2EE"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D1521B1" w14:textId="0C677505"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lastRenderedPageBreak/>
              <w:t>5.3.</w:t>
            </w:r>
            <w:r>
              <w:rPr>
                <w:color w:val="242424"/>
              </w:rPr>
              <w:t>3</w:t>
            </w:r>
            <w:r w:rsidRPr="00B71206">
              <w:rPr>
                <w:color w:val="242424"/>
              </w:rPr>
              <w:t>.8.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EBA74E5" w14:textId="0B30EA3A" w:rsidR="00E64401" w:rsidRPr="00B71206" w:rsidRDefault="00E64401" w:rsidP="009A0679">
            <w:pPr>
              <w:pStyle w:val="NormalWeb"/>
              <w:shd w:val="clear" w:color="auto" w:fill="FFFFFF"/>
              <w:spacing w:before="0" w:beforeAutospacing="0" w:after="0" w:afterAutospacing="0"/>
              <w:jc w:val="both"/>
              <w:rPr>
                <w:color w:val="242424"/>
              </w:rPr>
            </w:pPr>
            <w:r w:rsidRPr="00B71206">
              <w:rPr>
                <w:color w:val="242424"/>
              </w:rPr>
              <w:t>5.3.</w:t>
            </w:r>
            <w:r>
              <w:rPr>
                <w:color w:val="242424"/>
              </w:rPr>
              <w:t>3</w:t>
            </w:r>
            <w:r w:rsidRPr="00B71206">
              <w:rPr>
                <w:color w:val="242424"/>
              </w:rPr>
              <w:t xml:space="preserve">.9. Susitarimas turi būti sudarytas per 14 </w:t>
            </w:r>
            <w:r w:rsidR="004449A4">
              <w:rPr>
                <w:color w:val="242424"/>
              </w:rPr>
              <w:t xml:space="preserve">(keturiolika) </w:t>
            </w:r>
            <w:r w:rsidRPr="00B71206">
              <w:rPr>
                <w:color w:val="242424"/>
              </w:rPr>
              <w:t>dienų nuo Šalies pateikto tinkamo prašymo perskaičiuoti Sutarties kainą / įkainius gavimo dienos.</w:t>
            </w:r>
          </w:p>
          <w:p w14:paraId="54F9A206" w14:textId="120F194B" w:rsidR="009A1571" w:rsidRPr="004E106D" w:rsidRDefault="00E64401" w:rsidP="007B2588">
            <w:pPr>
              <w:pStyle w:val="NormalWeb"/>
              <w:shd w:val="clear" w:color="auto" w:fill="FFFFFF"/>
              <w:spacing w:before="0" w:beforeAutospacing="0" w:after="0" w:afterAutospacing="0"/>
              <w:jc w:val="both"/>
            </w:pPr>
            <w:r w:rsidRPr="00B71206">
              <w:rPr>
                <w:color w:val="242424"/>
              </w:rPr>
              <w:t>5.3.</w:t>
            </w:r>
            <w:r>
              <w:rPr>
                <w:color w:val="242424"/>
              </w:rPr>
              <w:t>3</w:t>
            </w:r>
            <w:r w:rsidRPr="00B71206">
              <w:rPr>
                <w:color w:val="242424"/>
              </w:rPr>
              <w:t>.10.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FED7E0E"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arantinis terminas</w:t>
            </w:r>
            <w:r w:rsidR="00A47B45">
              <w:rPr>
                <w:kern w:val="2"/>
                <w:szCs w:val="24"/>
              </w:rPr>
              <w:t>,</w:t>
            </w:r>
            <w:r w:rsidR="000565AE" w:rsidRPr="00995DBA">
              <w:rPr>
                <w:b/>
                <w:bCs/>
                <w:kern w:val="2"/>
                <w:szCs w:val="24"/>
              </w:rPr>
              <w:t xml:space="preserve"> </w:t>
            </w:r>
            <w:r w:rsidR="000565AE" w:rsidRPr="004E106D">
              <w:rPr>
                <w:kern w:val="2"/>
                <w:szCs w:val="24"/>
              </w:rPr>
              <w:t>nurodytas Techninėje specifikacijoje</w:t>
            </w:r>
            <w:r w:rsidRPr="00FA14C6">
              <w:rPr>
                <w:kern w:val="2"/>
                <w:szCs w:val="24"/>
              </w:rPr>
              <w:t xml:space="preserve">, </w:t>
            </w:r>
            <w:r w:rsidRPr="004E106D">
              <w:rPr>
                <w:kern w:val="2"/>
                <w:szCs w:val="24"/>
              </w:rPr>
              <w:t xml:space="preserve">kuris </w:t>
            </w:r>
            <w:r w:rsidR="000565AE" w:rsidRPr="004E106D">
              <w:rPr>
                <w:kern w:val="2"/>
                <w:szCs w:val="24"/>
              </w:rPr>
              <w:t xml:space="preserve">turi būti </w:t>
            </w:r>
            <w:r w:rsidR="00236D39" w:rsidRPr="004E106D">
              <w:rPr>
                <w:kern w:val="2"/>
                <w:szCs w:val="24"/>
              </w:rPr>
              <w:t>ne trumpesnis negu</w:t>
            </w:r>
            <w:r w:rsidR="000565AE" w:rsidRPr="004E106D">
              <w:rPr>
                <w:kern w:val="2"/>
                <w:szCs w:val="24"/>
              </w:rPr>
              <w:t xml:space="preserve"> 12 (dvylika) mėnesių</w:t>
            </w:r>
            <w:r w:rsidR="00236D39" w:rsidRPr="00FA14C6">
              <w:rPr>
                <w:kern w:val="2"/>
                <w:szCs w:val="24"/>
              </w:rPr>
              <w:t>.</w:t>
            </w:r>
            <w:r w:rsidRPr="004C6076">
              <w:rPr>
                <w:kern w:val="2"/>
                <w:szCs w:val="24"/>
              </w:rPr>
              <w:t xml:space="preserve"> </w:t>
            </w:r>
            <w:r>
              <w:rPr>
                <w:kern w:val="2"/>
                <w:szCs w:val="24"/>
              </w:rPr>
              <w:t xml:space="preserve">Garantinis terminas, </w:t>
            </w:r>
            <w:r>
              <w:rPr>
                <w:kern w:val="2"/>
                <w:szCs w:val="24"/>
              </w:rPr>
              <w:lastRenderedPageBreak/>
              <w:t>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77777777" w:rsidR="00A47B45" w:rsidRDefault="00A47B45" w:rsidP="00CC2EC0">
            <w:pPr>
              <w:jc w:val="both"/>
              <w:rPr>
                <w:kern w:val="2"/>
                <w:szCs w:val="24"/>
              </w:rPr>
            </w:pPr>
            <w:r w:rsidRPr="00A47B45">
              <w:rPr>
                <w:kern w:val="2"/>
                <w:szCs w:val="24"/>
              </w:rPr>
              <w:t>Tiekėjas privalo pašalinti trūkumus ne vėliau kaip per 20 (dvidešimt) kalendorinių dienų nuo trūkumų nustatymo dienos.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BF3A6EE"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5B61D1">
              <w:rPr>
                <w:kern w:val="2"/>
                <w:szCs w:val="24"/>
              </w:rPr>
              <w:t>14</w:t>
            </w:r>
            <w:r w:rsidRPr="004C6076">
              <w:rPr>
                <w:kern w:val="2"/>
                <w:szCs w:val="24"/>
              </w:rPr>
              <w:t xml:space="preserve"> (</w:t>
            </w:r>
            <w:r w:rsidR="005B61D1">
              <w:rPr>
                <w:kern w:val="2"/>
                <w:szCs w:val="24"/>
              </w:rPr>
              <w:t>keturiolika</w:t>
            </w:r>
            <w:r w:rsidRPr="004C6076">
              <w:rPr>
                <w:kern w:val="2"/>
                <w:szCs w:val="24"/>
              </w:rPr>
              <w:t>) mėnesi</w:t>
            </w:r>
            <w:r w:rsidR="00236898">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5B61D1">
              <w:rPr>
                <w:kern w:val="2"/>
                <w:szCs w:val="24"/>
              </w:rPr>
              <w:t>12</w:t>
            </w:r>
            <w:r w:rsidRPr="004C6076">
              <w:rPr>
                <w:kern w:val="2"/>
                <w:szCs w:val="24"/>
              </w:rPr>
              <w:t xml:space="preserve"> (</w:t>
            </w:r>
            <w:r w:rsidR="005B61D1">
              <w:rPr>
                <w:kern w:val="2"/>
                <w:szCs w:val="24"/>
              </w:rPr>
              <w:t>dvylika</w:t>
            </w:r>
            <w:r w:rsidRPr="004C6076">
              <w:rPr>
                <w:kern w:val="2"/>
                <w:szCs w:val="24"/>
              </w:rPr>
              <w:t>) mėnesi</w:t>
            </w:r>
            <w:r w:rsidR="00236898">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lastRenderedPageBreak/>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308410B0" w14:textId="4688A149" w:rsidR="00004E1D" w:rsidRDefault="00F8555E" w:rsidP="00006BDB">
            <w:pPr>
              <w:jc w:val="both"/>
              <w:rPr>
                <w:szCs w:val="24"/>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w:t>
            </w:r>
            <w:r>
              <w:rPr>
                <w:rFonts w:eastAsiaTheme="minorHAnsi" w:cstheme="minorBidi"/>
                <w:kern w:val="2"/>
                <w:szCs w:val="22"/>
                <w14:ligatures w14:val="standardContextual"/>
              </w:rPr>
              <w:lastRenderedPageBreak/>
              <w:t xml:space="preserve">biologiškai skaidyti, reikalavimai.“, standartas </w:t>
            </w:r>
            <w:r>
              <w:rPr>
                <w:rFonts w:eastAsiaTheme="minorHAnsi" w:cstheme="minorBidi"/>
                <w:kern w:val="2"/>
                <w:szCs w:val="22"/>
                <w:lang w:val="en-US"/>
                <w14:ligatures w14:val="standardContextual"/>
              </w:rPr>
              <w:t xml:space="preserve">Voluntary Standard for Repulping and Recycling Corrugated Fiberboard Treated to Improve Its Performance in the Presence of Water and Water Vapor, </w:t>
            </w:r>
            <w:proofErr w:type="spellStart"/>
            <w:r>
              <w:rPr>
                <w:rFonts w:eastAsiaTheme="minorHAnsi" w:cstheme="minorBidi"/>
                <w:kern w:val="2"/>
                <w:szCs w:val="22"/>
                <w:lang w:val="en-US"/>
                <w14:ligatures w14:val="standardContextual"/>
              </w:rPr>
              <w:t>standartas</w:t>
            </w:r>
            <w:proofErr w:type="spellEnd"/>
            <w:r>
              <w:rPr>
                <w:rFonts w:eastAsiaTheme="minorHAnsi" w:cstheme="minorBidi"/>
                <w:kern w:val="2"/>
                <w:szCs w:val="22"/>
                <w:lang w:val="en-US"/>
                <w14:ligatures w14:val="standardContextual"/>
              </w:rPr>
              <w:t xml:space="preserve"> </w:t>
            </w:r>
            <w:proofErr w:type="spellStart"/>
            <w:r>
              <w:rPr>
                <w:rFonts w:eastAsiaTheme="minorHAnsi" w:cstheme="minorBidi"/>
                <w:kern w:val="2"/>
                <w:szCs w:val="22"/>
                <w:lang w:val="en-US"/>
                <w14:ligatures w14:val="standardContextual"/>
              </w:rPr>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Default="00CF4783" w:rsidP="000C09BD">
      <w:pPr>
        <w:jc w:val="center"/>
        <w:rPr>
          <w:b/>
          <w:bCs/>
          <w:iCs/>
          <w:szCs w:val="24"/>
        </w:rPr>
      </w:pPr>
      <w:r w:rsidRPr="004C6076">
        <w:rPr>
          <w:b/>
          <w:bCs/>
          <w:iCs/>
          <w:szCs w:val="24"/>
        </w:rPr>
        <w:t xml:space="preserve">TECHNINĖ SPECIFIKACIJA IR </w:t>
      </w:r>
      <w:r w:rsidR="004734FE">
        <w:rPr>
          <w:b/>
          <w:bCs/>
          <w:iCs/>
          <w:szCs w:val="24"/>
        </w:rPr>
        <w:t>Į</w:t>
      </w:r>
      <w:r w:rsidR="00EC0AE1">
        <w:rPr>
          <w:b/>
          <w:bCs/>
          <w:iCs/>
          <w:szCs w:val="24"/>
        </w:rPr>
        <w:t>KAIN</w:t>
      </w:r>
      <w:r w:rsidR="004734FE">
        <w:rPr>
          <w:b/>
          <w:bCs/>
          <w:iCs/>
          <w:szCs w:val="24"/>
        </w:rPr>
        <w:t>I</w:t>
      </w:r>
      <w:r w:rsidR="00EC0AE1">
        <w:rPr>
          <w:b/>
          <w:bCs/>
          <w:iCs/>
          <w:szCs w:val="24"/>
        </w:rPr>
        <w:t>A</w:t>
      </w:r>
      <w:r w:rsidR="004734FE">
        <w:rPr>
          <w:b/>
          <w:bCs/>
          <w:iCs/>
          <w:szCs w:val="24"/>
        </w:rPr>
        <w:t>I</w:t>
      </w:r>
    </w:p>
    <w:p w14:paraId="1F359D84" w14:textId="77777777" w:rsidR="003E3B7D" w:rsidRDefault="003E3B7D" w:rsidP="000C09BD">
      <w:pPr>
        <w:jc w:val="center"/>
        <w:rPr>
          <w:b/>
          <w:bCs/>
          <w:iCs/>
          <w:szCs w:val="24"/>
        </w:rPr>
      </w:pPr>
    </w:p>
    <w:p w14:paraId="0F318306" w14:textId="77777777" w:rsidR="00264463" w:rsidRPr="00264463" w:rsidRDefault="00264463" w:rsidP="00264463">
      <w:pPr>
        <w:jc w:val="center"/>
        <w:rPr>
          <w:b/>
          <w:bCs/>
          <w:sz w:val="22"/>
          <w:szCs w:val="22"/>
        </w:rPr>
      </w:pPr>
      <w:r w:rsidRPr="00264463">
        <w:rPr>
          <w:b/>
          <w:bCs/>
          <w:sz w:val="22"/>
          <w:szCs w:val="22"/>
        </w:rPr>
        <w:t xml:space="preserve">„Odontologiniai instrumentai (Ultragarsiniai </w:t>
      </w:r>
      <w:proofErr w:type="spellStart"/>
      <w:r w:rsidRPr="00264463">
        <w:rPr>
          <w:b/>
          <w:bCs/>
          <w:sz w:val="22"/>
          <w:szCs w:val="22"/>
        </w:rPr>
        <w:t>endodontiniai</w:t>
      </w:r>
      <w:proofErr w:type="spellEnd"/>
      <w:r w:rsidRPr="00264463">
        <w:rPr>
          <w:b/>
          <w:bCs/>
          <w:sz w:val="22"/>
          <w:szCs w:val="22"/>
        </w:rPr>
        <w:t xml:space="preserve"> instrumentai, koaguliaciniai pincetai ir pan.) (10786-1)“</w:t>
      </w:r>
    </w:p>
    <w:p w14:paraId="797C38BF" w14:textId="77777777" w:rsidR="00264463" w:rsidRPr="00264463" w:rsidRDefault="00264463" w:rsidP="00264463">
      <w:pPr>
        <w:rPr>
          <w:b/>
          <w:bCs/>
          <w:sz w:val="22"/>
          <w:szCs w:val="22"/>
        </w:rPr>
      </w:pPr>
    </w:p>
    <w:p w14:paraId="2D99E0BD" w14:textId="77777777" w:rsidR="00264463" w:rsidRPr="00264463" w:rsidRDefault="00264463" w:rsidP="00264463">
      <w:pPr>
        <w:rPr>
          <w:b/>
          <w:bCs/>
          <w:sz w:val="20"/>
        </w:rPr>
      </w:pPr>
      <w:r w:rsidRPr="00264463">
        <w:rPr>
          <w:b/>
          <w:bCs/>
          <w:sz w:val="20"/>
        </w:rPr>
        <w:t xml:space="preserve">Bendrieji reikalavimai: </w:t>
      </w:r>
    </w:p>
    <w:p w14:paraId="034F7520" w14:textId="77777777" w:rsidR="00264463" w:rsidRPr="00264463" w:rsidRDefault="00264463" w:rsidP="00264463">
      <w:pPr>
        <w:jc w:val="both"/>
        <w:rPr>
          <w:sz w:val="20"/>
        </w:rPr>
      </w:pPr>
      <w:r w:rsidRPr="00264463">
        <w:rPr>
          <w:sz w:val="20"/>
        </w:rPr>
        <w:t xml:space="preserve">1. Kartu su Prekėmis pateikiami šie dokumentai: techninė ir naudojimo instrukcijos lietuvių kalba, CE sertifikatų arba EB atitikties deklaracijų kopijos (arba lygiaverčiai dokumentai). </w:t>
      </w:r>
      <w:r w:rsidRPr="00264463">
        <w:rPr>
          <w:sz w:val="20"/>
        </w:rPr>
        <w:tab/>
      </w:r>
    </w:p>
    <w:p w14:paraId="1A4D0486" w14:textId="77777777" w:rsidR="00264463" w:rsidRPr="00264463" w:rsidRDefault="00264463" w:rsidP="00264463">
      <w:pPr>
        <w:jc w:val="both"/>
        <w:rPr>
          <w:sz w:val="20"/>
        </w:rPr>
      </w:pPr>
      <w:r w:rsidRPr="00264463">
        <w:rPr>
          <w:sz w:val="20"/>
        </w:rPr>
        <w:t>2. Tiekėjas kartu su pasiūlymu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264463">
        <w:rPr>
          <w:sz w:val="20"/>
        </w:rPr>
        <w:t>pdf</w:t>
      </w:r>
      <w:proofErr w:type="spellEnd"/>
      <w:r w:rsidRPr="00264463">
        <w:rPr>
          <w:sz w:val="2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nuspalvinti,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17B34F7E" w14:textId="77777777" w:rsidR="00264463" w:rsidRPr="00264463" w:rsidRDefault="00264463" w:rsidP="00264463">
      <w:pPr>
        <w:jc w:val="both"/>
        <w:rPr>
          <w:sz w:val="20"/>
        </w:rPr>
      </w:pPr>
      <w:r w:rsidRPr="00264463">
        <w:rPr>
          <w:sz w:val="20"/>
        </w:rPr>
        <w:t xml:space="preserve">3. Prekėms turi būti suteiktas prekių gamintojo taikomas / tiekėjo pasiūlytas garantinis terminas, kuris turi būti ne trumpesnis negu 12 (dvylika) mėnesių. </w:t>
      </w:r>
    </w:p>
    <w:p w14:paraId="54FD51D7" w14:textId="77777777" w:rsidR="00264463" w:rsidRPr="00264463" w:rsidRDefault="00264463" w:rsidP="00264463">
      <w:pPr>
        <w:jc w:val="both"/>
        <w:rPr>
          <w:sz w:val="20"/>
        </w:rPr>
      </w:pPr>
      <w:r w:rsidRPr="00264463">
        <w:rPr>
          <w:sz w:val="20"/>
        </w:rPr>
        <w:t>4. Visoms nurodytiems konkretiems prekių pavadinimams taikoma „arba lygiavertis“. Tiekėjas, siūlantis lygiavertę prekę privalo patikimomis priemonėmis įrodyti, kad siūloma prekė yra lygiavertė ir visiškai atitinka techninėje specifikacijoje keliamus reikalavimus.</w:t>
      </w:r>
    </w:p>
    <w:p w14:paraId="1539805F" w14:textId="77777777" w:rsidR="00264463" w:rsidRPr="00264463" w:rsidRDefault="00264463" w:rsidP="00264463">
      <w:pPr>
        <w:jc w:val="both"/>
        <w:rPr>
          <w:sz w:val="20"/>
        </w:rPr>
      </w:pPr>
      <w:r w:rsidRPr="00264463">
        <w:rPr>
          <w:sz w:val="20"/>
        </w:rPr>
        <w:t xml:space="preserve">5. Teikiant pasiūlymą būtina nurodyti siūlomos prekės gamintoją ir tikslų katalogo numerį, prekės kodą gamintojo kataloge (jeigu gamintojas turi savo prekių katalogą). </w:t>
      </w:r>
    </w:p>
    <w:tbl>
      <w:tblPr>
        <w:tblW w:w="14179" w:type="dxa"/>
        <w:tblLook w:val="04A0" w:firstRow="1" w:lastRow="0" w:firstColumn="1" w:lastColumn="0" w:noHBand="0" w:noVBand="1"/>
      </w:tblPr>
      <w:tblGrid>
        <w:gridCol w:w="925"/>
        <w:gridCol w:w="3613"/>
        <w:gridCol w:w="1121"/>
        <w:gridCol w:w="1292"/>
        <w:gridCol w:w="2309"/>
        <w:gridCol w:w="2401"/>
        <w:gridCol w:w="900"/>
        <w:gridCol w:w="766"/>
        <w:gridCol w:w="852"/>
      </w:tblGrid>
      <w:tr w:rsidR="00264463" w:rsidRPr="00264463" w14:paraId="6844819A" w14:textId="77777777" w:rsidTr="00264463">
        <w:trPr>
          <w:trHeight w:val="268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D9499" w14:textId="77777777" w:rsidR="00264463" w:rsidRPr="00264463" w:rsidRDefault="00264463" w:rsidP="00264463">
            <w:pPr>
              <w:jc w:val="center"/>
              <w:rPr>
                <w:color w:val="000000"/>
                <w:sz w:val="22"/>
                <w:szCs w:val="22"/>
                <w:lang w:eastAsia="lt-LT"/>
              </w:rPr>
            </w:pPr>
            <w:r w:rsidRPr="00264463">
              <w:rPr>
                <w:color w:val="000000"/>
                <w:sz w:val="22"/>
                <w:szCs w:val="22"/>
                <w:lang w:eastAsia="lt-LT"/>
              </w:rPr>
              <w:t>Pirkimo dalies Nr.</w:t>
            </w:r>
          </w:p>
        </w:tc>
        <w:tc>
          <w:tcPr>
            <w:tcW w:w="3613" w:type="dxa"/>
            <w:tcBorders>
              <w:top w:val="single" w:sz="4" w:space="0" w:color="auto"/>
              <w:left w:val="nil"/>
              <w:bottom w:val="single" w:sz="4" w:space="0" w:color="auto"/>
              <w:right w:val="single" w:sz="4" w:space="0" w:color="auto"/>
            </w:tcBorders>
            <w:shd w:val="clear" w:color="auto" w:fill="auto"/>
            <w:vAlign w:val="center"/>
            <w:hideMark/>
          </w:tcPr>
          <w:p w14:paraId="0A7A9730" w14:textId="77777777" w:rsidR="00264463" w:rsidRPr="00264463" w:rsidRDefault="00264463" w:rsidP="00264463">
            <w:pPr>
              <w:jc w:val="center"/>
              <w:rPr>
                <w:color w:val="000000"/>
                <w:sz w:val="22"/>
                <w:szCs w:val="22"/>
                <w:lang w:eastAsia="lt-LT"/>
              </w:rPr>
            </w:pPr>
            <w:r w:rsidRPr="00264463">
              <w:rPr>
                <w:color w:val="000000"/>
                <w:sz w:val="22"/>
                <w:szCs w:val="22"/>
                <w:lang w:eastAsia="lt-LT"/>
              </w:rPr>
              <w:t>Pirkimo objektas, charakteristikos, parametrai</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C06CB9B" w14:textId="77777777" w:rsidR="00264463" w:rsidRPr="00264463" w:rsidRDefault="00264463" w:rsidP="00264463">
            <w:pPr>
              <w:jc w:val="center"/>
              <w:rPr>
                <w:color w:val="000000"/>
                <w:sz w:val="22"/>
                <w:szCs w:val="22"/>
                <w:lang w:eastAsia="lt-LT"/>
              </w:rPr>
            </w:pPr>
            <w:r w:rsidRPr="00264463">
              <w:rPr>
                <w:color w:val="000000"/>
                <w:sz w:val="22"/>
                <w:szCs w:val="22"/>
                <w:lang w:eastAsia="lt-LT"/>
              </w:rPr>
              <w:t>Matavimo vnt.</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BBDB181" w14:textId="77777777" w:rsidR="00264463" w:rsidRPr="00264463" w:rsidRDefault="00264463" w:rsidP="00264463">
            <w:pPr>
              <w:jc w:val="center"/>
              <w:rPr>
                <w:color w:val="000000"/>
                <w:sz w:val="22"/>
                <w:szCs w:val="22"/>
                <w:lang w:eastAsia="lt-LT"/>
              </w:rPr>
            </w:pPr>
            <w:r w:rsidRPr="00264463">
              <w:rPr>
                <w:color w:val="000000"/>
                <w:sz w:val="22"/>
                <w:szCs w:val="22"/>
                <w:lang w:eastAsia="lt-LT"/>
              </w:rPr>
              <w:t xml:space="preserve">Maksimalus kiekis (12 mėn.) </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14:paraId="474F848B" w14:textId="2CBA4446" w:rsidR="00264463" w:rsidRPr="00264463" w:rsidRDefault="00264463" w:rsidP="00264463">
            <w:pPr>
              <w:jc w:val="center"/>
              <w:rPr>
                <w:color w:val="000000"/>
                <w:sz w:val="22"/>
                <w:szCs w:val="22"/>
                <w:lang w:eastAsia="lt-LT"/>
              </w:rPr>
            </w:pPr>
            <w:r w:rsidRPr="00264463">
              <w:rPr>
                <w:color w:val="000000"/>
                <w:sz w:val="22"/>
                <w:szCs w:val="22"/>
                <w:lang w:eastAsia="lt-LT"/>
              </w:rPr>
              <w:t>Siūlomos prekės parametrai. Firminis prekės pavadinimas, gamintojas. Prekės kodas gamintojo kataloge, jeigu gamintojas turi savo prekių katalogą</w:t>
            </w:r>
            <w:r>
              <w:rPr>
                <w:color w:val="000000"/>
                <w:sz w:val="22"/>
                <w:szCs w:val="22"/>
                <w:lang w:eastAsia="lt-LT"/>
              </w:rPr>
              <w:t>.</w:t>
            </w:r>
            <w:r w:rsidRPr="00264463">
              <w:rPr>
                <w:color w:val="FF0000"/>
                <w:sz w:val="22"/>
                <w:szCs w:val="22"/>
                <w:lang w:eastAsia="lt-LT"/>
              </w:rPr>
              <w:t xml:space="preserve"> </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509CAACD" w14:textId="00DA0055" w:rsidR="00264463" w:rsidRPr="00264463" w:rsidRDefault="00264463" w:rsidP="00264463">
            <w:pPr>
              <w:jc w:val="center"/>
              <w:rPr>
                <w:color w:val="000000"/>
                <w:sz w:val="22"/>
                <w:szCs w:val="22"/>
                <w:lang w:eastAsia="lt-LT"/>
              </w:rPr>
            </w:pPr>
            <w:r w:rsidRPr="00264463">
              <w:rPr>
                <w:color w:val="000000"/>
                <w:sz w:val="22"/>
                <w:szCs w:val="22"/>
                <w:lang w:eastAsia="lt-LT"/>
              </w:rPr>
              <w:t xml:space="preserve">Nuoroda į parametro reikšmės atitikimą gamintojo pateiktuose dokumentuose (psl. Nr.). Dokumentuose būtina pažymėti pozicijos numerį prie reikalaujamos parametrų reikšmės.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51604D" w14:textId="77777777" w:rsidR="00264463" w:rsidRPr="00264463" w:rsidRDefault="00264463" w:rsidP="00264463">
            <w:pPr>
              <w:jc w:val="center"/>
              <w:rPr>
                <w:color w:val="000000"/>
                <w:sz w:val="22"/>
                <w:szCs w:val="22"/>
                <w:lang w:eastAsia="lt-LT"/>
              </w:rPr>
            </w:pPr>
            <w:r w:rsidRPr="00264463">
              <w:rPr>
                <w:color w:val="000000"/>
                <w:sz w:val="22"/>
                <w:szCs w:val="22"/>
                <w:lang w:eastAsia="lt-LT"/>
              </w:rPr>
              <w:t>Vieno mato vnt. kaina Eur be PVM</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3DE83E0B" w14:textId="77777777" w:rsidR="00264463" w:rsidRPr="00264463" w:rsidRDefault="00264463" w:rsidP="00264463">
            <w:pPr>
              <w:jc w:val="center"/>
              <w:rPr>
                <w:color w:val="000000"/>
                <w:sz w:val="22"/>
                <w:szCs w:val="22"/>
                <w:lang w:eastAsia="lt-LT"/>
              </w:rPr>
            </w:pPr>
            <w:r w:rsidRPr="00264463">
              <w:rPr>
                <w:color w:val="000000"/>
                <w:sz w:val="22"/>
                <w:szCs w:val="22"/>
                <w:lang w:eastAsia="lt-LT"/>
              </w:rPr>
              <w:t xml:space="preserve">PVM tarifas proc.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11A0FE32" w14:textId="77777777" w:rsidR="00264463" w:rsidRPr="00264463" w:rsidRDefault="00264463" w:rsidP="00264463">
            <w:pPr>
              <w:jc w:val="center"/>
              <w:rPr>
                <w:color w:val="000000"/>
                <w:sz w:val="22"/>
                <w:szCs w:val="22"/>
                <w:lang w:eastAsia="lt-LT"/>
              </w:rPr>
            </w:pPr>
            <w:r w:rsidRPr="00264463">
              <w:rPr>
                <w:color w:val="000000"/>
                <w:sz w:val="22"/>
                <w:szCs w:val="22"/>
                <w:lang w:eastAsia="lt-LT"/>
              </w:rPr>
              <w:t>Bendra suma Eur be PVM</w:t>
            </w:r>
          </w:p>
        </w:tc>
      </w:tr>
      <w:tr w:rsidR="00264463" w:rsidRPr="00264463" w14:paraId="1E2D10DD" w14:textId="77777777" w:rsidTr="00264463">
        <w:trPr>
          <w:trHeight w:val="415"/>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3C7401E" w14:textId="77777777" w:rsidR="00264463" w:rsidRPr="00264463" w:rsidRDefault="00264463" w:rsidP="00264463">
            <w:pPr>
              <w:jc w:val="center"/>
              <w:rPr>
                <w:color w:val="000000"/>
                <w:sz w:val="22"/>
                <w:szCs w:val="22"/>
                <w:lang w:eastAsia="lt-LT"/>
              </w:rPr>
            </w:pPr>
          </w:p>
        </w:tc>
        <w:tc>
          <w:tcPr>
            <w:tcW w:w="3613" w:type="dxa"/>
            <w:tcBorders>
              <w:top w:val="single" w:sz="4" w:space="0" w:color="auto"/>
              <w:left w:val="nil"/>
              <w:bottom w:val="single" w:sz="4" w:space="0" w:color="auto"/>
              <w:right w:val="single" w:sz="4" w:space="0" w:color="auto"/>
            </w:tcBorders>
            <w:shd w:val="clear" w:color="auto" w:fill="auto"/>
            <w:vAlign w:val="center"/>
          </w:tcPr>
          <w:p w14:paraId="4DF399A3" w14:textId="77777777" w:rsidR="00264463" w:rsidRPr="00264463" w:rsidRDefault="00264463" w:rsidP="00264463">
            <w:pPr>
              <w:jc w:val="center"/>
              <w:rPr>
                <w:color w:val="000000"/>
                <w:sz w:val="22"/>
                <w:szCs w:val="22"/>
                <w:lang w:eastAsia="lt-LT"/>
              </w:rPr>
            </w:pPr>
          </w:p>
        </w:tc>
        <w:tc>
          <w:tcPr>
            <w:tcW w:w="1121" w:type="dxa"/>
            <w:tcBorders>
              <w:top w:val="single" w:sz="4" w:space="0" w:color="auto"/>
              <w:left w:val="nil"/>
              <w:bottom w:val="single" w:sz="4" w:space="0" w:color="auto"/>
              <w:right w:val="single" w:sz="4" w:space="0" w:color="auto"/>
            </w:tcBorders>
            <w:shd w:val="clear" w:color="auto" w:fill="auto"/>
            <w:vAlign w:val="center"/>
          </w:tcPr>
          <w:p w14:paraId="1559DAC8" w14:textId="77777777" w:rsidR="00264463" w:rsidRPr="00264463" w:rsidRDefault="00264463" w:rsidP="00264463">
            <w:pPr>
              <w:jc w:val="center"/>
              <w:rPr>
                <w:color w:val="000000"/>
                <w:sz w:val="22"/>
                <w:szCs w:val="22"/>
                <w:lang w:eastAsia="lt-LT"/>
              </w:rPr>
            </w:pPr>
          </w:p>
        </w:tc>
        <w:tc>
          <w:tcPr>
            <w:tcW w:w="1292" w:type="dxa"/>
            <w:tcBorders>
              <w:top w:val="single" w:sz="4" w:space="0" w:color="auto"/>
              <w:left w:val="nil"/>
              <w:bottom w:val="single" w:sz="4" w:space="0" w:color="auto"/>
              <w:right w:val="single" w:sz="4" w:space="0" w:color="auto"/>
            </w:tcBorders>
            <w:shd w:val="clear" w:color="auto" w:fill="auto"/>
            <w:vAlign w:val="center"/>
          </w:tcPr>
          <w:p w14:paraId="332AF8F5" w14:textId="77777777" w:rsidR="00264463" w:rsidRPr="00264463" w:rsidRDefault="00264463" w:rsidP="00264463">
            <w:pPr>
              <w:jc w:val="center"/>
              <w:rPr>
                <w:color w:val="000000"/>
                <w:sz w:val="22"/>
                <w:szCs w:val="22"/>
                <w:lang w:eastAsia="lt-LT"/>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129DA1BA" w14:textId="77777777" w:rsidR="00264463" w:rsidRPr="00264463" w:rsidRDefault="00264463" w:rsidP="00264463">
            <w:pPr>
              <w:jc w:val="center"/>
              <w:rPr>
                <w:color w:val="000000"/>
                <w:sz w:val="22"/>
                <w:szCs w:val="22"/>
                <w:lang w:eastAsia="lt-LT"/>
              </w:rPr>
            </w:pPr>
          </w:p>
        </w:tc>
        <w:tc>
          <w:tcPr>
            <w:tcW w:w="2401" w:type="dxa"/>
            <w:tcBorders>
              <w:top w:val="single" w:sz="4" w:space="0" w:color="auto"/>
              <w:left w:val="nil"/>
              <w:bottom w:val="single" w:sz="4" w:space="0" w:color="auto"/>
              <w:right w:val="single" w:sz="4" w:space="0" w:color="auto"/>
            </w:tcBorders>
            <w:shd w:val="clear" w:color="auto" w:fill="auto"/>
            <w:vAlign w:val="center"/>
          </w:tcPr>
          <w:p w14:paraId="4452246D" w14:textId="77777777" w:rsidR="00264463" w:rsidRPr="00264463" w:rsidRDefault="00264463" w:rsidP="00264463">
            <w:pPr>
              <w:jc w:val="center"/>
              <w:rPr>
                <w:color w:val="000000"/>
                <w:sz w:val="22"/>
                <w:szCs w:val="22"/>
                <w:lang w:eastAsia="lt-LT"/>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1E4C4ADB" w14:textId="77777777" w:rsidR="00264463" w:rsidRPr="00264463" w:rsidRDefault="00264463" w:rsidP="00264463">
            <w:pPr>
              <w:jc w:val="center"/>
              <w:rPr>
                <w:color w:val="000000"/>
                <w:sz w:val="22"/>
                <w:szCs w:val="22"/>
                <w:lang w:eastAsia="lt-LT"/>
              </w:rPr>
            </w:pPr>
          </w:p>
        </w:tc>
        <w:tc>
          <w:tcPr>
            <w:tcW w:w="766" w:type="dxa"/>
            <w:tcBorders>
              <w:top w:val="single" w:sz="4" w:space="0" w:color="auto"/>
              <w:left w:val="nil"/>
              <w:bottom w:val="single" w:sz="4" w:space="0" w:color="auto"/>
              <w:right w:val="single" w:sz="4" w:space="0" w:color="auto"/>
            </w:tcBorders>
            <w:shd w:val="clear" w:color="auto" w:fill="auto"/>
            <w:vAlign w:val="center"/>
          </w:tcPr>
          <w:p w14:paraId="6FE0848E" w14:textId="77777777" w:rsidR="00264463" w:rsidRPr="00264463" w:rsidRDefault="00264463" w:rsidP="00264463">
            <w:pPr>
              <w:jc w:val="center"/>
              <w:rPr>
                <w:color w:val="000000"/>
                <w:sz w:val="22"/>
                <w:szCs w:val="22"/>
                <w:lang w:eastAsia="lt-LT"/>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134A22FD" w14:textId="77777777" w:rsidR="00264463" w:rsidRPr="00264463" w:rsidRDefault="00264463" w:rsidP="00264463">
            <w:pPr>
              <w:jc w:val="center"/>
              <w:rPr>
                <w:color w:val="000000"/>
                <w:sz w:val="22"/>
                <w:szCs w:val="22"/>
                <w:lang w:eastAsia="lt-LT"/>
              </w:rPr>
            </w:pPr>
          </w:p>
        </w:tc>
      </w:tr>
      <w:tr w:rsidR="00264463" w:rsidRPr="00264463" w14:paraId="0C90BD98" w14:textId="77777777" w:rsidTr="00264463">
        <w:trPr>
          <w:trHeight w:val="273"/>
        </w:trPr>
        <w:tc>
          <w:tcPr>
            <w:tcW w:w="1332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318C7" w14:textId="6B86DAAC" w:rsidR="00264463" w:rsidRPr="00264463" w:rsidRDefault="00264463" w:rsidP="00264463">
            <w:pPr>
              <w:jc w:val="right"/>
              <w:rPr>
                <w:color w:val="000000"/>
                <w:sz w:val="22"/>
                <w:szCs w:val="22"/>
                <w:lang w:eastAsia="lt-LT"/>
              </w:rPr>
            </w:pPr>
            <w:r>
              <w:rPr>
                <w:color w:val="000000"/>
                <w:sz w:val="22"/>
                <w:szCs w:val="22"/>
                <w:lang w:eastAsia="lt-LT"/>
              </w:rPr>
              <w:t xml:space="preserve">Pradinės sutarties / sutarties dalies vertė </w:t>
            </w:r>
            <w:r w:rsidRPr="00264463">
              <w:rPr>
                <w:color w:val="000000"/>
                <w:sz w:val="22"/>
                <w:szCs w:val="22"/>
                <w:lang w:eastAsia="lt-LT"/>
              </w:rPr>
              <w:t>Eur be PVM</w:t>
            </w:r>
          </w:p>
        </w:tc>
        <w:tc>
          <w:tcPr>
            <w:tcW w:w="852" w:type="dxa"/>
            <w:tcBorders>
              <w:top w:val="nil"/>
              <w:left w:val="nil"/>
              <w:bottom w:val="single" w:sz="4" w:space="0" w:color="auto"/>
              <w:right w:val="single" w:sz="4" w:space="0" w:color="auto"/>
            </w:tcBorders>
            <w:shd w:val="clear" w:color="auto" w:fill="auto"/>
            <w:noWrap/>
            <w:vAlign w:val="center"/>
            <w:hideMark/>
          </w:tcPr>
          <w:p w14:paraId="624A5C1D" w14:textId="77777777" w:rsidR="00264463" w:rsidRPr="00264463" w:rsidRDefault="00264463" w:rsidP="00264463">
            <w:pPr>
              <w:jc w:val="right"/>
              <w:rPr>
                <w:rFonts w:ascii="Arial" w:hAnsi="Arial" w:cs="Arial"/>
                <w:color w:val="000000"/>
                <w:sz w:val="22"/>
                <w:szCs w:val="22"/>
                <w:lang w:eastAsia="lt-LT"/>
              </w:rPr>
            </w:pPr>
            <w:r w:rsidRPr="00264463">
              <w:rPr>
                <w:rFonts w:ascii="Arial" w:hAnsi="Arial" w:cs="Arial"/>
                <w:color w:val="000000"/>
                <w:sz w:val="22"/>
                <w:szCs w:val="22"/>
                <w:lang w:eastAsia="lt-LT"/>
              </w:rPr>
              <w:t> </w:t>
            </w:r>
          </w:p>
        </w:tc>
      </w:tr>
      <w:tr w:rsidR="00264463" w:rsidRPr="00264463" w14:paraId="56732648" w14:textId="77777777" w:rsidTr="00264463">
        <w:trPr>
          <w:trHeight w:val="292"/>
        </w:trPr>
        <w:tc>
          <w:tcPr>
            <w:tcW w:w="1332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1A0345" w14:textId="77777777" w:rsidR="00264463" w:rsidRPr="00264463" w:rsidRDefault="00264463" w:rsidP="00264463">
            <w:pPr>
              <w:jc w:val="right"/>
              <w:rPr>
                <w:color w:val="000000"/>
                <w:sz w:val="22"/>
                <w:szCs w:val="22"/>
                <w:lang w:eastAsia="lt-LT"/>
              </w:rPr>
            </w:pPr>
            <w:r w:rsidRPr="00264463">
              <w:rPr>
                <w:color w:val="000000"/>
                <w:sz w:val="22"/>
                <w:szCs w:val="22"/>
                <w:lang w:eastAsia="lt-LT"/>
              </w:rPr>
              <w:t>PVM suma, Eur</w:t>
            </w:r>
          </w:p>
        </w:tc>
        <w:tc>
          <w:tcPr>
            <w:tcW w:w="852" w:type="dxa"/>
            <w:tcBorders>
              <w:top w:val="nil"/>
              <w:left w:val="nil"/>
              <w:bottom w:val="single" w:sz="4" w:space="0" w:color="auto"/>
              <w:right w:val="single" w:sz="4" w:space="0" w:color="auto"/>
            </w:tcBorders>
            <w:shd w:val="clear" w:color="auto" w:fill="auto"/>
            <w:noWrap/>
            <w:vAlign w:val="center"/>
            <w:hideMark/>
          </w:tcPr>
          <w:p w14:paraId="1EFC3A92" w14:textId="77777777" w:rsidR="00264463" w:rsidRPr="00264463" w:rsidRDefault="00264463" w:rsidP="00264463">
            <w:pPr>
              <w:jc w:val="right"/>
              <w:rPr>
                <w:rFonts w:ascii="Arial" w:hAnsi="Arial" w:cs="Arial"/>
                <w:color w:val="000000"/>
                <w:sz w:val="22"/>
                <w:szCs w:val="22"/>
                <w:lang w:eastAsia="lt-LT"/>
              </w:rPr>
            </w:pPr>
            <w:r w:rsidRPr="00264463">
              <w:rPr>
                <w:rFonts w:ascii="Arial" w:hAnsi="Arial" w:cs="Arial"/>
                <w:color w:val="000000"/>
                <w:sz w:val="22"/>
                <w:szCs w:val="22"/>
                <w:lang w:eastAsia="lt-LT"/>
              </w:rPr>
              <w:t> </w:t>
            </w:r>
          </w:p>
        </w:tc>
      </w:tr>
      <w:tr w:rsidR="00264463" w:rsidRPr="00264463" w14:paraId="4560430A" w14:textId="77777777" w:rsidTr="00264463">
        <w:trPr>
          <w:trHeight w:val="253"/>
        </w:trPr>
        <w:tc>
          <w:tcPr>
            <w:tcW w:w="1332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21A97D" w14:textId="2F7FF5FE" w:rsidR="00264463" w:rsidRPr="00264463" w:rsidRDefault="00264463" w:rsidP="00264463">
            <w:pPr>
              <w:jc w:val="right"/>
              <w:rPr>
                <w:color w:val="000000"/>
                <w:sz w:val="22"/>
                <w:szCs w:val="22"/>
                <w:lang w:eastAsia="lt-LT"/>
              </w:rPr>
            </w:pPr>
            <w:r>
              <w:rPr>
                <w:color w:val="000000"/>
                <w:sz w:val="22"/>
                <w:szCs w:val="22"/>
                <w:lang w:eastAsia="lt-LT"/>
              </w:rPr>
              <w:t>Sutarties / sutarties dalies</w:t>
            </w:r>
            <w:r w:rsidRPr="00264463">
              <w:rPr>
                <w:color w:val="000000"/>
                <w:sz w:val="22"/>
                <w:szCs w:val="22"/>
                <w:lang w:eastAsia="lt-LT"/>
              </w:rPr>
              <w:t xml:space="preserve"> kaina Eur su PVM</w:t>
            </w:r>
          </w:p>
        </w:tc>
        <w:tc>
          <w:tcPr>
            <w:tcW w:w="852" w:type="dxa"/>
            <w:tcBorders>
              <w:top w:val="nil"/>
              <w:left w:val="nil"/>
              <w:bottom w:val="single" w:sz="4" w:space="0" w:color="auto"/>
              <w:right w:val="single" w:sz="4" w:space="0" w:color="auto"/>
            </w:tcBorders>
            <w:shd w:val="clear" w:color="auto" w:fill="auto"/>
            <w:noWrap/>
            <w:vAlign w:val="center"/>
            <w:hideMark/>
          </w:tcPr>
          <w:p w14:paraId="62701F0A" w14:textId="77777777" w:rsidR="00264463" w:rsidRPr="00264463" w:rsidRDefault="00264463" w:rsidP="00264463">
            <w:pPr>
              <w:jc w:val="right"/>
              <w:rPr>
                <w:rFonts w:ascii="Arial" w:hAnsi="Arial" w:cs="Arial"/>
                <w:color w:val="000000"/>
                <w:sz w:val="22"/>
                <w:szCs w:val="22"/>
                <w:lang w:eastAsia="lt-LT"/>
              </w:rPr>
            </w:pPr>
            <w:r w:rsidRPr="00264463">
              <w:rPr>
                <w:rFonts w:ascii="Arial" w:hAnsi="Arial" w:cs="Arial"/>
                <w:color w:val="000000"/>
                <w:sz w:val="22"/>
                <w:szCs w:val="22"/>
                <w:lang w:eastAsia="lt-LT"/>
              </w:rPr>
              <w:t> </w:t>
            </w:r>
          </w:p>
        </w:tc>
      </w:tr>
    </w:tbl>
    <w:p w14:paraId="3EA0E8B9" w14:textId="77777777" w:rsidR="000B2105" w:rsidRPr="004C6076" w:rsidRDefault="000B2105" w:rsidP="00264463">
      <w:pPr>
        <w:rPr>
          <w:rFonts w:eastAsiaTheme="minorHAnsi" w:cstheme="minorBidi"/>
          <w:kern w:val="2"/>
          <w:sz w:val="22"/>
          <w:szCs w:val="22"/>
          <w14:ligatures w14:val="standardContextual"/>
        </w:rPr>
      </w:pPr>
    </w:p>
    <w:sectPr w:rsidR="000B2105" w:rsidRPr="004C6076" w:rsidSect="007B1063">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D0B" w14:textId="77777777" w:rsidR="005E4A3F" w:rsidRDefault="005E4A3F">
      <w:r>
        <w:separator/>
      </w:r>
    </w:p>
  </w:endnote>
  <w:endnote w:type="continuationSeparator" w:id="0">
    <w:p w14:paraId="3E3ABF12" w14:textId="77777777" w:rsidR="005E4A3F" w:rsidRDefault="005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601E" w14:textId="77777777" w:rsidR="005E4A3F" w:rsidRDefault="005E4A3F">
      <w:r>
        <w:separator/>
      </w:r>
    </w:p>
  </w:footnote>
  <w:footnote w:type="continuationSeparator" w:id="0">
    <w:p w14:paraId="64F650B5" w14:textId="77777777" w:rsidR="005E4A3F" w:rsidRDefault="005E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6859"/>
    <w:rsid w:val="000448A8"/>
    <w:rsid w:val="00047FD4"/>
    <w:rsid w:val="000565AE"/>
    <w:rsid w:val="00071CD9"/>
    <w:rsid w:val="000740DD"/>
    <w:rsid w:val="0008570E"/>
    <w:rsid w:val="000916A4"/>
    <w:rsid w:val="000B2105"/>
    <w:rsid w:val="000C09BD"/>
    <w:rsid w:val="000C3CE2"/>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81D70"/>
    <w:rsid w:val="001A3986"/>
    <w:rsid w:val="001B616F"/>
    <w:rsid w:val="001C6C51"/>
    <w:rsid w:val="001F007E"/>
    <w:rsid w:val="001F63D7"/>
    <w:rsid w:val="002102F2"/>
    <w:rsid w:val="00220784"/>
    <w:rsid w:val="00231A41"/>
    <w:rsid w:val="00234723"/>
    <w:rsid w:val="00236898"/>
    <w:rsid w:val="00236D39"/>
    <w:rsid w:val="00251DAE"/>
    <w:rsid w:val="00264463"/>
    <w:rsid w:val="00270F85"/>
    <w:rsid w:val="00274E34"/>
    <w:rsid w:val="00285BB5"/>
    <w:rsid w:val="00297A80"/>
    <w:rsid w:val="002A7511"/>
    <w:rsid w:val="002B5AEE"/>
    <w:rsid w:val="002C06CD"/>
    <w:rsid w:val="002C0CDF"/>
    <w:rsid w:val="002C4751"/>
    <w:rsid w:val="002C70F8"/>
    <w:rsid w:val="002D5DE2"/>
    <w:rsid w:val="002F0B5F"/>
    <w:rsid w:val="00305C2D"/>
    <w:rsid w:val="00307192"/>
    <w:rsid w:val="00317A46"/>
    <w:rsid w:val="00321250"/>
    <w:rsid w:val="00327348"/>
    <w:rsid w:val="00333E2A"/>
    <w:rsid w:val="0033481E"/>
    <w:rsid w:val="0034453E"/>
    <w:rsid w:val="00346A65"/>
    <w:rsid w:val="0036581E"/>
    <w:rsid w:val="003873C2"/>
    <w:rsid w:val="003900BC"/>
    <w:rsid w:val="003A1760"/>
    <w:rsid w:val="003A5338"/>
    <w:rsid w:val="003C2ED5"/>
    <w:rsid w:val="003C43DF"/>
    <w:rsid w:val="003E3B7D"/>
    <w:rsid w:val="003F44E1"/>
    <w:rsid w:val="003F6DD0"/>
    <w:rsid w:val="00400F4E"/>
    <w:rsid w:val="00405C3D"/>
    <w:rsid w:val="0043243C"/>
    <w:rsid w:val="00436D09"/>
    <w:rsid w:val="004373F3"/>
    <w:rsid w:val="004449A4"/>
    <w:rsid w:val="0044589B"/>
    <w:rsid w:val="004577C7"/>
    <w:rsid w:val="004646E3"/>
    <w:rsid w:val="004734FE"/>
    <w:rsid w:val="0048448F"/>
    <w:rsid w:val="004965BE"/>
    <w:rsid w:val="004A24B7"/>
    <w:rsid w:val="004A325F"/>
    <w:rsid w:val="004B2763"/>
    <w:rsid w:val="004B62EA"/>
    <w:rsid w:val="004C2EED"/>
    <w:rsid w:val="004C39E7"/>
    <w:rsid w:val="004D0C0C"/>
    <w:rsid w:val="004D7E30"/>
    <w:rsid w:val="004E106D"/>
    <w:rsid w:val="004E791D"/>
    <w:rsid w:val="004F1930"/>
    <w:rsid w:val="004F3524"/>
    <w:rsid w:val="0051120B"/>
    <w:rsid w:val="0051711F"/>
    <w:rsid w:val="00526824"/>
    <w:rsid w:val="005348B8"/>
    <w:rsid w:val="00535F59"/>
    <w:rsid w:val="00546FDA"/>
    <w:rsid w:val="005777BC"/>
    <w:rsid w:val="005806A0"/>
    <w:rsid w:val="005806FC"/>
    <w:rsid w:val="0059604D"/>
    <w:rsid w:val="005A1203"/>
    <w:rsid w:val="005A72AE"/>
    <w:rsid w:val="005B5486"/>
    <w:rsid w:val="005B61D1"/>
    <w:rsid w:val="005D52AC"/>
    <w:rsid w:val="005D6EBE"/>
    <w:rsid w:val="005E4A3F"/>
    <w:rsid w:val="005F2EA8"/>
    <w:rsid w:val="0061416F"/>
    <w:rsid w:val="006526B4"/>
    <w:rsid w:val="00653077"/>
    <w:rsid w:val="00656F37"/>
    <w:rsid w:val="00661F81"/>
    <w:rsid w:val="0068054A"/>
    <w:rsid w:val="0068231C"/>
    <w:rsid w:val="00686855"/>
    <w:rsid w:val="006869CC"/>
    <w:rsid w:val="006A04A1"/>
    <w:rsid w:val="006B2956"/>
    <w:rsid w:val="006B7A32"/>
    <w:rsid w:val="006C6B32"/>
    <w:rsid w:val="006E36CD"/>
    <w:rsid w:val="006F43CA"/>
    <w:rsid w:val="006F7C62"/>
    <w:rsid w:val="00712554"/>
    <w:rsid w:val="0072100A"/>
    <w:rsid w:val="0072381E"/>
    <w:rsid w:val="0073789A"/>
    <w:rsid w:val="00743FC2"/>
    <w:rsid w:val="00744B05"/>
    <w:rsid w:val="00760288"/>
    <w:rsid w:val="00770110"/>
    <w:rsid w:val="007775E2"/>
    <w:rsid w:val="007A07E4"/>
    <w:rsid w:val="007A6FF6"/>
    <w:rsid w:val="007A7607"/>
    <w:rsid w:val="007B1063"/>
    <w:rsid w:val="007B2588"/>
    <w:rsid w:val="007B2BDF"/>
    <w:rsid w:val="007C0899"/>
    <w:rsid w:val="007E65D2"/>
    <w:rsid w:val="007E7A0D"/>
    <w:rsid w:val="008018B2"/>
    <w:rsid w:val="00801BAF"/>
    <w:rsid w:val="00802B24"/>
    <w:rsid w:val="00811AEB"/>
    <w:rsid w:val="00814EBA"/>
    <w:rsid w:val="00830E4C"/>
    <w:rsid w:val="008433E8"/>
    <w:rsid w:val="00854B20"/>
    <w:rsid w:val="0085691E"/>
    <w:rsid w:val="00860019"/>
    <w:rsid w:val="00862EC6"/>
    <w:rsid w:val="00863A85"/>
    <w:rsid w:val="00883902"/>
    <w:rsid w:val="00885934"/>
    <w:rsid w:val="00894850"/>
    <w:rsid w:val="008E05F2"/>
    <w:rsid w:val="009026D4"/>
    <w:rsid w:val="00904A91"/>
    <w:rsid w:val="00914E03"/>
    <w:rsid w:val="00917C09"/>
    <w:rsid w:val="0092775A"/>
    <w:rsid w:val="009502C9"/>
    <w:rsid w:val="00954478"/>
    <w:rsid w:val="009676B3"/>
    <w:rsid w:val="00995C47"/>
    <w:rsid w:val="00995DBA"/>
    <w:rsid w:val="009A0679"/>
    <w:rsid w:val="009A1571"/>
    <w:rsid w:val="009A4DF2"/>
    <w:rsid w:val="009B69F8"/>
    <w:rsid w:val="009C1BC4"/>
    <w:rsid w:val="009C251F"/>
    <w:rsid w:val="009D6B69"/>
    <w:rsid w:val="009E057F"/>
    <w:rsid w:val="009E630A"/>
    <w:rsid w:val="009F435E"/>
    <w:rsid w:val="00A06710"/>
    <w:rsid w:val="00A30BBD"/>
    <w:rsid w:val="00A4692A"/>
    <w:rsid w:val="00A47B45"/>
    <w:rsid w:val="00A51215"/>
    <w:rsid w:val="00A5275D"/>
    <w:rsid w:val="00A612C3"/>
    <w:rsid w:val="00A62478"/>
    <w:rsid w:val="00A62E3B"/>
    <w:rsid w:val="00A7016C"/>
    <w:rsid w:val="00AA0448"/>
    <w:rsid w:val="00AA6242"/>
    <w:rsid w:val="00AB09FF"/>
    <w:rsid w:val="00AB336B"/>
    <w:rsid w:val="00AC148C"/>
    <w:rsid w:val="00AC299B"/>
    <w:rsid w:val="00AD6743"/>
    <w:rsid w:val="00B01FF7"/>
    <w:rsid w:val="00B050D8"/>
    <w:rsid w:val="00B1053A"/>
    <w:rsid w:val="00B15840"/>
    <w:rsid w:val="00B224DD"/>
    <w:rsid w:val="00B246EF"/>
    <w:rsid w:val="00B33821"/>
    <w:rsid w:val="00B50598"/>
    <w:rsid w:val="00B6078C"/>
    <w:rsid w:val="00BC0FDE"/>
    <w:rsid w:val="00BC7AA9"/>
    <w:rsid w:val="00BD18CC"/>
    <w:rsid w:val="00BE03EB"/>
    <w:rsid w:val="00BE5726"/>
    <w:rsid w:val="00BE6E5C"/>
    <w:rsid w:val="00C06FD6"/>
    <w:rsid w:val="00C10354"/>
    <w:rsid w:val="00C11983"/>
    <w:rsid w:val="00C157A6"/>
    <w:rsid w:val="00C4039B"/>
    <w:rsid w:val="00C6056B"/>
    <w:rsid w:val="00C9266C"/>
    <w:rsid w:val="00C926F1"/>
    <w:rsid w:val="00CA18DA"/>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11D3"/>
    <w:rsid w:val="00D427AD"/>
    <w:rsid w:val="00D4692A"/>
    <w:rsid w:val="00D61404"/>
    <w:rsid w:val="00D7398B"/>
    <w:rsid w:val="00D76007"/>
    <w:rsid w:val="00D9400C"/>
    <w:rsid w:val="00DA161F"/>
    <w:rsid w:val="00DA22EE"/>
    <w:rsid w:val="00DF145B"/>
    <w:rsid w:val="00DF38C7"/>
    <w:rsid w:val="00E00AA6"/>
    <w:rsid w:val="00E041A4"/>
    <w:rsid w:val="00E20061"/>
    <w:rsid w:val="00E25FE0"/>
    <w:rsid w:val="00E26E6E"/>
    <w:rsid w:val="00E32A9A"/>
    <w:rsid w:val="00E37D76"/>
    <w:rsid w:val="00E41B0E"/>
    <w:rsid w:val="00E50B07"/>
    <w:rsid w:val="00E5166C"/>
    <w:rsid w:val="00E64401"/>
    <w:rsid w:val="00E64AEC"/>
    <w:rsid w:val="00E67282"/>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0392"/>
    <w:rsid w:val="00EF3DE0"/>
    <w:rsid w:val="00F0786C"/>
    <w:rsid w:val="00F1574B"/>
    <w:rsid w:val="00F22B56"/>
    <w:rsid w:val="00F6256B"/>
    <w:rsid w:val="00F628FE"/>
    <w:rsid w:val="00F677F6"/>
    <w:rsid w:val="00F8555E"/>
    <w:rsid w:val="00F9157D"/>
    <w:rsid w:val="00FA14C6"/>
    <w:rsid w:val="00FB060D"/>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semiHidden/>
    <w:unhideWhenUsed/>
    <w:rsid w:val="00264463"/>
    <w:pPr>
      <w:tabs>
        <w:tab w:val="center" w:pos="4819"/>
        <w:tab w:val="right" w:pos="9638"/>
      </w:tabs>
    </w:pPr>
  </w:style>
  <w:style w:type="character" w:customStyle="1" w:styleId="HeaderChar">
    <w:name w:val="Header Char"/>
    <w:basedOn w:val="DefaultParagraphFont"/>
    <w:link w:val="Header"/>
    <w:semiHidden/>
    <w:rsid w:val="0026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16649</Words>
  <Characters>9490</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100</cp:revision>
  <dcterms:created xsi:type="dcterms:W3CDTF">2025-05-22T06:27:00Z</dcterms:created>
  <dcterms:modified xsi:type="dcterms:W3CDTF">2025-05-29T12:10:00Z</dcterms:modified>
</cp:coreProperties>
</file>