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1ADA06EA" w:rsidR="0068231C" w:rsidRDefault="00AA0448">
            <w:pPr>
              <w:jc w:val="both"/>
              <w:rPr>
                <w:kern w:val="2"/>
                <w:szCs w:val="24"/>
              </w:rPr>
            </w:pPr>
            <w:r w:rsidRPr="00AA0448">
              <w:rPr>
                <w:kern w:val="2"/>
                <w:szCs w:val="24"/>
              </w:rPr>
              <w:t>„</w:t>
            </w:r>
            <w:r w:rsidR="004B4C79" w:rsidRPr="004B4C79">
              <w:rPr>
                <w:kern w:val="2"/>
                <w:szCs w:val="24"/>
              </w:rPr>
              <w:t>Veninio drenažo kaniulės (11006)“</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2006BC8A"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00B11709" w:rsidRPr="00B11709">
              <w:rPr>
                <w:kern w:val="2"/>
                <w:szCs w:val="24"/>
              </w:rPr>
              <w:t xml:space="preserve">Farmacinės veiklos skyriaus  </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E81FED">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FA1DE01"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AB09FF">
              <w:t xml:space="preserve"> </w:t>
            </w:r>
            <w:r w:rsidR="00A2197E">
              <w:t>v</w:t>
            </w:r>
            <w:r w:rsidR="00A2197E" w:rsidRPr="00A2197E">
              <w:t>eninio drenažo kaniul</w:t>
            </w:r>
            <w:r w:rsidR="00A2197E">
              <w:t>e</w:t>
            </w:r>
            <w:r w:rsidR="00A2197E" w:rsidRPr="00A2197E">
              <w:t>s</w:t>
            </w:r>
            <w:r w:rsidR="00A2197E">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rekėms 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5242C33" w:rsidR="0068231C" w:rsidRPr="004B2763" w:rsidRDefault="00906DB2" w:rsidP="0033481E">
            <w:pPr>
              <w:jc w:val="both"/>
              <w:rPr>
                <w:kern w:val="2"/>
                <w:szCs w:val="24"/>
              </w:rPr>
            </w:pPr>
            <w:r w:rsidRPr="00906DB2">
              <w:rPr>
                <w:kern w:val="2"/>
                <w:szCs w:val="24"/>
              </w:rPr>
              <w:t>„Veninio drenažo kaniulės (11006)</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47C07F50"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4F3524">
              <w:rPr>
                <w:b/>
                <w:bCs/>
                <w:kern w:val="2"/>
                <w:szCs w:val="24"/>
              </w:rPr>
              <w:t>1</w:t>
            </w:r>
            <w:r w:rsidRPr="009A4DF2">
              <w:rPr>
                <w:b/>
                <w:bCs/>
                <w:kern w:val="2"/>
                <w:szCs w:val="24"/>
              </w:rPr>
              <w:t>0 (dešimt) darbo dienų</w:t>
            </w:r>
            <w:r w:rsidR="00492DAB">
              <w:rPr>
                <w:kern w:val="2"/>
                <w:szCs w:val="24"/>
              </w:rPr>
              <w:t xml:space="preserve">, </w:t>
            </w:r>
            <w:r w:rsidR="00492DAB" w:rsidRPr="00492DAB">
              <w:rPr>
                <w:kern w:val="2"/>
                <w:szCs w:val="24"/>
              </w:rPr>
              <w:t xml:space="preserve">o esant skubiems ypatingiems atvejams </w:t>
            </w:r>
            <w:r w:rsidR="00210B2C">
              <w:rPr>
                <w:kern w:val="2"/>
                <w:szCs w:val="24"/>
              </w:rPr>
              <w:t>–</w:t>
            </w:r>
            <w:r w:rsidR="00492DAB" w:rsidRPr="00492DAB">
              <w:rPr>
                <w:kern w:val="2"/>
                <w:szCs w:val="24"/>
              </w:rPr>
              <w:t xml:space="preserve"> </w:t>
            </w:r>
            <w:r w:rsidR="00210B2C" w:rsidRPr="00E634E1">
              <w:rPr>
                <w:b/>
                <w:bCs/>
                <w:kern w:val="2"/>
                <w:szCs w:val="24"/>
              </w:rPr>
              <w:t xml:space="preserve">ne vėliau kaip </w:t>
            </w:r>
            <w:r w:rsidR="00492DAB" w:rsidRPr="00E634E1">
              <w:rPr>
                <w:b/>
                <w:bCs/>
                <w:kern w:val="2"/>
                <w:szCs w:val="24"/>
              </w:rPr>
              <w:t>per 3 (tris) kalendorines dienas</w:t>
            </w:r>
            <w:r w:rsidR="00492DAB">
              <w:rPr>
                <w:kern w:val="2"/>
                <w:szCs w:val="24"/>
              </w:rPr>
              <w:t>,</w:t>
            </w:r>
            <w:r w:rsidR="00492DAB" w:rsidRPr="00492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7935A16" w14:textId="25EB8DCC" w:rsidR="00995C47" w:rsidRDefault="00492DAB" w:rsidP="00D4692A">
            <w:pPr>
              <w:jc w:val="both"/>
              <w:textAlignment w:val="baseline"/>
              <w:rPr>
                <w:szCs w:val="24"/>
              </w:rPr>
            </w:pPr>
            <w:r>
              <w:rPr>
                <w:kern w:val="2"/>
                <w:szCs w:val="24"/>
              </w:rPr>
              <w:t>Santariškių g. 2</w:t>
            </w:r>
            <w:r w:rsidR="00D4692A" w:rsidRPr="00D4692A">
              <w:rPr>
                <w:kern w:val="2"/>
                <w:szCs w:val="24"/>
              </w:rPr>
              <w:t>, Vilnius.</w:t>
            </w:r>
            <w:r w:rsidR="00D4692A">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5F61A5" w:rsidRDefault="005F61A5" w:rsidP="005F61A5">
            <w:pPr>
              <w:jc w:val="both"/>
              <w:rPr>
                <w:kern w:val="2"/>
                <w:szCs w:val="24"/>
              </w:rPr>
            </w:pPr>
            <w:r w:rsidRPr="005F61A5">
              <w:rPr>
                <w:kern w:val="2"/>
                <w:szCs w:val="24"/>
              </w:rPr>
              <w:t xml:space="preserve">Kartu su Prekėmis pateikiami šie dokumentai: </w:t>
            </w:r>
          </w:p>
          <w:p w14:paraId="13681DB9" w14:textId="77777777" w:rsidR="005F61A5" w:rsidRPr="005F61A5" w:rsidRDefault="005F61A5" w:rsidP="005F61A5">
            <w:pPr>
              <w:jc w:val="both"/>
              <w:rPr>
                <w:kern w:val="2"/>
                <w:szCs w:val="24"/>
              </w:rPr>
            </w:pPr>
            <w:r w:rsidRPr="005F61A5">
              <w:rPr>
                <w:kern w:val="2"/>
                <w:szCs w:val="24"/>
              </w:rPr>
              <w:t xml:space="preserve">4.5.1. Prekių perdavimo-priėmimo aktas ar kitas Prekių pristatymą patvirtinantis dokumentas (krovinio važtaraštis, sąskaita faktūra); </w:t>
            </w:r>
          </w:p>
          <w:p w14:paraId="1C490379" w14:textId="77777777" w:rsidR="005F61A5" w:rsidRPr="005F61A5" w:rsidRDefault="005F61A5" w:rsidP="005F61A5">
            <w:pPr>
              <w:jc w:val="both"/>
              <w:rPr>
                <w:kern w:val="2"/>
                <w:szCs w:val="24"/>
              </w:rPr>
            </w:pPr>
            <w:r w:rsidRPr="005F61A5">
              <w:rPr>
                <w:kern w:val="2"/>
                <w:szCs w:val="24"/>
              </w:rPr>
              <w:t>4.5.2. Prekių vartotojo instrukcijos lietuvių kalba (arba/ir [nurodyti] kalba, jei tai nustatyta pirkimo sąlygose); prekių žymėjimas ant pakuotės turi būti lietuvių kalba (jei prekės gamintojo nėra žymimos valstybine kalba – pasitelkiant lipdukus ar kt. priemones).</w:t>
            </w:r>
          </w:p>
          <w:p w14:paraId="3816F473" w14:textId="77777777" w:rsidR="005F61A5" w:rsidRPr="005F61A5" w:rsidRDefault="005F61A5" w:rsidP="005F61A5">
            <w:pPr>
              <w:jc w:val="both"/>
              <w:rPr>
                <w:kern w:val="2"/>
                <w:szCs w:val="24"/>
              </w:rPr>
            </w:pPr>
            <w:r w:rsidRPr="005F61A5">
              <w:rPr>
                <w:kern w:val="2"/>
                <w:szCs w:val="24"/>
              </w:rPr>
              <w:t>4.5.3. Prekės antrinės pakuotės tinkamumą perdirbti (</w:t>
            </w:r>
            <w:proofErr w:type="spellStart"/>
            <w:r w:rsidRPr="005F61A5">
              <w:rPr>
                <w:kern w:val="2"/>
                <w:szCs w:val="24"/>
              </w:rPr>
              <w:t>perdirbamumą</w:t>
            </w:r>
            <w:proofErr w:type="spellEnd"/>
            <w:r w:rsidRPr="005F61A5">
              <w:rPr>
                <w:kern w:val="2"/>
                <w:szCs w:val="24"/>
              </w:rPr>
              <w:t>) patvirtinančius dokumentus.</w:t>
            </w:r>
          </w:p>
          <w:p w14:paraId="6085B884" w14:textId="68216A7C" w:rsidR="00CD6A68" w:rsidRPr="00FB060D" w:rsidRDefault="005F61A5" w:rsidP="00D01B2F">
            <w:pPr>
              <w:jc w:val="both"/>
              <w:rPr>
                <w:kern w:val="2"/>
                <w:szCs w:val="24"/>
              </w:rPr>
            </w:pPr>
            <w:r w:rsidRPr="005F61A5">
              <w:rPr>
                <w:kern w:val="2"/>
                <w:szCs w:val="24"/>
              </w:rPr>
              <w:lastRenderedPageBreak/>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000000">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6B608F" w14:textId="77777777" w:rsidR="00557322" w:rsidRDefault="00557322" w:rsidP="00557322">
            <w:pPr>
              <w:jc w:val="both"/>
              <w:rPr>
                <w:color w:val="000000"/>
                <w:kern w:val="2"/>
                <w:szCs w:val="24"/>
              </w:rPr>
            </w:pPr>
          </w:p>
          <w:p w14:paraId="12ACE05F" w14:textId="0711B578" w:rsidR="0043243C" w:rsidRDefault="00557322" w:rsidP="00E634E1">
            <w:pPr>
              <w:jc w:val="both"/>
              <w:rPr>
                <w:color w:val="000000"/>
                <w:kern w:val="2"/>
                <w:szCs w:val="24"/>
              </w:rPr>
            </w:pPr>
            <w:r w:rsidRPr="00557322">
              <w:rPr>
                <w:color w:val="000000"/>
                <w:kern w:val="2"/>
                <w:szCs w:val="24"/>
              </w:rPr>
              <w:t xml:space="preserve">Šioje Sutartyje Pradinės Sutarties vertė yra lygi </w:t>
            </w:r>
            <w:r w:rsidRPr="00E634E1">
              <w:rPr>
                <w:b/>
                <w:bCs/>
                <w:color w:val="000000"/>
                <w:kern w:val="2"/>
                <w:szCs w:val="24"/>
              </w:rPr>
              <w:t>maksimaliai pirkimui skirtai lėšų sumai be PVM</w:t>
            </w:r>
            <w:r w:rsidRPr="00557322">
              <w:rPr>
                <w:color w:val="000000"/>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(Sutarties vykdymo metu įsigyjami kiekiai priklauso nuo faktinių užsakymų) Pirkėjas neįsipareigoja išpirkti preliminaraus Prekių kiekio ar bet kokios jo dalies.</w:t>
            </w:r>
          </w:p>
          <w:p w14:paraId="29E57CFC" w14:textId="77777777" w:rsidR="007B2588" w:rsidRPr="003D63F7" w:rsidRDefault="007B2588" w:rsidP="0036581E">
            <w:pPr>
              <w:jc w:val="both"/>
              <w:rPr>
                <w:kern w:val="2"/>
                <w:szCs w:val="24"/>
              </w:rPr>
            </w:pPr>
          </w:p>
          <w:p w14:paraId="16A8DCDC" w14:textId="682B4B1B" w:rsidR="0036581E" w:rsidRPr="00D9400C" w:rsidRDefault="0036581E" w:rsidP="0036581E">
            <w:pPr>
              <w:jc w:val="both"/>
              <w:rPr>
                <w:color w:val="00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w:t>
            </w:r>
            <w:r w:rsidR="001F007E">
              <w:rPr>
                <w:color w:val="000000"/>
                <w:szCs w:val="24"/>
              </w:rPr>
              <w:t>iems</w:t>
            </w:r>
            <w:r>
              <w:rPr>
                <w:color w:val="000000"/>
                <w:szCs w:val="24"/>
              </w:rPr>
              <w:t xml:space="preserve"> </w:t>
            </w:r>
            <w:r w:rsidR="001F007E">
              <w:rPr>
                <w:color w:val="000000"/>
                <w:szCs w:val="24"/>
              </w:rPr>
              <w:t>į</w:t>
            </w:r>
            <w:r>
              <w:rPr>
                <w:color w:val="000000"/>
                <w:szCs w:val="24"/>
              </w:rPr>
              <w:t>kain</w:t>
            </w:r>
            <w:r w:rsidR="001F007E">
              <w:rPr>
                <w:color w:val="000000"/>
                <w:szCs w:val="24"/>
              </w:rPr>
              <w:t>iams</w:t>
            </w:r>
            <w:r w:rsidRPr="00A735FB">
              <w:rPr>
                <w:color w:val="000000"/>
                <w:szCs w:val="24"/>
              </w:rPr>
              <w:t>,</w:t>
            </w:r>
            <w:r w:rsidR="002B5AEE">
              <w:rPr>
                <w:color w:val="000000"/>
                <w:szCs w:val="24"/>
              </w:rPr>
              <w:t xml:space="preserve"> </w:t>
            </w:r>
            <w:r w:rsidRPr="00A735FB">
              <w:rPr>
                <w:color w:val="000000"/>
                <w:szCs w:val="24"/>
              </w:rPr>
              <w:t xml:space="preserve">Sutarties </w:t>
            </w:r>
            <w:r w:rsidR="001F007E">
              <w:rPr>
                <w:color w:val="000000"/>
                <w:szCs w:val="24"/>
              </w:rPr>
              <w:t>į</w:t>
            </w:r>
            <w:r>
              <w:rPr>
                <w:color w:val="000000"/>
                <w:szCs w:val="24"/>
              </w:rPr>
              <w:t>kain</w:t>
            </w:r>
            <w:r w:rsidR="001F007E">
              <w:rPr>
                <w:color w:val="000000"/>
                <w:szCs w:val="24"/>
              </w:rPr>
              <w:t>iai</w:t>
            </w:r>
            <w:r w:rsidRPr="00A735FB">
              <w:rPr>
                <w:color w:val="000000"/>
                <w:szCs w:val="24"/>
              </w:rPr>
              <w:t xml:space="preserve"> perskaičiuojam</w:t>
            </w:r>
            <w:r w:rsidR="001F007E">
              <w:rPr>
                <w:color w:val="000000"/>
                <w:szCs w:val="24"/>
              </w:rPr>
              <w:t>i</w:t>
            </w:r>
            <w:r w:rsidRPr="00A735FB">
              <w:rPr>
                <w:color w:val="000000"/>
                <w:szCs w:val="24"/>
              </w:rPr>
              <w:t xml:space="preserve"> nekeičiant Prekių </w:t>
            </w:r>
            <w:r w:rsidR="001F007E">
              <w:rPr>
                <w:color w:val="000000"/>
                <w:szCs w:val="24"/>
              </w:rPr>
              <w:t>į</w:t>
            </w:r>
            <w:r>
              <w:rPr>
                <w:color w:val="000000"/>
                <w:szCs w:val="24"/>
              </w:rPr>
              <w:t>kain</w:t>
            </w:r>
            <w:r w:rsidR="001F007E">
              <w:rPr>
                <w:color w:val="000000"/>
                <w:szCs w:val="24"/>
              </w:rPr>
              <w:t>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lastRenderedPageBreak/>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2707E4C8"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5 (penkis) procentus. 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t>a</w:t>
            </w:r>
            <w:r w:rsidRPr="005957C7">
              <w:rPr>
                <w:szCs w:val="24"/>
                <w:vertAlign w:val="subscript"/>
              </w:rPr>
              <w:t>1</w:t>
            </w:r>
            <w:r w:rsidRPr="005957C7">
              <w:rPr>
                <w:szCs w:val="24"/>
              </w:rPr>
              <w:t xml:space="preserve"> – perskaičiuotas (pakeistas) įkainis (Eur be PVM)</w:t>
            </w:r>
          </w:p>
          <w:p w14:paraId="504C162C" w14:textId="77777777" w:rsidR="00C52BED" w:rsidRPr="005957C7" w:rsidRDefault="00C52BED" w:rsidP="00C52BED">
            <w:pPr>
              <w:jc w:val="both"/>
              <w:rPr>
                <w:szCs w:val="24"/>
              </w:rPr>
            </w:pPr>
            <w:r w:rsidRPr="005957C7">
              <w:rPr>
                <w:szCs w:val="24"/>
              </w:rPr>
              <w:t>k – Pagal vartotojų kainų indeksą (</w:t>
            </w:r>
            <w:sdt>
              <w:sdtPr>
                <w:rPr>
                  <w:szCs w:val="24"/>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apskaičiuotas Vartojimo prekių ir paslaugų  kainų pokytis (padidėjimas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77777777" w:rsidR="00C52BED" w:rsidRPr="005957C7" w:rsidRDefault="00C52BED" w:rsidP="00C52BED">
            <w:pPr>
              <w:jc w:val="both"/>
              <w:rPr>
                <w:szCs w:val="24"/>
              </w:rPr>
            </w:pPr>
            <w:proofErr w:type="spellStart"/>
            <w:r w:rsidRPr="005957C7">
              <w:rPr>
                <w:szCs w:val="24"/>
              </w:rPr>
              <w:t>Ind</w:t>
            </w:r>
            <w:r w:rsidRPr="005957C7">
              <w:rPr>
                <w:szCs w:val="24"/>
                <w:vertAlign w:val="subscript"/>
              </w:rPr>
              <w:t>naujausias</w:t>
            </w:r>
            <w:proofErr w:type="spellEnd"/>
            <w:r w:rsidRPr="005957C7">
              <w:rPr>
                <w:szCs w:val="24"/>
              </w:rPr>
              <w:t xml:space="preserve"> – kreipimosi dėl kainos perskaičiavimo išsiuntimo kitai šaliai datą naujausias paskelbtas vartojimo prekių ir paslaugų indeksas (</w:t>
            </w:r>
            <w:sdt>
              <w:sdtPr>
                <w:rPr>
                  <w:szCs w:val="24"/>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w:t>
            </w:r>
          </w:p>
          <w:p w14:paraId="18DEE07A" w14:textId="77777777" w:rsidR="00C52BED" w:rsidRPr="005957C7" w:rsidRDefault="00C52BED" w:rsidP="00E634E1">
            <w:pPr>
              <w:jc w:val="both"/>
              <w:rPr>
                <w:szCs w:val="24"/>
              </w:rPr>
            </w:pPr>
            <w:proofErr w:type="spellStart"/>
            <w:r w:rsidRPr="005957C7">
              <w:rPr>
                <w:szCs w:val="24"/>
              </w:rPr>
              <w:t>Ind</w:t>
            </w:r>
            <w:r w:rsidRPr="005957C7">
              <w:rPr>
                <w:szCs w:val="24"/>
                <w:vertAlign w:val="subscript"/>
              </w:rPr>
              <w:t>pradžia</w:t>
            </w:r>
            <w:proofErr w:type="spellEnd"/>
            <w:r w:rsidRPr="005957C7">
              <w:rPr>
                <w:szCs w:val="24"/>
              </w:rPr>
              <w:t xml:space="preserve"> – laikotarpio pradžios datos (mėnesio) vartojimo prekių ir paslaugų indeksas (</w:t>
            </w:r>
            <w:sdt>
              <w:sdtPr>
                <w:rPr>
                  <w:szCs w:val="24"/>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 xml:space="preserve">5.3.3.8. Šalis, siekianti Sutarties kainos / įkainių peržiūros, privalo raštu kreiptis į kitą Šalį ir prašyme pateikti visą reikalingą informaciją: Sutarties pavadinimą, numerį, datą, neperduotų ir </w:t>
            </w:r>
            <w:r w:rsidRPr="005957C7">
              <w:rPr>
                <w:color w:val="242424"/>
              </w:rPr>
              <w:lastRenderedPageBreak/>
              <w:t>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F7D3214" w14:textId="77777777" w:rsidR="00842D4B"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p w14:paraId="54F9A206" w14:textId="29E6811A" w:rsidR="008D099D" w:rsidRPr="005957C7" w:rsidRDefault="008D099D" w:rsidP="00E634E1">
            <w:pPr>
              <w:pStyle w:val="ListParagraph"/>
              <w:ind w:left="0"/>
              <w:jc w:val="both"/>
            </w:pP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577892AA" w:rsidR="0068231C" w:rsidRPr="00E634E1" w:rsidRDefault="0005103F" w:rsidP="00743FC2">
            <w:pPr>
              <w:jc w:val="both"/>
              <w:rPr>
                <w:kern w:val="2"/>
                <w:sz w:val="22"/>
                <w:szCs w:val="22"/>
              </w:rPr>
            </w:pPr>
            <w:r w:rsidRPr="00470D35">
              <w:rPr>
                <w:kern w:val="2"/>
                <w:sz w:val="22"/>
                <w:szCs w:val="22"/>
              </w:rPr>
              <w:t xml:space="preserve"> </w:t>
            </w:r>
            <w:r w:rsidRPr="00E634E1">
              <w:rPr>
                <w:kern w:val="2"/>
                <w:szCs w:val="24"/>
              </w:rPr>
              <w:t>Prekių galiojimo terminas turi būti  ne trumpesnis kaip 70 (septyniasdešimt) procentų priemonės galiojimo termino Prekės pristatymo metu.</w:t>
            </w:r>
            <w:r w:rsidRPr="00E634E1">
              <w:rPr>
                <w:szCs w:val="24"/>
              </w:rPr>
              <w:t xml:space="preserve">  Garantinis terminas, skaičiuojamas nuo Prekių perdavimo–priėmimo akto ar Sąskaitos (kai Prekių perdavimo–priėmimo aktas nėra pasirašomas) pasirašymo dienos</w:t>
            </w:r>
            <w:r w:rsidRPr="00E634E1">
              <w:rPr>
                <w:kern w:val="2"/>
                <w:szCs w:val="24"/>
              </w:rPr>
              <w:t>.</w:t>
            </w:r>
            <w:r w:rsidRPr="00470D35">
              <w:rPr>
                <w:kern w:val="2"/>
                <w:sz w:val="22"/>
                <w:szCs w:val="22"/>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4DA232F" w14:textId="4B77157C" w:rsidR="00A47B45" w:rsidRDefault="008F49A9" w:rsidP="00CC2EC0">
            <w:pPr>
              <w:jc w:val="both"/>
              <w:rPr>
                <w:kern w:val="2"/>
                <w:szCs w:val="24"/>
              </w:rPr>
            </w:pPr>
            <w:r w:rsidRPr="008F49A9">
              <w:rPr>
                <w:kern w:val="2"/>
                <w:szCs w:val="24"/>
              </w:rPr>
              <w:t>Tiekėjas privalo pašalinti Prekių trūkumus ne vėliau kaip per 5 (penkias) darbo dienas.</w:t>
            </w:r>
          </w:p>
          <w:p w14:paraId="1B413859" w14:textId="4C69C6A0" w:rsidR="00A47B45" w:rsidRDefault="00CC2EC0" w:rsidP="00CC2EC0">
            <w:pPr>
              <w:jc w:val="both"/>
              <w:rPr>
                <w:kern w:val="2"/>
                <w:szCs w:val="24"/>
              </w:rPr>
            </w:pPr>
            <w:r w:rsidRPr="004C6076">
              <w:rPr>
                <w:kern w:val="2"/>
                <w:szCs w:val="24"/>
              </w:rPr>
              <w:t>Prekių trūkumų nustatymo bei šalinimo tvarka nustatyta Bendrųjų sąlygų 7 skyriuje</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lastRenderedPageBreak/>
              <w:t xml:space="preserve">9.3.1. </w:t>
            </w:r>
            <w:r w:rsidR="008E05F2" w:rsidRPr="008E05F2">
              <w:rPr>
                <w:kern w:val="2"/>
                <w:szCs w:val="24"/>
              </w:rPr>
              <w:t xml:space="preserve">Nutraukus Sutartį dėl esminio Sutarties pažeidimo, nustatyto Sutarties Specialiosiose sąlygose, mokama 10 (dešimt) procentų </w:t>
            </w:r>
            <w:r w:rsidR="008E05F2" w:rsidRPr="008E05F2">
              <w:rPr>
                <w:kern w:val="2"/>
                <w:szCs w:val="24"/>
              </w:rPr>
              <w:lastRenderedPageBreak/>
              <w:t xml:space="preserve">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1BF3A6EE"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5B61D1">
              <w:rPr>
                <w:kern w:val="2"/>
                <w:szCs w:val="24"/>
              </w:rPr>
              <w:t>14</w:t>
            </w:r>
            <w:r w:rsidRPr="004C6076">
              <w:rPr>
                <w:kern w:val="2"/>
                <w:szCs w:val="24"/>
              </w:rPr>
              <w:t xml:space="preserve"> (</w:t>
            </w:r>
            <w:r w:rsidR="005B61D1">
              <w:rPr>
                <w:kern w:val="2"/>
                <w:szCs w:val="24"/>
              </w:rPr>
              <w:t>keturiolika</w:t>
            </w:r>
            <w:r w:rsidRPr="004C6076">
              <w:rPr>
                <w:kern w:val="2"/>
                <w:szCs w:val="24"/>
              </w:rPr>
              <w:t>) mėnesi</w:t>
            </w:r>
            <w:r w:rsidR="00236898">
              <w:rPr>
                <w:kern w:val="2"/>
                <w:szCs w:val="24"/>
              </w:rPr>
              <w:t>ų</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5B61D1">
              <w:rPr>
                <w:kern w:val="2"/>
                <w:szCs w:val="24"/>
              </w:rPr>
              <w:t>12</w:t>
            </w:r>
            <w:r w:rsidRPr="004C6076">
              <w:rPr>
                <w:kern w:val="2"/>
                <w:szCs w:val="24"/>
              </w:rPr>
              <w:t xml:space="preserve"> (</w:t>
            </w:r>
            <w:r w:rsidR="005B61D1">
              <w:rPr>
                <w:kern w:val="2"/>
                <w:szCs w:val="24"/>
              </w:rPr>
              <w:t>dvylika</w:t>
            </w:r>
            <w:r w:rsidRPr="004C6076">
              <w:rPr>
                <w:kern w:val="2"/>
                <w:szCs w:val="24"/>
              </w:rPr>
              <w:t>) mėnesi</w:t>
            </w:r>
            <w:r w:rsidR="00236898">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lastRenderedPageBreak/>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3BB002F6"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2 (du)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6B2956">
              <w:rPr>
                <w:kern w:val="2"/>
                <w:szCs w:val="24"/>
              </w:rPr>
              <w:t>2</w:t>
            </w:r>
            <w:r w:rsidRPr="001021F9">
              <w:rPr>
                <w:kern w:val="2"/>
                <w:szCs w:val="24"/>
              </w:rPr>
              <w:t>0 (</w:t>
            </w:r>
            <w:r w:rsidR="006B2956">
              <w:rPr>
                <w:kern w:val="2"/>
                <w:szCs w:val="24"/>
              </w:rPr>
              <w:t>dvi</w:t>
            </w:r>
            <w:r w:rsidRPr="001021F9">
              <w:rPr>
                <w:kern w:val="2"/>
                <w:szCs w:val="24"/>
              </w:rPr>
              <w:t>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.2.5. Tiekėjas daugiau kaip 2 (du)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308410B0" w14:textId="4688A149" w:rsidR="00004E1D" w:rsidRDefault="00F8555E" w:rsidP="00006BDB">
            <w:pPr>
              <w:jc w:val="both"/>
              <w:rPr>
                <w:szCs w:val="24"/>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Pr>
                <w:rFonts w:eastAsiaTheme="minorHAnsi" w:cstheme="minorBidi"/>
                <w:kern w:val="2"/>
                <w:szCs w:val="22"/>
                <w:lang w:val="en-US"/>
                <w14:ligatures w14:val="standardContextual"/>
              </w:rPr>
              <w:t xml:space="preserve">Voluntary Standard for Repulping and Recycling Corrugated Fiberboard Treated to Improve Its Performance in the Presence of Water and Water Vapor, </w:t>
            </w:r>
            <w:proofErr w:type="spellStart"/>
            <w:r>
              <w:rPr>
                <w:rFonts w:eastAsiaTheme="minorHAnsi" w:cstheme="minorBidi"/>
                <w:kern w:val="2"/>
                <w:szCs w:val="22"/>
                <w:lang w:val="en-US"/>
                <w14:ligatures w14:val="standardContextual"/>
              </w:rPr>
              <w:t>standartas</w:t>
            </w:r>
            <w:proofErr w:type="spellEnd"/>
            <w:r>
              <w:rPr>
                <w:rFonts w:eastAsiaTheme="minorHAnsi" w:cstheme="minorBidi"/>
                <w:kern w:val="2"/>
                <w:szCs w:val="22"/>
                <w:lang w:val="en-US"/>
                <w14:ligatures w14:val="standardContextual"/>
              </w:rPr>
              <w:t xml:space="preserve"> </w:t>
            </w:r>
            <w:proofErr w:type="spellStart"/>
            <w:r>
              <w:rPr>
                <w:rFonts w:eastAsiaTheme="minorHAnsi" w:cstheme="minorBidi"/>
                <w:kern w:val="2"/>
                <w:szCs w:val="22"/>
                <w:lang w:val="en-US"/>
                <w14:ligatures w14:val="standardContextual"/>
              </w:rPr>
              <w:lastRenderedPageBreak/>
              <w:t>RecyClass</w:t>
            </w:r>
            <w:proofErr w:type="spellEnd"/>
            <w:r>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675520BA" w:rsidR="00EE6238" w:rsidRPr="00E81FED" w:rsidRDefault="00F8555E" w:rsidP="00EE6238">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CD7D26" w:rsidRDefault="00686855" w:rsidP="00686855">
            <w:pPr>
              <w:rPr>
                <w:b/>
                <w:bCs/>
                <w:kern w:val="2"/>
                <w:szCs w:val="24"/>
              </w:rPr>
            </w:pPr>
            <w:r w:rsidRPr="00CD7D26">
              <w:rPr>
                <w:b/>
                <w:bCs/>
              </w:rPr>
              <w:t xml:space="preserve">Techninė specifikacija ir </w:t>
            </w:r>
            <w:r w:rsidR="00F0786C">
              <w:rPr>
                <w:b/>
                <w:bCs/>
              </w:rPr>
              <w:t>į</w:t>
            </w:r>
            <w:r w:rsidR="00EC0AE1">
              <w:rPr>
                <w:b/>
                <w:bCs/>
              </w:rPr>
              <w:t>kain</w:t>
            </w:r>
            <w:r w:rsidR="00F0786C">
              <w:rPr>
                <w:b/>
                <w:bCs/>
              </w:rPr>
              <w:t>i</w:t>
            </w:r>
            <w:r w:rsidR="00EC0AE1">
              <w:rPr>
                <w:b/>
                <w:bCs/>
              </w:rPr>
              <w:t>a</w:t>
            </w:r>
            <w:r w:rsidR="00F0786C">
              <w:rPr>
                <w:b/>
                <w:bCs/>
              </w:rPr>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20E85F10" w14:textId="77777777" w:rsidR="004E106D" w:rsidRDefault="004E106D" w:rsidP="00CF4783">
      <w:pPr>
        <w:jc w:val="right"/>
      </w:pPr>
    </w:p>
    <w:p w14:paraId="5E58D7D3" w14:textId="77777777" w:rsidR="004E106D" w:rsidRDefault="004E106D" w:rsidP="007B1063"/>
    <w:p w14:paraId="68D13246" w14:textId="77777777" w:rsidR="007B1063" w:rsidRDefault="007B1063" w:rsidP="00CF4783">
      <w:pPr>
        <w:jc w:val="right"/>
        <w:sectPr w:rsidR="007B1063">
          <w:headerReference w:type="even"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5B7E62B2" w:rsidR="00CF4783" w:rsidRPr="004C6076" w:rsidRDefault="00CF4783" w:rsidP="00CF4783">
      <w:pPr>
        <w:jc w:val="right"/>
      </w:pPr>
      <w:r w:rsidRPr="004C6076">
        <w:lastRenderedPageBreak/>
        <w:t>Priedas Nr. 1</w:t>
      </w:r>
    </w:p>
    <w:p w14:paraId="7A2F4D5C" w14:textId="50564941" w:rsidR="00CF4783" w:rsidRDefault="00CF4783" w:rsidP="000C09BD">
      <w:pPr>
        <w:jc w:val="center"/>
        <w:rPr>
          <w:b/>
          <w:bCs/>
          <w:iCs/>
          <w:szCs w:val="24"/>
        </w:rPr>
      </w:pPr>
      <w:r w:rsidRPr="004C6076">
        <w:rPr>
          <w:b/>
          <w:bCs/>
          <w:iCs/>
          <w:szCs w:val="24"/>
        </w:rPr>
        <w:t xml:space="preserve">TECHNINĖ SPECIFIKACIJA IR </w:t>
      </w:r>
      <w:r w:rsidR="004734FE">
        <w:rPr>
          <w:b/>
          <w:bCs/>
          <w:iCs/>
          <w:szCs w:val="24"/>
        </w:rPr>
        <w:t>Į</w:t>
      </w:r>
      <w:r w:rsidR="00EC0AE1">
        <w:rPr>
          <w:b/>
          <w:bCs/>
          <w:iCs/>
          <w:szCs w:val="24"/>
        </w:rPr>
        <w:t>KAIN</w:t>
      </w:r>
      <w:r w:rsidR="004734FE">
        <w:rPr>
          <w:b/>
          <w:bCs/>
          <w:iCs/>
          <w:szCs w:val="24"/>
        </w:rPr>
        <w:t>I</w:t>
      </w:r>
      <w:r w:rsidR="00EC0AE1">
        <w:rPr>
          <w:b/>
          <w:bCs/>
          <w:iCs/>
          <w:szCs w:val="24"/>
        </w:rPr>
        <w:t>A</w:t>
      </w:r>
      <w:r w:rsidR="004734FE">
        <w:rPr>
          <w:b/>
          <w:bCs/>
          <w:iCs/>
          <w:szCs w:val="24"/>
        </w:rPr>
        <w:t>I</w:t>
      </w:r>
    </w:p>
    <w:p w14:paraId="0F318306" w14:textId="763EC583" w:rsidR="00264463" w:rsidRPr="00264463" w:rsidRDefault="00264463" w:rsidP="00264463">
      <w:pPr>
        <w:jc w:val="center"/>
        <w:rPr>
          <w:b/>
          <w:bCs/>
          <w:sz w:val="22"/>
          <w:szCs w:val="22"/>
        </w:rPr>
      </w:pPr>
      <w:r w:rsidRPr="00264463">
        <w:rPr>
          <w:b/>
          <w:bCs/>
          <w:sz w:val="22"/>
          <w:szCs w:val="22"/>
        </w:rPr>
        <w:t>„</w:t>
      </w:r>
      <w:r w:rsidR="00565793" w:rsidRPr="00565793">
        <w:rPr>
          <w:b/>
          <w:bCs/>
          <w:sz w:val="22"/>
          <w:szCs w:val="22"/>
        </w:rPr>
        <w:t>Veninio drenažo kaniulės (11006)</w:t>
      </w:r>
      <w:r w:rsidRPr="00264463">
        <w:rPr>
          <w:b/>
          <w:bCs/>
          <w:sz w:val="22"/>
          <w:szCs w:val="22"/>
        </w:rPr>
        <w:t>“</w:t>
      </w:r>
    </w:p>
    <w:p w14:paraId="797C38BF" w14:textId="77777777" w:rsidR="00264463" w:rsidRPr="00264463" w:rsidRDefault="00264463" w:rsidP="00264463">
      <w:pPr>
        <w:rPr>
          <w:b/>
          <w:bCs/>
          <w:sz w:val="22"/>
          <w:szCs w:val="22"/>
        </w:rPr>
      </w:pPr>
    </w:p>
    <w:p w14:paraId="2D99E0BD" w14:textId="77777777" w:rsidR="00264463" w:rsidRPr="00C5359D" w:rsidRDefault="00264463" w:rsidP="00264463">
      <w:pPr>
        <w:rPr>
          <w:b/>
          <w:bCs/>
          <w:sz w:val="22"/>
          <w:szCs w:val="22"/>
        </w:rPr>
      </w:pPr>
      <w:r w:rsidRPr="00C5359D">
        <w:rPr>
          <w:b/>
          <w:bCs/>
          <w:sz w:val="22"/>
          <w:szCs w:val="22"/>
        </w:rPr>
        <w:t xml:space="preserve">Bendrieji reikalavimai: </w:t>
      </w:r>
    </w:p>
    <w:p w14:paraId="3CD315CF" w14:textId="77777777" w:rsidR="00B70EEF" w:rsidRPr="00C5359D" w:rsidRDefault="00B70EEF" w:rsidP="00B70EEF">
      <w:pPr>
        <w:jc w:val="both"/>
        <w:rPr>
          <w:sz w:val="22"/>
          <w:szCs w:val="22"/>
        </w:rPr>
      </w:pPr>
      <w:r w:rsidRPr="00C5359D">
        <w:rPr>
          <w:sz w:val="22"/>
          <w:szCs w:val="22"/>
        </w:rPr>
        <w:t>1. Prekių kokybė, žymėjimas, informacija vartotojui turi atitikti 93/42/EEC ir/ar MDR (ES) 2017/745 direktyvų reikalavimus, CE ženklinimas, pateikti kartu su pasiūlymu tai įrodančius dokumentus.</w:t>
      </w:r>
    </w:p>
    <w:p w14:paraId="08F86CB6" w14:textId="77777777" w:rsidR="00B70EEF" w:rsidRPr="00C5359D" w:rsidRDefault="00B70EEF" w:rsidP="00B70EEF">
      <w:pPr>
        <w:jc w:val="both"/>
        <w:rPr>
          <w:sz w:val="22"/>
          <w:szCs w:val="22"/>
        </w:rPr>
      </w:pPr>
      <w:r w:rsidRPr="00C5359D">
        <w:rPr>
          <w:sz w:val="22"/>
          <w:szCs w:val="22"/>
        </w:rPr>
        <w:t>2. Prekių charakteristikoms patvirtinti tiekėjai privalo pateikti techninių duomenų lapą ar lygiavertį gamintojo dokumentą.</w:t>
      </w:r>
    </w:p>
    <w:p w14:paraId="3D6F32AC" w14:textId="77777777" w:rsidR="00B70EEF" w:rsidRPr="00C5359D" w:rsidRDefault="00B70EEF" w:rsidP="00B70EEF">
      <w:pPr>
        <w:jc w:val="both"/>
        <w:rPr>
          <w:sz w:val="22"/>
          <w:szCs w:val="22"/>
        </w:rPr>
      </w:pPr>
      <w:r w:rsidRPr="00C5359D">
        <w:rPr>
          <w:sz w:val="22"/>
          <w:szCs w:val="22"/>
        </w:rPr>
        <w:t>3. Visoms nurodytoms konkrečioms medžiagoms ir/ar konkretiems prekių pavadinimams taikoma „arba lygiavertis“.</w:t>
      </w:r>
    </w:p>
    <w:p w14:paraId="6DF7BEEF" w14:textId="77777777" w:rsidR="00B70EEF" w:rsidRPr="00C5359D" w:rsidRDefault="00B70EEF" w:rsidP="00B70EEF">
      <w:pPr>
        <w:jc w:val="both"/>
        <w:rPr>
          <w:sz w:val="22"/>
          <w:szCs w:val="22"/>
        </w:rPr>
      </w:pPr>
      <w:r w:rsidRPr="00C5359D">
        <w:rPr>
          <w:sz w:val="22"/>
          <w:szCs w:val="22"/>
        </w:rPr>
        <w:t xml:space="preserve">4. Tiekėjas, siūlantis lygiavertę prekę privalo patikimomis priemonėmis įrodyti, kad siūloma prekė yra lygiavertė ir visiškai atitinka techninėje specifikacijoje keliamus reikalavimus. </w:t>
      </w:r>
    </w:p>
    <w:p w14:paraId="5464B77B" w14:textId="77777777" w:rsidR="00B70EEF" w:rsidRPr="00C5359D" w:rsidRDefault="00B70EEF" w:rsidP="00B70EEF">
      <w:pPr>
        <w:jc w:val="both"/>
        <w:rPr>
          <w:sz w:val="22"/>
          <w:szCs w:val="22"/>
        </w:rPr>
      </w:pPr>
      <w:r w:rsidRPr="00C5359D">
        <w:rPr>
          <w:sz w:val="22"/>
          <w:szCs w:val="22"/>
        </w:rPr>
        <w:t>5.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C5359D">
        <w:rPr>
          <w:sz w:val="22"/>
          <w:szCs w:val="22"/>
        </w:rPr>
        <w:t>pdf</w:t>
      </w:r>
      <w:proofErr w:type="spellEnd"/>
      <w:r w:rsidRPr="00C5359D">
        <w:rPr>
          <w:sz w:val="22"/>
          <w:szCs w:val="22"/>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p>
    <w:p w14:paraId="36DFCFD0" w14:textId="77777777" w:rsidR="00B70EEF" w:rsidRPr="00C5359D" w:rsidRDefault="00B70EEF" w:rsidP="00B70EEF">
      <w:pPr>
        <w:jc w:val="both"/>
        <w:rPr>
          <w:sz w:val="22"/>
          <w:szCs w:val="22"/>
        </w:rPr>
      </w:pPr>
      <w:r w:rsidRPr="00C5359D">
        <w:rPr>
          <w:sz w:val="22"/>
          <w:szCs w:val="22"/>
        </w:rPr>
        <w:t>PO turi teisę reikalauti pateikti katalogų ir techninių aprašų originalus, o tiekėjui jų nepateikus – pasiūlymą atmesti.</w:t>
      </w:r>
    </w:p>
    <w:p w14:paraId="3B87F20A" w14:textId="2E4D46C3" w:rsidR="00B70EEF" w:rsidRPr="00C5359D" w:rsidRDefault="00B70EEF" w:rsidP="00B70EEF">
      <w:pPr>
        <w:jc w:val="both"/>
        <w:rPr>
          <w:sz w:val="22"/>
          <w:szCs w:val="22"/>
        </w:rPr>
      </w:pPr>
      <w:r w:rsidRPr="00C5359D">
        <w:rPr>
          <w:sz w:val="22"/>
          <w:szCs w:val="22"/>
        </w:rPr>
        <w:t>6. Patiektų prekių galiojimo laikas prekių pristatymo metu turi būti ne trumpesnis kaip 70 (septyniasdešimt) proc. prekės galiojimo termino.</w:t>
      </w:r>
    </w:p>
    <w:p w14:paraId="570559DD" w14:textId="6625D98C" w:rsidR="003F0B3A" w:rsidRPr="00C5359D" w:rsidRDefault="00B70EEF" w:rsidP="00B70EEF">
      <w:pPr>
        <w:jc w:val="both"/>
        <w:rPr>
          <w:sz w:val="22"/>
          <w:szCs w:val="22"/>
        </w:rPr>
      </w:pPr>
      <w:r w:rsidRPr="00C5359D">
        <w:rPr>
          <w:sz w:val="22"/>
          <w:szCs w:val="22"/>
        </w:rPr>
        <w:t>*Prekės kodas gamintojo kataloge, jeigu gamintojas turi savo prekių katalogą.</w:t>
      </w:r>
    </w:p>
    <w:tbl>
      <w:tblPr>
        <w:tblW w:w="14034" w:type="dxa"/>
        <w:tblLook w:val="04A0" w:firstRow="1" w:lastRow="0" w:firstColumn="1" w:lastColumn="0" w:noHBand="0" w:noVBand="1"/>
      </w:tblPr>
      <w:tblGrid>
        <w:gridCol w:w="861"/>
        <w:gridCol w:w="2252"/>
        <w:gridCol w:w="2627"/>
        <w:gridCol w:w="918"/>
        <w:gridCol w:w="1275"/>
        <w:gridCol w:w="1985"/>
        <w:gridCol w:w="2126"/>
        <w:gridCol w:w="942"/>
        <w:gridCol w:w="826"/>
        <w:gridCol w:w="222"/>
      </w:tblGrid>
      <w:tr w:rsidR="004417CA" w14:paraId="4C714DB6" w14:textId="77777777" w:rsidTr="003F0B3A">
        <w:trPr>
          <w:gridAfter w:val="1"/>
          <w:wAfter w:w="222" w:type="dxa"/>
          <w:trHeight w:val="2121"/>
        </w:trPr>
        <w:tc>
          <w:tcPr>
            <w:tcW w:w="861" w:type="dxa"/>
            <w:vMerge w:val="restart"/>
            <w:tcBorders>
              <w:top w:val="single" w:sz="4" w:space="0" w:color="auto"/>
              <w:left w:val="single" w:sz="4" w:space="0" w:color="auto"/>
              <w:bottom w:val="single" w:sz="4" w:space="0" w:color="auto"/>
              <w:right w:val="single" w:sz="4" w:space="0" w:color="auto"/>
            </w:tcBorders>
            <w:vAlign w:val="center"/>
            <w:hideMark/>
          </w:tcPr>
          <w:p w14:paraId="2F67F665" w14:textId="77777777" w:rsidR="004417CA" w:rsidRDefault="004417CA" w:rsidP="004417CA">
            <w:pPr>
              <w:jc w:val="center"/>
              <w:rPr>
                <w:color w:val="000000"/>
                <w:sz w:val="20"/>
                <w:lang w:eastAsia="lt-LT"/>
              </w:rPr>
            </w:pPr>
            <w:r>
              <w:rPr>
                <w:color w:val="000000"/>
                <w:sz w:val="20"/>
                <w:lang w:eastAsia="lt-LT"/>
              </w:rPr>
              <w:t xml:space="preserve">Pirkimo dalies Nr. </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14:paraId="42645C1B" w14:textId="77777777" w:rsidR="004417CA" w:rsidRDefault="004417CA" w:rsidP="004417CA">
            <w:pPr>
              <w:jc w:val="center"/>
              <w:rPr>
                <w:color w:val="000000"/>
                <w:sz w:val="20"/>
                <w:lang w:eastAsia="lt-LT"/>
              </w:rPr>
            </w:pPr>
            <w:r>
              <w:rPr>
                <w:color w:val="000000"/>
                <w:sz w:val="20"/>
                <w:lang w:eastAsia="lt-LT"/>
              </w:rPr>
              <w:t>Priemonės pavadinimas</w:t>
            </w:r>
          </w:p>
        </w:tc>
        <w:tc>
          <w:tcPr>
            <w:tcW w:w="2627" w:type="dxa"/>
            <w:vMerge w:val="restart"/>
            <w:tcBorders>
              <w:top w:val="single" w:sz="4" w:space="0" w:color="auto"/>
              <w:left w:val="single" w:sz="4" w:space="0" w:color="auto"/>
              <w:bottom w:val="single" w:sz="4" w:space="0" w:color="auto"/>
              <w:right w:val="single" w:sz="4" w:space="0" w:color="auto"/>
            </w:tcBorders>
            <w:vAlign w:val="center"/>
            <w:hideMark/>
          </w:tcPr>
          <w:p w14:paraId="1F2E425D" w14:textId="40B5AD25" w:rsidR="004417CA" w:rsidRDefault="004417CA" w:rsidP="004417CA">
            <w:pPr>
              <w:jc w:val="center"/>
              <w:rPr>
                <w:color w:val="000000"/>
                <w:sz w:val="20"/>
                <w:lang w:eastAsia="lt-LT"/>
              </w:rPr>
            </w:pPr>
            <w:r w:rsidRPr="004417CA">
              <w:rPr>
                <w:color w:val="000000"/>
                <w:sz w:val="20"/>
                <w:lang w:eastAsia="lt-LT"/>
              </w:rPr>
              <w:t>Reikalaujamos charakteristikos, parametrai, jų reikšmės</w:t>
            </w:r>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4CB4B95C" w14:textId="6F48AFDB" w:rsidR="004417CA" w:rsidRDefault="004417CA" w:rsidP="004417CA">
            <w:pPr>
              <w:jc w:val="center"/>
              <w:rPr>
                <w:color w:val="000000"/>
                <w:sz w:val="20"/>
                <w:lang w:eastAsia="lt-LT"/>
              </w:rPr>
            </w:pPr>
            <w:r>
              <w:rPr>
                <w:color w:val="000000"/>
                <w:sz w:val="20"/>
                <w:lang w:eastAsia="lt-LT"/>
              </w:rPr>
              <w:t>Mato vienetas</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4C37D484" w14:textId="2D350E8A" w:rsidR="004417CA" w:rsidRDefault="004417CA" w:rsidP="004417CA">
            <w:pPr>
              <w:jc w:val="center"/>
              <w:rPr>
                <w:color w:val="000000"/>
                <w:sz w:val="20"/>
                <w:lang w:eastAsia="lt-LT"/>
              </w:rPr>
            </w:pPr>
            <w:r>
              <w:rPr>
                <w:color w:val="000000"/>
                <w:sz w:val="20"/>
                <w:lang w:eastAsia="lt-LT"/>
              </w:rPr>
              <w:t>Preliminarus kiekis</w:t>
            </w:r>
            <w:r w:rsidR="006B41CA">
              <w:t xml:space="preserve"> </w:t>
            </w:r>
            <w:r w:rsidR="006B41CA" w:rsidRPr="006B41CA">
              <w:rPr>
                <w:color w:val="000000"/>
                <w:sz w:val="20"/>
                <w:lang w:eastAsia="lt-LT"/>
              </w:rPr>
              <w:t>(12 mėnesių)</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6106EBEF" w14:textId="77777777" w:rsidR="004417CA" w:rsidRPr="004417CA" w:rsidRDefault="004417CA" w:rsidP="004417CA">
            <w:pPr>
              <w:jc w:val="center"/>
              <w:rPr>
                <w:color w:val="000000"/>
                <w:sz w:val="20"/>
                <w:lang w:eastAsia="lt-LT"/>
              </w:rPr>
            </w:pPr>
            <w:r w:rsidRPr="004417CA">
              <w:rPr>
                <w:color w:val="000000"/>
                <w:sz w:val="20"/>
                <w:lang w:eastAsia="lt-LT"/>
              </w:rPr>
              <w:t xml:space="preserve">Firminis priemonių pavadinimas, gamintojas, priemonės kodas gamintojo kataloge* </w:t>
            </w:r>
          </w:p>
          <w:p w14:paraId="14E09A7B" w14:textId="3643936B" w:rsidR="004417CA" w:rsidRDefault="004417CA" w:rsidP="004417CA">
            <w:pPr>
              <w:jc w:val="center"/>
              <w:rPr>
                <w:color w:val="000000"/>
                <w:sz w:val="20"/>
                <w:lang w:eastAsia="lt-LT"/>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FA64069" w14:textId="77777777" w:rsidR="004417CA" w:rsidRPr="004417CA" w:rsidRDefault="004417CA" w:rsidP="004417CA">
            <w:pPr>
              <w:jc w:val="center"/>
              <w:rPr>
                <w:color w:val="000000"/>
                <w:sz w:val="20"/>
                <w:lang w:eastAsia="lt-LT"/>
              </w:rPr>
            </w:pPr>
            <w:r w:rsidRPr="004417CA">
              <w:rPr>
                <w:color w:val="000000"/>
                <w:sz w:val="20"/>
                <w:lang w:eastAsia="lt-LT"/>
              </w:rPr>
              <w:t>Tiekėjo siūlomų prekių  charakteristikos, parametrai, jų reikšmės</w:t>
            </w:r>
          </w:p>
          <w:p w14:paraId="079321F3" w14:textId="597B43F0" w:rsidR="004417CA" w:rsidRDefault="004417CA" w:rsidP="004417CA">
            <w:pPr>
              <w:jc w:val="center"/>
              <w:rPr>
                <w:color w:val="000000"/>
                <w:sz w:val="20"/>
                <w:lang w:eastAsia="lt-LT"/>
              </w:rPr>
            </w:pPr>
            <w:r w:rsidRPr="004417CA">
              <w:rPr>
                <w:color w:val="000000"/>
                <w:sz w:val="20"/>
                <w:lang w:eastAsia="lt-LT"/>
              </w:rPr>
              <w:t xml:space="preserve">Priemonių charakteristikoms patvirtinti privaloma pateikti techninių duomenų lapą arba lygiavertį gamintojo </w:t>
            </w:r>
            <w:r w:rsidRPr="004417CA">
              <w:rPr>
                <w:color w:val="000000"/>
                <w:sz w:val="20"/>
                <w:lang w:eastAsia="lt-LT"/>
              </w:rPr>
              <w:lastRenderedPageBreak/>
              <w:t xml:space="preserve">dokumentą, patvirtintą tiekėjo vadovo ar jo įgalioto asmens parašu. Taip pat kartu su pasiūlymu pateikiama kiti prekių gamintojo dokumentai, kuriuose aprašytas nurodytas parametras (tiekėjas pasiūlyme nurodo </w:t>
            </w:r>
            <w:r w:rsidR="003F0B3A">
              <w:rPr>
                <w:color w:val="000000"/>
                <w:sz w:val="20"/>
                <w:lang w:eastAsia="lt-LT"/>
              </w:rPr>
              <w:t>p</w:t>
            </w:r>
            <w:r w:rsidRPr="004417CA">
              <w:rPr>
                <w:color w:val="000000"/>
                <w:sz w:val="20"/>
                <w:lang w:eastAsia="lt-LT"/>
              </w:rPr>
              <w:t>sl.</w:t>
            </w:r>
            <w:r w:rsidR="003F0B3A">
              <w:rPr>
                <w:color w:val="000000"/>
                <w:sz w:val="20"/>
                <w:lang w:eastAsia="lt-LT"/>
              </w:rPr>
              <w:t xml:space="preserve"> </w:t>
            </w:r>
            <w:r w:rsidRPr="004417CA">
              <w:rPr>
                <w:color w:val="000000"/>
                <w:sz w:val="20"/>
                <w:lang w:eastAsia="lt-LT"/>
              </w:rPr>
              <w:t xml:space="preserve"> Nr.),  nuoroda į gamintojo interneto tinklalapį (jei toks yra) </w:t>
            </w:r>
          </w:p>
        </w:tc>
        <w:tc>
          <w:tcPr>
            <w:tcW w:w="942" w:type="dxa"/>
            <w:vMerge w:val="restart"/>
            <w:tcBorders>
              <w:top w:val="single" w:sz="4" w:space="0" w:color="auto"/>
              <w:left w:val="single" w:sz="4" w:space="0" w:color="auto"/>
              <w:bottom w:val="single" w:sz="4" w:space="0" w:color="000000"/>
              <w:right w:val="single" w:sz="4" w:space="0" w:color="auto"/>
            </w:tcBorders>
            <w:vAlign w:val="center"/>
            <w:hideMark/>
          </w:tcPr>
          <w:p w14:paraId="328A22C6" w14:textId="77777777" w:rsidR="004417CA" w:rsidRDefault="004417CA" w:rsidP="004417CA">
            <w:pPr>
              <w:jc w:val="center"/>
              <w:rPr>
                <w:color w:val="000000"/>
                <w:sz w:val="20"/>
                <w:lang w:eastAsia="lt-LT"/>
              </w:rPr>
            </w:pPr>
            <w:r>
              <w:rPr>
                <w:color w:val="000000"/>
                <w:sz w:val="20"/>
                <w:lang w:eastAsia="lt-LT"/>
              </w:rPr>
              <w:lastRenderedPageBreak/>
              <w:t>Vieno mato vnt. kaina, EUR be PVM</w:t>
            </w:r>
          </w:p>
        </w:tc>
        <w:tc>
          <w:tcPr>
            <w:tcW w:w="826" w:type="dxa"/>
            <w:vMerge w:val="restart"/>
            <w:tcBorders>
              <w:top w:val="single" w:sz="4" w:space="0" w:color="auto"/>
              <w:left w:val="single" w:sz="4" w:space="0" w:color="auto"/>
              <w:bottom w:val="single" w:sz="4" w:space="0" w:color="000000"/>
              <w:right w:val="single" w:sz="4" w:space="0" w:color="auto"/>
            </w:tcBorders>
            <w:vAlign w:val="center"/>
            <w:hideMark/>
          </w:tcPr>
          <w:p w14:paraId="7864C1F2" w14:textId="77777777" w:rsidR="004417CA" w:rsidRDefault="004417CA" w:rsidP="004417CA">
            <w:pPr>
              <w:jc w:val="center"/>
              <w:rPr>
                <w:color w:val="000000"/>
                <w:sz w:val="20"/>
                <w:lang w:eastAsia="lt-LT"/>
              </w:rPr>
            </w:pPr>
            <w:r>
              <w:rPr>
                <w:color w:val="000000"/>
                <w:sz w:val="20"/>
                <w:lang w:eastAsia="lt-LT"/>
              </w:rPr>
              <w:t xml:space="preserve">PVM tarifas proc. </w:t>
            </w:r>
          </w:p>
        </w:tc>
      </w:tr>
      <w:tr w:rsidR="004417CA" w14:paraId="2F19746C" w14:textId="77777777" w:rsidTr="004417CA">
        <w:trPr>
          <w:trHeight w:val="2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F0F11" w14:textId="77777777" w:rsidR="004417CA" w:rsidRDefault="004417CA" w:rsidP="004417CA">
            <w:pPr>
              <w:rPr>
                <w:color w:val="000000"/>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1D1C0" w14:textId="77777777" w:rsidR="004417CA" w:rsidRDefault="004417CA" w:rsidP="004417CA">
            <w:pPr>
              <w:rPr>
                <w:color w:val="000000"/>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86CAC" w14:textId="77777777" w:rsidR="004417CA" w:rsidRDefault="004417CA" w:rsidP="004417CA">
            <w:pPr>
              <w:rPr>
                <w:color w:val="000000"/>
                <w:sz w:val="20"/>
                <w:lang w:eastAsia="lt-LT"/>
              </w:rPr>
            </w:pPr>
          </w:p>
        </w:tc>
        <w:tc>
          <w:tcPr>
            <w:tcW w:w="918" w:type="dxa"/>
            <w:vMerge/>
            <w:tcBorders>
              <w:top w:val="single" w:sz="4" w:space="0" w:color="auto"/>
              <w:left w:val="single" w:sz="4" w:space="0" w:color="auto"/>
              <w:bottom w:val="single" w:sz="4" w:space="0" w:color="auto"/>
              <w:right w:val="single" w:sz="4" w:space="0" w:color="auto"/>
            </w:tcBorders>
            <w:vAlign w:val="center"/>
          </w:tcPr>
          <w:p w14:paraId="74FDC59E" w14:textId="77777777" w:rsidR="004417CA" w:rsidRDefault="004417CA" w:rsidP="004417CA">
            <w:pPr>
              <w:rPr>
                <w:color w:val="000000"/>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46933503" w14:textId="77777777" w:rsidR="004417CA" w:rsidRDefault="004417CA" w:rsidP="004417CA">
            <w:pPr>
              <w:rPr>
                <w:color w:val="000000"/>
                <w:sz w:val="20"/>
                <w:lang w:eastAsia="lt-LT"/>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18657C40" w14:textId="77777777" w:rsidR="004417CA" w:rsidRDefault="004417CA" w:rsidP="004417CA">
            <w:pPr>
              <w:rPr>
                <w:color w:val="000000"/>
                <w:sz w:val="20"/>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85C53A8" w14:textId="77777777" w:rsidR="004417CA" w:rsidRDefault="004417CA" w:rsidP="004417CA">
            <w:pPr>
              <w:rPr>
                <w:color w:val="000000"/>
                <w:sz w:val="20"/>
                <w:lang w:eastAsia="lt-LT"/>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02148B" w14:textId="77777777" w:rsidR="004417CA" w:rsidRDefault="004417CA" w:rsidP="004417CA">
            <w:pPr>
              <w:rPr>
                <w:color w:val="000000"/>
                <w:sz w:val="20"/>
                <w:lang w:eastAsia="lt-LT"/>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DB0165" w14:textId="77777777" w:rsidR="004417CA" w:rsidRDefault="004417CA" w:rsidP="004417CA">
            <w:pPr>
              <w:rPr>
                <w:color w:val="000000"/>
                <w:sz w:val="20"/>
                <w:lang w:eastAsia="lt-LT"/>
              </w:rPr>
            </w:pPr>
          </w:p>
        </w:tc>
        <w:tc>
          <w:tcPr>
            <w:tcW w:w="222" w:type="dxa"/>
            <w:noWrap/>
            <w:vAlign w:val="bottom"/>
            <w:hideMark/>
          </w:tcPr>
          <w:p w14:paraId="4FD164EB" w14:textId="77777777" w:rsidR="004417CA" w:rsidRDefault="004417CA" w:rsidP="004417CA"/>
        </w:tc>
      </w:tr>
      <w:tr w:rsidR="004417CA" w14:paraId="21945190" w14:textId="77777777" w:rsidTr="004417CA">
        <w:trPr>
          <w:trHeight w:val="274"/>
        </w:trPr>
        <w:tc>
          <w:tcPr>
            <w:tcW w:w="861" w:type="dxa"/>
            <w:tcBorders>
              <w:top w:val="nil"/>
              <w:left w:val="single" w:sz="4" w:space="0" w:color="auto"/>
              <w:bottom w:val="single" w:sz="4" w:space="0" w:color="auto"/>
              <w:right w:val="single" w:sz="4" w:space="0" w:color="auto"/>
            </w:tcBorders>
            <w:noWrap/>
          </w:tcPr>
          <w:p w14:paraId="7E942008" w14:textId="77777777" w:rsidR="004417CA" w:rsidRDefault="004417CA" w:rsidP="004417CA">
            <w:pPr>
              <w:jc w:val="center"/>
              <w:rPr>
                <w:color w:val="000000"/>
                <w:sz w:val="20"/>
                <w:lang w:eastAsia="lt-LT"/>
              </w:rPr>
            </w:pPr>
          </w:p>
        </w:tc>
        <w:tc>
          <w:tcPr>
            <w:tcW w:w="2252" w:type="dxa"/>
            <w:tcBorders>
              <w:top w:val="nil"/>
              <w:left w:val="nil"/>
              <w:bottom w:val="single" w:sz="4" w:space="0" w:color="auto"/>
              <w:right w:val="single" w:sz="4" w:space="0" w:color="auto"/>
            </w:tcBorders>
          </w:tcPr>
          <w:p w14:paraId="139DDA14" w14:textId="77777777" w:rsidR="004417CA" w:rsidRDefault="004417CA" w:rsidP="004417CA">
            <w:pPr>
              <w:rPr>
                <w:sz w:val="20"/>
                <w:lang w:eastAsia="lt-LT"/>
              </w:rPr>
            </w:pPr>
          </w:p>
        </w:tc>
        <w:tc>
          <w:tcPr>
            <w:tcW w:w="2627" w:type="dxa"/>
            <w:tcBorders>
              <w:top w:val="nil"/>
              <w:left w:val="nil"/>
              <w:bottom w:val="single" w:sz="4" w:space="0" w:color="auto"/>
              <w:right w:val="single" w:sz="4" w:space="0" w:color="auto"/>
            </w:tcBorders>
          </w:tcPr>
          <w:p w14:paraId="29C3FED1" w14:textId="77777777" w:rsidR="004417CA" w:rsidRDefault="004417CA" w:rsidP="004417CA">
            <w:pPr>
              <w:rPr>
                <w:sz w:val="20"/>
                <w:lang w:eastAsia="lt-LT"/>
              </w:rPr>
            </w:pPr>
          </w:p>
        </w:tc>
        <w:tc>
          <w:tcPr>
            <w:tcW w:w="918" w:type="dxa"/>
            <w:tcBorders>
              <w:top w:val="nil"/>
              <w:left w:val="nil"/>
              <w:bottom w:val="single" w:sz="4" w:space="0" w:color="auto"/>
              <w:right w:val="single" w:sz="4" w:space="0" w:color="auto"/>
            </w:tcBorders>
          </w:tcPr>
          <w:p w14:paraId="5F1371B0" w14:textId="77777777" w:rsidR="004417CA" w:rsidRDefault="004417CA" w:rsidP="004417CA">
            <w:pPr>
              <w:rPr>
                <w:sz w:val="20"/>
                <w:lang w:eastAsia="lt-LT"/>
              </w:rPr>
            </w:pPr>
          </w:p>
        </w:tc>
        <w:tc>
          <w:tcPr>
            <w:tcW w:w="1275" w:type="dxa"/>
            <w:tcBorders>
              <w:top w:val="nil"/>
              <w:left w:val="nil"/>
              <w:bottom w:val="single" w:sz="4" w:space="0" w:color="auto"/>
              <w:right w:val="single" w:sz="4" w:space="0" w:color="auto"/>
            </w:tcBorders>
          </w:tcPr>
          <w:p w14:paraId="07FD5E02" w14:textId="77777777" w:rsidR="004417CA" w:rsidRDefault="004417CA" w:rsidP="004417CA">
            <w:pPr>
              <w:rPr>
                <w:sz w:val="20"/>
                <w:lang w:eastAsia="lt-LT"/>
              </w:rPr>
            </w:pPr>
          </w:p>
        </w:tc>
        <w:tc>
          <w:tcPr>
            <w:tcW w:w="1985" w:type="dxa"/>
            <w:tcBorders>
              <w:top w:val="nil"/>
              <w:left w:val="nil"/>
              <w:bottom w:val="single" w:sz="4" w:space="0" w:color="auto"/>
              <w:right w:val="single" w:sz="4" w:space="0" w:color="auto"/>
            </w:tcBorders>
          </w:tcPr>
          <w:p w14:paraId="1E0C29E0" w14:textId="77777777" w:rsidR="004417CA" w:rsidRDefault="004417CA" w:rsidP="004417CA">
            <w:pPr>
              <w:rPr>
                <w:sz w:val="20"/>
                <w:lang w:eastAsia="lt-LT"/>
              </w:rPr>
            </w:pPr>
          </w:p>
        </w:tc>
        <w:tc>
          <w:tcPr>
            <w:tcW w:w="2126" w:type="dxa"/>
            <w:tcBorders>
              <w:top w:val="nil"/>
              <w:left w:val="nil"/>
              <w:bottom w:val="single" w:sz="4" w:space="0" w:color="auto"/>
              <w:right w:val="single" w:sz="4" w:space="0" w:color="auto"/>
            </w:tcBorders>
          </w:tcPr>
          <w:p w14:paraId="53AF443A" w14:textId="77777777" w:rsidR="004417CA" w:rsidRDefault="004417CA" w:rsidP="004417CA">
            <w:pPr>
              <w:jc w:val="right"/>
              <w:rPr>
                <w:sz w:val="20"/>
                <w:lang w:eastAsia="lt-LT"/>
              </w:rPr>
            </w:pPr>
          </w:p>
        </w:tc>
        <w:tc>
          <w:tcPr>
            <w:tcW w:w="942" w:type="dxa"/>
            <w:tcBorders>
              <w:top w:val="nil"/>
              <w:left w:val="nil"/>
              <w:bottom w:val="single" w:sz="4" w:space="0" w:color="auto"/>
              <w:right w:val="single" w:sz="4" w:space="0" w:color="auto"/>
            </w:tcBorders>
          </w:tcPr>
          <w:p w14:paraId="05D93459" w14:textId="77777777" w:rsidR="004417CA" w:rsidRDefault="004417CA" w:rsidP="004417CA">
            <w:pPr>
              <w:rPr>
                <w:sz w:val="20"/>
                <w:lang w:eastAsia="lt-LT"/>
              </w:rPr>
            </w:pPr>
          </w:p>
        </w:tc>
        <w:tc>
          <w:tcPr>
            <w:tcW w:w="826" w:type="dxa"/>
            <w:tcBorders>
              <w:top w:val="nil"/>
              <w:left w:val="nil"/>
              <w:bottom w:val="single" w:sz="4" w:space="0" w:color="auto"/>
              <w:right w:val="single" w:sz="4" w:space="0" w:color="auto"/>
            </w:tcBorders>
          </w:tcPr>
          <w:p w14:paraId="78B9F48C" w14:textId="77777777" w:rsidR="004417CA" w:rsidRDefault="004417CA" w:rsidP="004417CA">
            <w:pPr>
              <w:rPr>
                <w:sz w:val="20"/>
                <w:lang w:eastAsia="lt-LT"/>
              </w:rPr>
            </w:pPr>
          </w:p>
        </w:tc>
        <w:tc>
          <w:tcPr>
            <w:tcW w:w="222" w:type="dxa"/>
            <w:vAlign w:val="center"/>
          </w:tcPr>
          <w:p w14:paraId="10E7A43C" w14:textId="77777777" w:rsidR="004417CA" w:rsidRDefault="004417CA" w:rsidP="004417CA">
            <w:pPr>
              <w:rPr>
                <w:sz w:val="20"/>
                <w:lang w:eastAsia="lt-LT"/>
              </w:rPr>
            </w:pPr>
          </w:p>
        </w:tc>
      </w:tr>
      <w:tr w:rsidR="004417CA" w14:paraId="061221A6" w14:textId="77777777" w:rsidTr="004417CA">
        <w:trPr>
          <w:trHeight w:val="274"/>
        </w:trPr>
        <w:tc>
          <w:tcPr>
            <w:tcW w:w="12986" w:type="dxa"/>
            <w:gridSpan w:val="8"/>
            <w:tcBorders>
              <w:top w:val="nil"/>
              <w:left w:val="single" w:sz="4" w:space="0" w:color="auto"/>
              <w:bottom w:val="single" w:sz="4" w:space="0" w:color="auto"/>
              <w:right w:val="single" w:sz="4" w:space="0" w:color="auto"/>
            </w:tcBorders>
            <w:noWrap/>
          </w:tcPr>
          <w:p w14:paraId="4C2E5467" w14:textId="77777777" w:rsidR="004417CA" w:rsidRDefault="004417CA" w:rsidP="004417CA">
            <w:pPr>
              <w:jc w:val="right"/>
              <w:rPr>
                <w:sz w:val="20"/>
                <w:lang w:eastAsia="lt-LT"/>
              </w:rPr>
            </w:pPr>
            <w:r w:rsidRPr="004417CA">
              <w:rPr>
                <w:sz w:val="20"/>
                <w:lang w:eastAsia="lt-LT"/>
              </w:rPr>
              <w:t>Pradinės sutarties/sutarties dalies vertė EUR be PVM</w:t>
            </w:r>
          </w:p>
          <w:p w14:paraId="05B4BC9F" w14:textId="7FA3A0BE" w:rsidR="004417CA" w:rsidRDefault="004417CA" w:rsidP="004417CA">
            <w:pPr>
              <w:jc w:val="right"/>
              <w:rPr>
                <w:sz w:val="20"/>
                <w:lang w:eastAsia="lt-LT"/>
              </w:rPr>
            </w:pPr>
            <w:r>
              <w:rPr>
                <w:sz w:val="20"/>
                <w:lang w:eastAsia="lt-LT"/>
              </w:rPr>
              <w:t>(</w:t>
            </w:r>
            <w:r w:rsidRPr="004417CA">
              <w:rPr>
                <w:i/>
                <w:iCs/>
                <w:sz w:val="20"/>
                <w:lang w:eastAsia="lt-LT"/>
              </w:rPr>
              <w:t>planuojama skirti pirkimui / pirkimo daliai lėšų suma Eur be PVM</w:t>
            </w:r>
            <w:r>
              <w:rPr>
                <w:sz w:val="20"/>
                <w:lang w:eastAsia="lt-LT"/>
              </w:rPr>
              <w:t>)</w:t>
            </w:r>
          </w:p>
        </w:tc>
        <w:tc>
          <w:tcPr>
            <w:tcW w:w="826" w:type="dxa"/>
            <w:tcBorders>
              <w:top w:val="nil"/>
              <w:left w:val="nil"/>
              <w:bottom w:val="single" w:sz="4" w:space="0" w:color="auto"/>
              <w:right w:val="single" w:sz="4" w:space="0" w:color="auto"/>
            </w:tcBorders>
          </w:tcPr>
          <w:p w14:paraId="01B4D2A4" w14:textId="77777777" w:rsidR="004417CA" w:rsidRDefault="004417CA" w:rsidP="004417CA">
            <w:pPr>
              <w:rPr>
                <w:sz w:val="20"/>
                <w:lang w:eastAsia="lt-LT"/>
              </w:rPr>
            </w:pPr>
          </w:p>
        </w:tc>
        <w:tc>
          <w:tcPr>
            <w:tcW w:w="222" w:type="dxa"/>
            <w:vAlign w:val="center"/>
          </w:tcPr>
          <w:p w14:paraId="11019DDF" w14:textId="77777777" w:rsidR="004417CA" w:rsidRDefault="004417CA" w:rsidP="004417CA">
            <w:pPr>
              <w:rPr>
                <w:sz w:val="20"/>
                <w:lang w:eastAsia="lt-LT"/>
              </w:rPr>
            </w:pPr>
          </w:p>
        </w:tc>
      </w:tr>
      <w:tr w:rsidR="004417CA" w14:paraId="7702B94B" w14:textId="77777777" w:rsidTr="004417CA">
        <w:trPr>
          <w:trHeight w:val="274"/>
        </w:trPr>
        <w:tc>
          <w:tcPr>
            <w:tcW w:w="12986" w:type="dxa"/>
            <w:gridSpan w:val="8"/>
            <w:tcBorders>
              <w:top w:val="nil"/>
              <w:left w:val="single" w:sz="4" w:space="0" w:color="auto"/>
              <w:bottom w:val="single" w:sz="4" w:space="0" w:color="auto"/>
              <w:right w:val="single" w:sz="4" w:space="0" w:color="auto"/>
            </w:tcBorders>
            <w:noWrap/>
          </w:tcPr>
          <w:p w14:paraId="60242758" w14:textId="14507A5D" w:rsidR="004417CA" w:rsidRDefault="004417CA" w:rsidP="004417CA">
            <w:pPr>
              <w:jc w:val="right"/>
              <w:rPr>
                <w:sz w:val="20"/>
                <w:lang w:eastAsia="lt-LT"/>
              </w:rPr>
            </w:pPr>
            <w:r w:rsidRPr="004417CA">
              <w:rPr>
                <w:sz w:val="20"/>
                <w:lang w:eastAsia="lt-LT"/>
              </w:rPr>
              <w:t>PVM suma, Eur</w:t>
            </w:r>
          </w:p>
        </w:tc>
        <w:tc>
          <w:tcPr>
            <w:tcW w:w="826" w:type="dxa"/>
            <w:tcBorders>
              <w:top w:val="nil"/>
              <w:left w:val="nil"/>
              <w:bottom w:val="single" w:sz="4" w:space="0" w:color="auto"/>
              <w:right w:val="single" w:sz="4" w:space="0" w:color="auto"/>
            </w:tcBorders>
          </w:tcPr>
          <w:p w14:paraId="660639AD" w14:textId="77777777" w:rsidR="004417CA" w:rsidRDefault="004417CA" w:rsidP="004417CA">
            <w:pPr>
              <w:rPr>
                <w:sz w:val="20"/>
                <w:lang w:eastAsia="lt-LT"/>
              </w:rPr>
            </w:pPr>
          </w:p>
        </w:tc>
        <w:tc>
          <w:tcPr>
            <w:tcW w:w="222" w:type="dxa"/>
            <w:vAlign w:val="center"/>
          </w:tcPr>
          <w:p w14:paraId="17DF9278" w14:textId="77777777" w:rsidR="004417CA" w:rsidRDefault="004417CA" w:rsidP="004417CA">
            <w:pPr>
              <w:rPr>
                <w:sz w:val="20"/>
                <w:lang w:eastAsia="lt-LT"/>
              </w:rPr>
            </w:pPr>
          </w:p>
        </w:tc>
      </w:tr>
      <w:tr w:rsidR="004417CA" w14:paraId="37E47655" w14:textId="77777777" w:rsidTr="004417CA">
        <w:trPr>
          <w:trHeight w:val="274"/>
        </w:trPr>
        <w:tc>
          <w:tcPr>
            <w:tcW w:w="12986" w:type="dxa"/>
            <w:gridSpan w:val="8"/>
            <w:tcBorders>
              <w:top w:val="nil"/>
              <w:left w:val="single" w:sz="4" w:space="0" w:color="auto"/>
              <w:bottom w:val="single" w:sz="4" w:space="0" w:color="auto"/>
              <w:right w:val="single" w:sz="4" w:space="0" w:color="auto"/>
            </w:tcBorders>
            <w:noWrap/>
          </w:tcPr>
          <w:p w14:paraId="543A159C" w14:textId="77777777" w:rsidR="004417CA" w:rsidRPr="004417CA" w:rsidRDefault="004417CA" w:rsidP="004417CA">
            <w:pPr>
              <w:jc w:val="right"/>
              <w:rPr>
                <w:sz w:val="20"/>
                <w:lang w:eastAsia="lt-LT"/>
              </w:rPr>
            </w:pPr>
            <w:r w:rsidRPr="004417CA">
              <w:rPr>
                <w:sz w:val="20"/>
                <w:lang w:eastAsia="lt-LT"/>
              </w:rPr>
              <w:t>Sutarties/sutarties dalies kaina EUR su PVM</w:t>
            </w:r>
          </w:p>
          <w:p w14:paraId="7C2A7328" w14:textId="602DCA88" w:rsidR="004417CA" w:rsidRDefault="004417CA" w:rsidP="004417CA">
            <w:pPr>
              <w:jc w:val="right"/>
              <w:rPr>
                <w:sz w:val="20"/>
                <w:lang w:eastAsia="lt-LT"/>
              </w:rPr>
            </w:pPr>
            <w:r w:rsidRPr="004417CA">
              <w:rPr>
                <w:sz w:val="20"/>
                <w:lang w:eastAsia="lt-LT"/>
              </w:rPr>
              <w:t>(</w:t>
            </w:r>
            <w:r w:rsidRPr="004417CA">
              <w:rPr>
                <w:i/>
                <w:iCs/>
                <w:sz w:val="20"/>
                <w:lang w:eastAsia="lt-LT"/>
              </w:rPr>
              <w:t>planuojama skirti pirkimui/ pirkimo daliai lėšų suma Eur su PVM</w:t>
            </w:r>
            <w:r w:rsidRPr="004417CA">
              <w:rPr>
                <w:sz w:val="20"/>
                <w:lang w:eastAsia="lt-LT"/>
              </w:rPr>
              <w:t>)</w:t>
            </w:r>
          </w:p>
        </w:tc>
        <w:tc>
          <w:tcPr>
            <w:tcW w:w="826" w:type="dxa"/>
            <w:tcBorders>
              <w:top w:val="nil"/>
              <w:left w:val="nil"/>
              <w:bottom w:val="single" w:sz="4" w:space="0" w:color="auto"/>
              <w:right w:val="single" w:sz="4" w:space="0" w:color="auto"/>
            </w:tcBorders>
          </w:tcPr>
          <w:p w14:paraId="0390C0DE" w14:textId="77777777" w:rsidR="004417CA" w:rsidRDefault="004417CA" w:rsidP="004417CA">
            <w:pPr>
              <w:rPr>
                <w:sz w:val="20"/>
                <w:lang w:eastAsia="lt-LT"/>
              </w:rPr>
            </w:pPr>
          </w:p>
        </w:tc>
        <w:tc>
          <w:tcPr>
            <w:tcW w:w="222" w:type="dxa"/>
            <w:vAlign w:val="center"/>
          </w:tcPr>
          <w:p w14:paraId="6343B786" w14:textId="77777777" w:rsidR="004417CA" w:rsidRDefault="004417CA" w:rsidP="004417CA">
            <w:pPr>
              <w:rPr>
                <w:sz w:val="20"/>
                <w:lang w:eastAsia="lt-LT"/>
              </w:rPr>
            </w:pPr>
          </w:p>
        </w:tc>
      </w:tr>
    </w:tbl>
    <w:p w14:paraId="2F8AE33B" w14:textId="77777777" w:rsidR="004417CA" w:rsidRDefault="004417CA" w:rsidP="00264463">
      <w:pPr>
        <w:jc w:val="both"/>
        <w:rPr>
          <w:sz w:val="20"/>
        </w:rPr>
      </w:pPr>
    </w:p>
    <w:p w14:paraId="64AE196D" w14:textId="77777777" w:rsidR="004417CA" w:rsidRDefault="004417CA" w:rsidP="00264463">
      <w:pPr>
        <w:jc w:val="both"/>
        <w:rPr>
          <w:sz w:val="20"/>
        </w:rPr>
      </w:pPr>
    </w:p>
    <w:p w14:paraId="0B251152" w14:textId="77777777" w:rsidR="004417CA" w:rsidRDefault="004417CA" w:rsidP="00264463">
      <w:pPr>
        <w:jc w:val="both"/>
        <w:rPr>
          <w:sz w:val="20"/>
        </w:rPr>
      </w:pPr>
    </w:p>
    <w:p w14:paraId="7703F17E" w14:textId="77777777" w:rsidR="004417CA" w:rsidRDefault="004417CA" w:rsidP="00264463">
      <w:pPr>
        <w:jc w:val="both"/>
        <w:rPr>
          <w:sz w:val="20"/>
        </w:rPr>
      </w:pPr>
    </w:p>
    <w:p w14:paraId="5732EC9B" w14:textId="77777777" w:rsidR="004417CA" w:rsidRPr="00264463" w:rsidRDefault="004417CA" w:rsidP="00264463">
      <w:pPr>
        <w:jc w:val="both"/>
        <w:rPr>
          <w:sz w:val="20"/>
        </w:rPr>
      </w:pPr>
    </w:p>
    <w:p w14:paraId="3EA0E8B9" w14:textId="77777777" w:rsidR="000B2105" w:rsidRPr="004C6076" w:rsidRDefault="000B2105" w:rsidP="00264463">
      <w:pPr>
        <w:rPr>
          <w:rFonts w:eastAsiaTheme="minorHAnsi" w:cstheme="minorBidi"/>
          <w:kern w:val="2"/>
          <w:sz w:val="22"/>
          <w:szCs w:val="22"/>
          <w14:ligatures w14:val="standardContextual"/>
        </w:rPr>
      </w:pPr>
    </w:p>
    <w:sectPr w:rsidR="000B2105" w:rsidRPr="004C6076" w:rsidSect="007B1063">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6AA8" w14:textId="77777777" w:rsidR="000C5214" w:rsidRDefault="000C5214">
      <w:r>
        <w:separator/>
      </w:r>
    </w:p>
  </w:endnote>
  <w:endnote w:type="continuationSeparator" w:id="0">
    <w:p w14:paraId="5C832D88" w14:textId="77777777" w:rsidR="000C5214" w:rsidRDefault="000C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19BC" w14:textId="77777777" w:rsidR="000C5214" w:rsidRDefault="000C5214">
      <w:r>
        <w:separator/>
      </w:r>
    </w:p>
  </w:footnote>
  <w:footnote w:type="continuationSeparator" w:id="0">
    <w:p w14:paraId="6FF1D2DB" w14:textId="77777777" w:rsidR="000C5214" w:rsidRDefault="000C5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6859"/>
    <w:rsid w:val="000448A8"/>
    <w:rsid w:val="00047FD4"/>
    <w:rsid w:val="0005103F"/>
    <w:rsid w:val="000565AE"/>
    <w:rsid w:val="00071CD9"/>
    <w:rsid w:val="000740DD"/>
    <w:rsid w:val="0008570E"/>
    <w:rsid w:val="000916A4"/>
    <w:rsid w:val="000B2105"/>
    <w:rsid w:val="000C09BD"/>
    <w:rsid w:val="000C3CE2"/>
    <w:rsid w:val="000C5214"/>
    <w:rsid w:val="000C5B19"/>
    <w:rsid w:val="000D502D"/>
    <w:rsid w:val="000E3AF8"/>
    <w:rsid w:val="000E5F82"/>
    <w:rsid w:val="000E7958"/>
    <w:rsid w:val="000E79C9"/>
    <w:rsid w:val="000F0301"/>
    <w:rsid w:val="000F176F"/>
    <w:rsid w:val="000F30AA"/>
    <w:rsid w:val="000F4D31"/>
    <w:rsid w:val="000F51CA"/>
    <w:rsid w:val="001021F9"/>
    <w:rsid w:val="00110A1B"/>
    <w:rsid w:val="00112416"/>
    <w:rsid w:val="00122C3A"/>
    <w:rsid w:val="0013110F"/>
    <w:rsid w:val="00134044"/>
    <w:rsid w:val="001369E4"/>
    <w:rsid w:val="00181D70"/>
    <w:rsid w:val="001A3986"/>
    <w:rsid w:val="001A74F4"/>
    <w:rsid w:val="001B616F"/>
    <w:rsid w:val="001C6C51"/>
    <w:rsid w:val="001F007E"/>
    <w:rsid w:val="001F63D7"/>
    <w:rsid w:val="002102F2"/>
    <w:rsid w:val="00210B2C"/>
    <w:rsid w:val="00220784"/>
    <w:rsid w:val="00231A41"/>
    <w:rsid w:val="00234723"/>
    <w:rsid w:val="00236898"/>
    <w:rsid w:val="00236D39"/>
    <w:rsid w:val="00251DAE"/>
    <w:rsid w:val="00264463"/>
    <w:rsid w:val="00270F85"/>
    <w:rsid w:val="00274E34"/>
    <w:rsid w:val="00285BB5"/>
    <w:rsid w:val="00297A80"/>
    <w:rsid w:val="002A7511"/>
    <w:rsid w:val="002B5AEE"/>
    <w:rsid w:val="002C06CD"/>
    <w:rsid w:val="002C0CDF"/>
    <w:rsid w:val="002C4751"/>
    <w:rsid w:val="002C70F8"/>
    <w:rsid w:val="002D5DE2"/>
    <w:rsid w:val="002F0B5F"/>
    <w:rsid w:val="002F15BC"/>
    <w:rsid w:val="00305C2D"/>
    <w:rsid w:val="00307192"/>
    <w:rsid w:val="00313A75"/>
    <w:rsid w:val="00317A46"/>
    <w:rsid w:val="00321250"/>
    <w:rsid w:val="00327348"/>
    <w:rsid w:val="00333E2A"/>
    <w:rsid w:val="0033481E"/>
    <w:rsid w:val="0034453E"/>
    <w:rsid w:val="00346A65"/>
    <w:rsid w:val="0036581E"/>
    <w:rsid w:val="00384BB5"/>
    <w:rsid w:val="003873C2"/>
    <w:rsid w:val="003900BC"/>
    <w:rsid w:val="003A1760"/>
    <w:rsid w:val="003A5338"/>
    <w:rsid w:val="003C2ED5"/>
    <w:rsid w:val="003C43DF"/>
    <w:rsid w:val="003E3B7D"/>
    <w:rsid w:val="003F0B3A"/>
    <w:rsid w:val="003F44E1"/>
    <w:rsid w:val="003F6DD0"/>
    <w:rsid w:val="00400F4E"/>
    <w:rsid w:val="00405C3D"/>
    <w:rsid w:val="0043243C"/>
    <w:rsid w:val="00436D09"/>
    <w:rsid w:val="004373F3"/>
    <w:rsid w:val="004417CA"/>
    <w:rsid w:val="004449A4"/>
    <w:rsid w:val="0044589B"/>
    <w:rsid w:val="0045096D"/>
    <w:rsid w:val="004577C7"/>
    <w:rsid w:val="00461B5F"/>
    <w:rsid w:val="004646E3"/>
    <w:rsid w:val="004734FE"/>
    <w:rsid w:val="0048448F"/>
    <w:rsid w:val="00492DAB"/>
    <w:rsid w:val="004965BE"/>
    <w:rsid w:val="004A24B7"/>
    <w:rsid w:val="004A325F"/>
    <w:rsid w:val="004B2763"/>
    <w:rsid w:val="004B4C79"/>
    <w:rsid w:val="004B62EA"/>
    <w:rsid w:val="004C2EED"/>
    <w:rsid w:val="004C39E7"/>
    <w:rsid w:val="004D0C0C"/>
    <w:rsid w:val="004D7E30"/>
    <w:rsid w:val="004E106D"/>
    <w:rsid w:val="004E791D"/>
    <w:rsid w:val="004F1930"/>
    <w:rsid w:val="004F2F78"/>
    <w:rsid w:val="004F3524"/>
    <w:rsid w:val="0051120B"/>
    <w:rsid w:val="0051711F"/>
    <w:rsid w:val="00526824"/>
    <w:rsid w:val="005348B8"/>
    <w:rsid w:val="00535F59"/>
    <w:rsid w:val="00546FDA"/>
    <w:rsid w:val="00557322"/>
    <w:rsid w:val="00565793"/>
    <w:rsid w:val="005777BC"/>
    <w:rsid w:val="005806A0"/>
    <w:rsid w:val="005806FC"/>
    <w:rsid w:val="005957C7"/>
    <w:rsid w:val="0059604D"/>
    <w:rsid w:val="005A1203"/>
    <w:rsid w:val="005A72AE"/>
    <w:rsid w:val="005B5486"/>
    <w:rsid w:val="005B61D1"/>
    <w:rsid w:val="005D52AC"/>
    <w:rsid w:val="005D6EBE"/>
    <w:rsid w:val="005E4A3F"/>
    <w:rsid w:val="005F2EA8"/>
    <w:rsid w:val="005F61A5"/>
    <w:rsid w:val="0061416F"/>
    <w:rsid w:val="006526B4"/>
    <w:rsid w:val="00653077"/>
    <w:rsid w:val="00656F37"/>
    <w:rsid w:val="00661F81"/>
    <w:rsid w:val="0068054A"/>
    <w:rsid w:val="0068231C"/>
    <w:rsid w:val="00686855"/>
    <w:rsid w:val="006869CC"/>
    <w:rsid w:val="006A04A1"/>
    <w:rsid w:val="006B2956"/>
    <w:rsid w:val="006B41CA"/>
    <w:rsid w:val="006B7A32"/>
    <w:rsid w:val="006C6B32"/>
    <w:rsid w:val="006E36CD"/>
    <w:rsid w:val="006F43CA"/>
    <w:rsid w:val="006F7C62"/>
    <w:rsid w:val="00703224"/>
    <w:rsid w:val="00712554"/>
    <w:rsid w:val="0072100A"/>
    <w:rsid w:val="0072381E"/>
    <w:rsid w:val="0073789A"/>
    <w:rsid w:val="00743FC2"/>
    <w:rsid w:val="00744B05"/>
    <w:rsid w:val="00760288"/>
    <w:rsid w:val="00770110"/>
    <w:rsid w:val="00776478"/>
    <w:rsid w:val="007775E2"/>
    <w:rsid w:val="007A07E4"/>
    <w:rsid w:val="007A6FF6"/>
    <w:rsid w:val="007A7607"/>
    <w:rsid w:val="007B1063"/>
    <w:rsid w:val="007B2588"/>
    <w:rsid w:val="007B2BDF"/>
    <w:rsid w:val="007C0899"/>
    <w:rsid w:val="007E65D2"/>
    <w:rsid w:val="007E7A0D"/>
    <w:rsid w:val="008018B2"/>
    <w:rsid w:val="00801BAF"/>
    <w:rsid w:val="00802B24"/>
    <w:rsid w:val="00811AEB"/>
    <w:rsid w:val="00814EBA"/>
    <w:rsid w:val="00830E4C"/>
    <w:rsid w:val="00842D4B"/>
    <w:rsid w:val="008433E8"/>
    <w:rsid w:val="00854B20"/>
    <w:rsid w:val="0085691E"/>
    <w:rsid w:val="00860019"/>
    <w:rsid w:val="00862EC6"/>
    <w:rsid w:val="00863A85"/>
    <w:rsid w:val="00883902"/>
    <w:rsid w:val="00885934"/>
    <w:rsid w:val="00892B43"/>
    <w:rsid w:val="00894850"/>
    <w:rsid w:val="008D099D"/>
    <w:rsid w:val="008E05F2"/>
    <w:rsid w:val="008F49A9"/>
    <w:rsid w:val="009026D4"/>
    <w:rsid w:val="00904A91"/>
    <w:rsid w:val="00906DB2"/>
    <w:rsid w:val="00914E03"/>
    <w:rsid w:val="00917C09"/>
    <w:rsid w:val="0092775A"/>
    <w:rsid w:val="009502C9"/>
    <w:rsid w:val="00954478"/>
    <w:rsid w:val="009660D0"/>
    <w:rsid w:val="009676B3"/>
    <w:rsid w:val="00995C47"/>
    <w:rsid w:val="00995DBA"/>
    <w:rsid w:val="009A0679"/>
    <w:rsid w:val="009A1571"/>
    <w:rsid w:val="009A4DF2"/>
    <w:rsid w:val="009B69F8"/>
    <w:rsid w:val="009C1BC4"/>
    <w:rsid w:val="009C251F"/>
    <w:rsid w:val="009D6B69"/>
    <w:rsid w:val="009E057F"/>
    <w:rsid w:val="009E630A"/>
    <w:rsid w:val="009F435E"/>
    <w:rsid w:val="00A06710"/>
    <w:rsid w:val="00A116F0"/>
    <w:rsid w:val="00A2197E"/>
    <w:rsid w:val="00A30BBD"/>
    <w:rsid w:val="00A4692A"/>
    <w:rsid w:val="00A47B45"/>
    <w:rsid w:val="00A51215"/>
    <w:rsid w:val="00A5275D"/>
    <w:rsid w:val="00A612C3"/>
    <w:rsid w:val="00A62478"/>
    <w:rsid w:val="00A62E3B"/>
    <w:rsid w:val="00A7016C"/>
    <w:rsid w:val="00AA0448"/>
    <w:rsid w:val="00AA6242"/>
    <w:rsid w:val="00AB09FF"/>
    <w:rsid w:val="00AB336B"/>
    <w:rsid w:val="00AC148C"/>
    <w:rsid w:val="00AC299B"/>
    <w:rsid w:val="00AD6743"/>
    <w:rsid w:val="00B01FF7"/>
    <w:rsid w:val="00B050D8"/>
    <w:rsid w:val="00B1053A"/>
    <w:rsid w:val="00B11709"/>
    <w:rsid w:val="00B15840"/>
    <w:rsid w:val="00B224DD"/>
    <w:rsid w:val="00B246EF"/>
    <w:rsid w:val="00B33821"/>
    <w:rsid w:val="00B50598"/>
    <w:rsid w:val="00B520DB"/>
    <w:rsid w:val="00B6078C"/>
    <w:rsid w:val="00B70EEF"/>
    <w:rsid w:val="00BC0FDE"/>
    <w:rsid w:val="00BC7AA9"/>
    <w:rsid w:val="00BD1365"/>
    <w:rsid w:val="00BD18CC"/>
    <w:rsid w:val="00BE03EB"/>
    <w:rsid w:val="00BE5726"/>
    <w:rsid w:val="00BE6E5C"/>
    <w:rsid w:val="00C06FD6"/>
    <w:rsid w:val="00C10354"/>
    <w:rsid w:val="00C11983"/>
    <w:rsid w:val="00C157A6"/>
    <w:rsid w:val="00C30EB0"/>
    <w:rsid w:val="00C4039B"/>
    <w:rsid w:val="00C445AB"/>
    <w:rsid w:val="00C52BED"/>
    <w:rsid w:val="00C5359D"/>
    <w:rsid w:val="00C6056B"/>
    <w:rsid w:val="00C9266C"/>
    <w:rsid w:val="00C926F1"/>
    <w:rsid w:val="00CA18DA"/>
    <w:rsid w:val="00CA461D"/>
    <w:rsid w:val="00CA5563"/>
    <w:rsid w:val="00CC2EC0"/>
    <w:rsid w:val="00CD6A68"/>
    <w:rsid w:val="00CD7D26"/>
    <w:rsid w:val="00CE7870"/>
    <w:rsid w:val="00CF0B97"/>
    <w:rsid w:val="00CF4783"/>
    <w:rsid w:val="00D00C25"/>
    <w:rsid w:val="00D01B2F"/>
    <w:rsid w:val="00D03A55"/>
    <w:rsid w:val="00D13DC8"/>
    <w:rsid w:val="00D16091"/>
    <w:rsid w:val="00D1728F"/>
    <w:rsid w:val="00D3141D"/>
    <w:rsid w:val="00D411D3"/>
    <w:rsid w:val="00D427AD"/>
    <w:rsid w:val="00D4692A"/>
    <w:rsid w:val="00D61404"/>
    <w:rsid w:val="00D7398B"/>
    <w:rsid w:val="00D76007"/>
    <w:rsid w:val="00D9400C"/>
    <w:rsid w:val="00DA161F"/>
    <w:rsid w:val="00DA22EE"/>
    <w:rsid w:val="00DB4164"/>
    <w:rsid w:val="00DF145B"/>
    <w:rsid w:val="00DF38C7"/>
    <w:rsid w:val="00E00AA6"/>
    <w:rsid w:val="00E041A4"/>
    <w:rsid w:val="00E20061"/>
    <w:rsid w:val="00E25FE0"/>
    <w:rsid w:val="00E26E6E"/>
    <w:rsid w:val="00E3163A"/>
    <w:rsid w:val="00E32A9A"/>
    <w:rsid w:val="00E37D76"/>
    <w:rsid w:val="00E41B0E"/>
    <w:rsid w:val="00E50B07"/>
    <w:rsid w:val="00E5166C"/>
    <w:rsid w:val="00E634E1"/>
    <w:rsid w:val="00E64401"/>
    <w:rsid w:val="00E64AEC"/>
    <w:rsid w:val="00E67282"/>
    <w:rsid w:val="00E81FED"/>
    <w:rsid w:val="00E823C5"/>
    <w:rsid w:val="00E964C9"/>
    <w:rsid w:val="00E9715F"/>
    <w:rsid w:val="00EA03D5"/>
    <w:rsid w:val="00EA1151"/>
    <w:rsid w:val="00EA79E0"/>
    <w:rsid w:val="00EB1D27"/>
    <w:rsid w:val="00EC0AE1"/>
    <w:rsid w:val="00EC23F5"/>
    <w:rsid w:val="00EC4F7B"/>
    <w:rsid w:val="00ED6956"/>
    <w:rsid w:val="00EE3FC8"/>
    <w:rsid w:val="00EE55EE"/>
    <w:rsid w:val="00EE6238"/>
    <w:rsid w:val="00EE65BC"/>
    <w:rsid w:val="00EF0392"/>
    <w:rsid w:val="00EF3DE0"/>
    <w:rsid w:val="00F0786C"/>
    <w:rsid w:val="00F1574B"/>
    <w:rsid w:val="00F22B56"/>
    <w:rsid w:val="00F449B2"/>
    <w:rsid w:val="00F50030"/>
    <w:rsid w:val="00F6256B"/>
    <w:rsid w:val="00F628FE"/>
    <w:rsid w:val="00F677F6"/>
    <w:rsid w:val="00F8555E"/>
    <w:rsid w:val="00F9157D"/>
    <w:rsid w:val="00FA14C6"/>
    <w:rsid w:val="00FB060D"/>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semiHidden/>
    <w:unhideWhenUsed/>
    <w:rsid w:val="00264463"/>
    <w:pPr>
      <w:tabs>
        <w:tab w:val="center" w:pos="4819"/>
        <w:tab w:val="right" w:pos="9638"/>
      </w:tabs>
    </w:pPr>
  </w:style>
  <w:style w:type="character" w:customStyle="1" w:styleId="HeaderChar">
    <w:name w:val="Header Char"/>
    <w:basedOn w:val="DefaultParagraphFont"/>
    <w:link w:val="Header"/>
    <w:semiHidden/>
    <w:rsid w:val="00264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34"/>
    <w:rsid w:val="000800AA"/>
    <w:rsid w:val="001A74F4"/>
    <w:rsid w:val="00202434"/>
    <w:rsid w:val="0021760A"/>
    <w:rsid w:val="0044153A"/>
    <w:rsid w:val="00461B5F"/>
    <w:rsid w:val="004F2F78"/>
    <w:rsid w:val="007F0C61"/>
    <w:rsid w:val="00B64D64"/>
    <w:rsid w:val="00BD1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16933</Words>
  <Characters>9652</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137</cp:revision>
  <dcterms:created xsi:type="dcterms:W3CDTF">2025-05-22T06:27:00Z</dcterms:created>
  <dcterms:modified xsi:type="dcterms:W3CDTF">2025-05-30T10:42:00Z</dcterms:modified>
</cp:coreProperties>
</file>