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E99E" w14:textId="7926E12B" w:rsidR="00541E45" w:rsidRPr="00AA54FA" w:rsidRDefault="00541E45" w:rsidP="000758D5">
      <w:pPr>
        <w:tabs>
          <w:tab w:val="left" w:pos="1134"/>
        </w:tabs>
        <w:jc w:val="both"/>
        <w:rPr>
          <w:rFonts w:ascii="Verdana" w:hAnsi="Verdana"/>
          <w:b/>
          <w:bCs/>
          <w:sz w:val="20"/>
        </w:rPr>
      </w:pPr>
      <w:r w:rsidRPr="00AA54FA">
        <w:rPr>
          <w:rFonts w:ascii="Verdana" w:hAnsi="Verdana"/>
          <w:b/>
          <w:bCs/>
          <w:sz w:val="20"/>
        </w:rPr>
        <w:t xml:space="preserve">DĖL </w:t>
      </w:r>
      <w:r w:rsidR="00525E4E" w:rsidRPr="00AA54FA">
        <w:rPr>
          <w:rFonts w:ascii="Verdana" w:hAnsi="Verdana"/>
          <w:b/>
          <w:bCs/>
          <w:sz w:val="20"/>
        </w:rPr>
        <w:t>PRETENZIJOS IŠNAGRINĖJIMO</w:t>
      </w:r>
      <w:r w:rsidR="0048086A" w:rsidRPr="00AA54FA">
        <w:rPr>
          <w:rFonts w:ascii="Verdana" w:hAnsi="Verdana"/>
          <w:b/>
          <w:bCs/>
          <w:sz w:val="20"/>
        </w:rPr>
        <w:t xml:space="preserve"> REZULTATO</w:t>
      </w:r>
    </w:p>
    <w:p w14:paraId="66E9B5E6" w14:textId="77777777" w:rsidR="00541E45" w:rsidRPr="00AA54FA" w:rsidRDefault="00541E45" w:rsidP="00541E45">
      <w:pPr>
        <w:tabs>
          <w:tab w:val="left" w:pos="1134"/>
        </w:tabs>
        <w:ind w:firstLine="709"/>
        <w:jc w:val="both"/>
        <w:rPr>
          <w:rFonts w:ascii="Verdana" w:hAnsi="Verdana"/>
          <w:sz w:val="20"/>
        </w:rPr>
      </w:pPr>
    </w:p>
    <w:p w14:paraId="665568A2" w14:textId="77777777" w:rsidR="00541E45" w:rsidRPr="00AA54FA" w:rsidRDefault="00541E45" w:rsidP="00541E45">
      <w:pPr>
        <w:tabs>
          <w:tab w:val="left" w:pos="1134"/>
        </w:tabs>
        <w:ind w:firstLine="709"/>
        <w:jc w:val="both"/>
        <w:rPr>
          <w:rFonts w:ascii="Verdana" w:hAnsi="Verdana"/>
          <w:sz w:val="20"/>
        </w:rPr>
      </w:pPr>
    </w:p>
    <w:p w14:paraId="0A17D891" w14:textId="77777777" w:rsidR="00FB2BEE" w:rsidRPr="00FB2BEE" w:rsidRDefault="00FB2BEE" w:rsidP="00FB2BEE">
      <w:pPr>
        <w:tabs>
          <w:tab w:val="left" w:pos="1134"/>
        </w:tabs>
        <w:spacing w:line="320" w:lineRule="exact"/>
        <w:ind w:firstLine="709"/>
        <w:jc w:val="both"/>
        <w:rPr>
          <w:rFonts w:ascii="Verdana" w:hAnsi="Verdana" w:cs="Arial"/>
          <w:bCs/>
          <w:sz w:val="20"/>
        </w:rPr>
      </w:pPr>
      <w:r w:rsidRPr="00FB2BEE">
        <w:rPr>
          <w:rFonts w:ascii="Verdana" w:hAnsi="Verdana" w:cs="Arial"/>
          <w:bCs/>
          <w:sz w:val="20"/>
        </w:rPr>
        <w:t>VšĮ „Lietuvos nacionalinis radijas ir televizija“ (toliau – </w:t>
      </w:r>
      <w:r w:rsidRPr="00FB2BEE">
        <w:rPr>
          <w:rFonts w:ascii="Verdana" w:hAnsi="Verdana" w:cs="Arial"/>
          <w:b/>
          <w:bCs/>
          <w:sz w:val="20"/>
        </w:rPr>
        <w:t>Perkančioji organizacija</w:t>
      </w:r>
      <w:r w:rsidRPr="00FB2BEE">
        <w:rPr>
          <w:rFonts w:ascii="Verdana" w:hAnsi="Verdana" w:cs="Arial"/>
          <w:bCs/>
          <w:sz w:val="20"/>
        </w:rPr>
        <w:t xml:space="preserve">) Centrinėje viešųjų pirkimų informacinėje sistemoje (toliau – </w:t>
      </w:r>
      <w:r w:rsidRPr="00FB2BEE">
        <w:rPr>
          <w:rFonts w:ascii="Verdana" w:hAnsi="Verdana" w:cs="Arial"/>
          <w:b/>
          <w:bCs/>
          <w:sz w:val="20"/>
        </w:rPr>
        <w:t>CVP IS</w:t>
      </w:r>
      <w:r w:rsidRPr="00FB2BEE">
        <w:rPr>
          <w:rFonts w:ascii="Verdana" w:hAnsi="Verdana" w:cs="Arial"/>
          <w:bCs/>
          <w:sz w:val="20"/>
        </w:rPr>
        <w:t xml:space="preserve">) vykdo supaprastintą pirkimą atviro konkurso būdu „Videokamerų komplektų parko papildymo pirkimas“ (toliau – </w:t>
      </w:r>
      <w:r w:rsidRPr="00FB2BEE">
        <w:rPr>
          <w:rFonts w:ascii="Verdana" w:hAnsi="Verdana" w:cs="Arial"/>
          <w:b/>
          <w:bCs/>
          <w:sz w:val="20"/>
        </w:rPr>
        <w:t>Pirkimas</w:t>
      </w:r>
      <w:r w:rsidRPr="00FB2BEE">
        <w:rPr>
          <w:rFonts w:ascii="Verdana" w:hAnsi="Verdana" w:cs="Arial"/>
          <w:bCs/>
          <w:sz w:val="20"/>
        </w:rPr>
        <w:t>), pirkimo Nr. 1904010.</w:t>
      </w:r>
    </w:p>
    <w:p w14:paraId="01830503" w14:textId="0F5E3741" w:rsidR="001D5EED" w:rsidRDefault="000D0101" w:rsidP="00175672">
      <w:pPr>
        <w:tabs>
          <w:tab w:val="left" w:pos="1134"/>
        </w:tabs>
        <w:spacing w:line="320" w:lineRule="exact"/>
        <w:ind w:firstLine="709"/>
        <w:jc w:val="both"/>
        <w:rPr>
          <w:rFonts w:ascii="Verdana" w:hAnsi="Verdana"/>
          <w:noProof/>
          <w:sz w:val="20"/>
        </w:rPr>
      </w:pPr>
      <w:r>
        <w:rPr>
          <w:rFonts w:ascii="Verdana" w:hAnsi="Verdana"/>
          <w:noProof/>
          <w:sz w:val="20"/>
        </w:rPr>
        <w:t xml:space="preserve">Perkančiajai organizacijai, įvertinus tai, kad </w:t>
      </w:r>
      <w:r w:rsidRPr="00A9233B">
        <w:rPr>
          <w:rFonts w:ascii="Verdana" w:hAnsi="Verdana"/>
          <w:noProof/>
          <w:sz w:val="20"/>
        </w:rPr>
        <w:t xml:space="preserve">Techninėje specifikacijoje nustatyti reikalavimai </w:t>
      </w:r>
      <w:r>
        <w:rPr>
          <w:rFonts w:ascii="Verdana" w:hAnsi="Verdana"/>
          <w:noProof/>
          <w:sz w:val="20"/>
        </w:rPr>
        <w:t xml:space="preserve">SD kortelėms </w:t>
      </w:r>
      <w:r w:rsidRPr="00A9233B">
        <w:rPr>
          <w:rFonts w:ascii="Verdana" w:hAnsi="Verdana"/>
          <w:noProof/>
          <w:sz w:val="20"/>
        </w:rPr>
        <w:t xml:space="preserve">buvo: „Nuskaitymo greitis </w:t>
      </w:r>
      <w:r w:rsidRPr="00A9233B">
        <w:rPr>
          <w:rFonts w:ascii="Verdana" w:hAnsi="Verdana"/>
          <w:b/>
          <w:bCs/>
          <w:noProof/>
          <w:sz w:val="20"/>
        </w:rPr>
        <w:t>ne mažiau</w:t>
      </w:r>
      <w:r w:rsidRPr="00A9233B">
        <w:rPr>
          <w:rFonts w:ascii="Verdana" w:hAnsi="Verdana"/>
          <w:noProof/>
          <w:sz w:val="20"/>
        </w:rPr>
        <w:t xml:space="preserve"> 300 MB/s“ bei „Įrašymo greitis </w:t>
      </w:r>
      <w:r w:rsidRPr="00A9233B">
        <w:rPr>
          <w:rFonts w:ascii="Verdana" w:hAnsi="Verdana"/>
          <w:b/>
          <w:bCs/>
          <w:noProof/>
          <w:sz w:val="20"/>
        </w:rPr>
        <w:t>ne mažiau</w:t>
      </w:r>
      <w:r w:rsidRPr="00A9233B">
        <w:rPr>
          <w:rFonts w:ascii="Verdana" w:hAnsi="Verdana"/>
          <w:noProof/>
          <w:sz w:val="20"/>
        </w:rPr>
        <w:t xml:space="preserve"> 280 MB/s“</w:t>
      </w:r>
      <w:r>
        <w:rPr>
          <w:rFonts w:ascii="Verdana" w:hAnsi="Verdana"/>
          <w:noProof/>
          <w:sz w:val="20"/>
        </w:rPr>
        <w:t xml:space="preserve">, o SD kortelių </w:t>
      </w:r>
      <w:r w:rsidRPr="00A9233B">
        <w:rPr>
          <w:rFonts w:ascii="Verdana" w:hAnsi="Verdana"/>
          <w:noProof/>
          <w:sz w:val="20"/>
        </w:rPr>
        <w:t xml:space="preserve">gamintojo viešai prieinamoje informacijoje nurodyta, jog siūlomų kortelių nuskaitymo greitis gali siekti </w:t>
      </w:r>
      <w:r w:rsidRPr="00A9233B">
        <w:rPr>
          <w:rFonts w:ascii="Verdana" w:hAnsi="Verdana"/>
          <w:b/>
          <w:bCs/>
          <w:noProof/>
          <w:sz w:val="20"/>
        </w:rPr>
        <w:t xml:space="preserve">iki </w:t>
      </w:r>
      <w:r w:rsidRPr="00A9233B">
        <w:rPr>
          <w:rFonts w:ascii="Verdana" w:hAnsi="Verdana"/>
          <w:noProof/>
          <w:sz w:val="20"/>
        </w:rPr>
        <w:t xml:space="preserve">300 MB/s (HD312), o įrašymo greitis gali siekti </w:t>
      </w:r>
      <w:r w:rsidRPr="00A9233B">
        <w:rPr>
          <w:rFonts w:ascii="Verdana" w:hAnsi="Verdana"/>
          <w:b/>
          <w:bCs/>
          <w:noProof/>
          <w:sz w:val="20"/>
        </w:rPr>
        <w:t>iki</w:t>
      </w:r>
      <w:r w:rsidRPr="00A9233B">
        <w:rPr>
          <w:rFonts w:ascii="Verdana" w:hAnsi="Verdana"/>
          <w:noProof/>
          <w:sz w:val="20"/>
        </w:rPr>
        <w:t xml:space="preserve"> 299 MB/s (HD312), </w:t>
      </w:r>
      <w:r>
        <w:rPr>
          <w:rFonts w:ascii="Verdana" w:hAnsi="Verdana"/>
          <w:noProof/>
          <w:sz w:val="20"/>
        </w:rPr>
        <w:t>kilo poreikis</w:t>
      </w:r>
      <w:r w:rsidRPr="00A9233B">
        <w:rPr>
          <w:rFonts w:ascii="Verdana" w:hAnsi="Verdana"/>
          <w:noProof/>
          <w:sz w:val="20"/>
        </w:rPr>
        <w:t xml:space="preserve"> </w:t>
      </w:r>
      <w:r>
        <w:rPr>
          <w:rFonts w:ascii="Verdana" w:hAnsi="Verdana"/>
          <w:noProof/>
          <w:sz w:val="20"/>
        </w:rPr>
        <w:t xml:space="preserve">iš naujo įvertinti reikalavimus, keliamus pirkimo objektui, tam, kad būtų pasiektas pirkimo tikslas – įsigyjamos </w:t>
      </w:r>
      <w:r>
        <w:rPr>
          <w:rFonts w:ascii="Verdana" w:hAnsi="Verdana"/>
          <w:noProof/>
          <w:sz w:val="20"/>
        </w:rPr>
        <w:t>P</w:t>
      </w:r>
      <w:r>
        <w:rPr>
          <w:rFonts w:ascii="Verdana" w:hAnsi="Verdana"/>
          <w:noProof/>
          <w:sz w:val="20"/>
        </w:rPr>
        <w:t xml:space="preserve">erkančiajai organizacijai reikalingos tam tikrų charakteristikų prekės. Atsižvelgiant į tai, kad šio pirkimo dokumentuose reikalavimai pirkimo objektui yra netikslingi, </w:t>
      </w:r>
      <w:r>
        <w:rPr>
          <w:rFonts w:ascii="Verdana" w:hAnsi="Verdana"/>
          <w:noProof/>
          <w:sz w:val="20"/>
        </w:rPr>
        <w:t>P</w:t>
      </w:r>
      <w:r w:rsidRPr="003A0646">
        <w:rPr>
          <w:rFonts w:ascii="Verdana" w:hAnsi="Verdana"/>
          <w:noProof/>
          <w:sz w:val="20"/>
        </w:rPr>
        <w:t>erkančioji organizacija</w:t>
      </w:r>
      <w:r>
        <w:rPr>
          <w:rFonts w:ascii="Verdana" w:hAnsi="Verdana"/>
          <w:noProof/>
          <w:sz w:val="20"/>
        </w:rPr>
        <w:t xml:space="preserve">, vadovaudamasi </w:t>
      </w:r>
      <w:bookmarkStart w:id="0" w:name="_Hlk152150011"/>
      <w:r>
        <w:rPr>
          <w:rFonts w:ascii="Verdana" w:hAnsi="Verdana"/>
          <w:noProof/>
          <w:sz w:val="20"/>
        </w:rPr>
        <w:t>VPĮ 29 str. 4 d.</w:t>
      </w:r>
      <w:bookmarkEnd w:id="0"/>
      <w:r>
        <w:rPr>
          <w:rFonts w:ascii="Verdana" w:hAnsi="Verdana"/>
          <w:noProof/>
          <w:sz w:val="20"/>
        </w:rPr>
        <w:t xml:space="preserve"> „</w:t>
      </w:r>
      <w:r w:rsidRPr="0078738E">
        <w:rPr>
          <w:rFonts w:ascii="Verdana" w:hAnsi="Verdana"/>
          <w:i/>
          <w:iCs/>
          <w:noProof/>
          <w:sz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ascii="Verdana" w:hAnsi="Verdana"/>
          <w:i/>
          <w:iCs/>
          <w:noProof/>
          <w:sz w:val="20"/>
        </w:rPr>
        <w:t xml:space="preserve"> </w:t>
      </w:r>
      <w:r w:rsidRPr="006B171C">
        <w:rPr>
          <w:rFonts w:ascii="Verdana" w:hAnsi="Verdana"/>
          <w:noProof/>
          <w:sz w:val="20"/>
        </w:rPr>
        <w:t>bei</w:t>
      </w:r>
      <w:r w:rsidRPr="006B171C">
        <w:t xml:space="preserve"> </w:t>
      </w:r>
      <w:r w:rsidRPr="006B171C">
        <w:rPr>
          <w:rFonts w:ascii="Verdana" w:hAnsi="Verdana"/>
          <w:noProof/>
          <w:sz w:val="20"/>
        </w:rPr>
        <w:t>Viešųjų pirkimų tarnybos formuojama praktika</w:t>
      </w:r>
      <w:r>
        <w:rPr>
          <w:rStyle w:val="FootnoteReference"/>
          <w:rFonts w:ascii="Verdana" w:hAnsi="Verdana"/>
          <w:noProof/>
          <w:sz w:val="20"/>
        </w:rPr>
        <w:footnoteReference w:id="1"/>
      </w:r>
      <w:r w:rsidRPr="0078738E">
        <w:rPr>
          <w:rFonts w:ascii="Verdana" w:hAnsi="Verdana"/>
          <w:noProof/>
          <w:sz w:val="20"/>
        </w:rPr>
        <w:t>,</w:t>
      </w:r>
      <w:r>
        <w:rPr>
          <w:rFonts w:ascii="Verdana" w:hAnsi="Verdana"/>
          <w:noProof/>
          <w:sz w:val="20"/>
        </w:rPr>
        <w:t xml:space="preserve"> kad „</w:t>
      </w:r>
      <w:r w:rsidRPr="006B171C">
        <w:rPr>
          <w:rFonts w:ascii="Verdana" w:hAnsi="Verdana"/>
          <w:i/>
          <w:iCs/>
          <w:noProof/>
          <w:sz w:val="20"/>
          <w:u w:val="single"/>
        </w:rPr>
        <w:t>jeigu suėjus pasiūlymų pateikimo terminui perkančioji organizacija pastebėjo esminių klaidų savo parengtuose dokumentuose, dėl kurių ji nepasieks pirkimu siekiamų tikslų</w:t>
      </w:r>
      <w:r w:rsidRPr="006B171C">
        <w:rPr>
          <w:rFonts w:ascii="Verdana" w:hAnsi="Verdana"/>
          <w:i/>
          <w:iCs/>
          <w:noProof/>
          <w:sz w:val="20"/>
        </w:rPr>
        <w:t xml:space="preserve"> (įsigyti jai reikalingų charakteristikų prekių/paslaugų/darbų), </w:t>
      </w:r>
      <w:r w:rsidRPr="006B171C">
        <w:rPr>
          <w:rFonts w:ascii="Verdana" w:hAnsi="Verdana"/>
          <w:i/>
          <w:iCs/>
          <w:noProof/>
          <w:sz w:val="20"/>
          <w:u w:val="single"/>
        </w:rPr>
        <w:t>ji sąlygų pataisyti negali nenutraukdama pirkimo</w:t>
      </w:r>
      <w:r w:rsidRPr="006B171C">
        <w:rPr>
          <w:rFonts w:ascii="Verdana" w:hAnsi="Verdana"/>
          <w:i/>
          <w:iCs/>
          <w:noProof/>
          <w:sz w:val="20"/>
        </w:rPr>
        <w:t xml:space="preserve">. </w:t>
      </w:r>
      <w:r>
        <w:rPr>
          <w:rFonts w:ascii="Verdana" w:hAnsi="Verdana"/>
          <w:i/>
          <w:iCs/>
          <w:noProof/>
          <w:sz w:val="20"/>
        </w:rPr>
        <w:t>&lt;...&gt;</w:t>
      </w:r>
      <w:r w:rsidRPr="0078738E">
        <w:rPr>
          <w:rFonts w:ascii="Verdana" w:hAnsi="Verdana"/>
          <w:noProof/>
          <w:sz w:val="20"/>
        </w:rPr>
        <w:t>“</w:t>
      </w:r>
      <w:r>
        <w:rPr>
          <w:rFonts w:ascii="Verdana" w:hAnsi="Verdana"/>
          <w:noProof/>
          <w:sz w:val="20"/>
        </w:rPr>
        <w:t xml:space="preserve"> priėmė sprendimą nutraukti Pirkimo procedūras ir</w:t>
      </w:r>
      <w:r w:rsidRPr="006B171C">
        <w:rPr>
          <w:rFonts w:ascii="Verdana" w:hAnsi="Verdana"/>
          <w:noProof/>
          <w:sz w:val="20"/>
        </w:rPr>
        <w:t>, patikslinus</w:t>
      </w:r>
      <w:r>
        <w:rPr>
          <w:rFonts w:ascii="Verdana" w:hAnsi="Verdana"/>
          <w:noProof/>
          <w:sz w:val="20"/>
        </w:rPr>
        <w:t>i</w:t>
      </w:r>
      <w:r w:rsidRPr="006B171C">
        <w:rPr>
          <w:rFonts w:ascii="Verdana" w:hAnsi="Verdana"/>
          <w:noProof/>
          <w:sz w:val="20"/>
        </w:rPr>
        <w:t xml:space="preserve"> Pirkimo dokumentus, skelb</w:t>
      </w:r>
      <w:r>
        <w:rPr>
          <w:rFonts w:ascii="Verdana" w:hAnsi="Verdana"/>
          <w:noProof/>
          <w:sz w:val="20"/>
        </w:rPr>
        <w:t>ti pirkimą</w:t>
      </w:r>
      <w:r w:rsidRPr="006B171C">
        <w:rPr>
          <w:rFonts w:ascii="Verdana" w:hAnsi="Verdana"/>
          <w:noProof/>
          <w:sz w:val="20"/>
        </w:rPr>
        <w:t xml:space="preserve"> iš naujo</w:t>
      </w:r>
      <w:r>
        <w:rPr>
          <w:rFonts w:ascii="Verdana" w:hAnsi="Verdana"/>
          <w:noProof/>
          <w:sz w:val="20"/>
        </w:rPr>
        <w:t>.</w:t>
      </w:r>
    </w:p>
    <w:p w14:paraId="704697E1" w14:textId="77777777" w:rsidR="000D0101" w:rsidRPr="00AA54FA" w:rsidRDefault="000D0101" w:rsidP="00175672">
      <w:pPr>
        <w:tabs>
          <w:tab w:val="left" w:pos="1134"/>
        </w:tabs>
        <w:spacing w:line="320" w:lineRule="exact"/>
        <w:ind w:firstLine="709"/>
        <w:jc w:val="both"/>
        <w:rPr>
          <w:rFonts w:ascii="Verdana" w:hAnsi="Verdana"/>
          <w:sz w:val="20"/>
        </w:rPr>
      </w:pPr>
    </w:p>
    <w:sectPr w:rsidR="000D0101" w:rsidRPr="00AA54FA" w:rsidSect="00273CF0">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15D2" w14:textId="77777777" w:rsidR="000D0101" w:rsidRDefault="000D0101" w:rsidP="000D0101">
      <w:r>
        <w:separator/>
      </w:r>
    </w:p>
  </w:endnote>
  <w:endnote w:type="continuationSeparator" w:id="0">
    <w:p w14:paraId="75C94ABF" w14:textId="77777777" w:rsidR="000D0101" w:rsidRDefault="000D0101" w:rsidP="000D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5AB6" w14:textId="77777777" w:rsidR="000D0101" w:rsidRDefault="000D0101" w:rsidP="000D0101">
      <w:r>
        <w:separator/>
      </w:r>
    </w:p>
  </w:footnote>
  <w:footnote w:type="continuationSeparator" w:id="0">
    <w:p w14:paraId="2C22E390" w14:textId="77777777" w:rsidR="000D0101" w:rsidRDefault="000D0101" w:rsidP="000D0101">
      <w:r>
        <w:continuationSeparator/>
      </w:r>
    </w:p>
  </w:footnote>
  <w:footnote w:id="1">
    <w:p w14:paraId="732A73F1" w14:textId="77777777" w:rsidR="000D0101" w:rsidRDefault="000D0101" w:rsidP="000D0101">
      <w:pPr>
        <w:pStyle w:val="FootnoteText"/>
      </w:pPr>
      <w:r>
        <w:rPr>
          <w:rStyle w:val="FootnoteReference"/>
        </w:rPr>
        <w:footnoteRef/>
      </w:r>
      <w:r>
        <w:t xml:space="preserve"> </w:t>
      </w:r>
      <w:hyperlink r:id="rId1" w:history="1">
        <w:r w:rsidRPr="00900B58">
          <w:rPr>
            <w:rStyle w:val="Hyperlink"/>
          </w:rPr>
          <w:t>https://klausk.vpt.lt/hc/lt/articles/360007314360-Ar-galima-nutraukti-pirkim%C4%85-po-to-kai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1169"/>
    <w:multiLevelType w:val="hybridMultilevel"/>
    <w:tmpl w:val="E30603DA"/>
    <w:lvl w:ilvl="0" w:tplc="0DA83A28">
      <w:start w:val="1"/>
      <w:numFmt w:val="decimal"/>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74E3337"/>
    <w:multiLevelType w:val="hybridMultilevel"/>
    <w:tmpl w:val="21DC3E80"/>
    <w:lvl w:ilvl="0" w:tplc="048E34A2">
      <w:start w:val="1"/>
      <w:numFmt w:val="decimal"/>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0185371"/>
    <w:multiLevelType w:val="hybridMultilevel"/>
    <w:tmpl w:val="C80E656A"/>
    <w:lvl w:ilvl="0" w:tplc="4B6CCBE4">
      <w:start w:val="1"/>
      <w:numFmt w:val="decimal"/>
      <w:lvlText w:val="%1."/>
      <w:lvlJc w:val="left"/>
      <w:pPr>
        <w:ind w:left="1069" w:hanging="360"/>
      </w:pPr>
      <w:rPr>
        <w:rFonts w:hint="default"/>
        <w:i w:val="0"/>
        <w:i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E8C3471"/>
    <w:multiLevelType w:val="hybridMultilevel"/>
    <w:tmpl w:val="BBB21866"/>
    <w:lvl w:ilvl="0" w:tplc="61F42E0C">
      <w:start w:val="1"/>
      <w:numFmt w:val="decimal"/>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01838095">
    <w:abstractNumId w:val="0"/>
  </w:num>
  <w:num w:numId="2" w16cid:durableId="2122726683">
    <w:abstractNumId w:val="3"/>
  </w:num>
  <w:num w:numId="3" w16cid:durableId="345987477">
    <w:abstractNumId w:val="1"/>
  </w:num>
  <w:num w:numId="4" w16cid:durableId="345062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45"/>
    <w:rsid w:val="00004E33"/>
    <w:rsid w:val="00007531"/>
    <w:rsid w:val="00060E93"/>
    <w:rsid w:val="000651A6"/>
    <w:rsid w:val="000758D5"/>
    <w:rsid w:val="000D0101"/>
    <w:rsid w:val="000E19E9"/>
    <w:rsid w:val="000F31CD"/>
    <w:rsid w:val="001257B0"/>
    <w:rsid w:val="001478E4"/>
    <w:rsid w:val="00170544"/>
    <w:rsid w:val="00175672"/>
    <w:rsid w:val="001D5EED"/>
    <w:rsid w:val="00273CF0"/>
    <w:rsid w:val="002B28BB"/>
    <w:rsid w:val="003126AF"/>
    <w:rsid w:val="0032432A"/>
    <w:rsid w:val="00444A57"/>
    <w:rsid w:val="00456AB1"/>
    <w:rsid w:val="0048086A"/>
    <w:rsid w:val="004B6E6D"/>
    <w:rsid w:val="004E66ED"/>
    <w:rsid w:val="004F1A88"/>
    <w:rsid w:val="00525E4E"/>
    <w:rsid w:val="00541E45"/>
    <w:rsid w:val="0057517C"/>
    <w:rsid w:val="005E702B"/>
    <w:rsid w:val="0060602B"/>
    <w:rsid w:val="006132C4"/>
    <w:rsid w:val="0061470D"/>
    <w:rsid w:val="00627102"/>
    <w:rsid w:val="006D7A05"/>
    <w:rsid w:val="0070434F"/>
    <w:rsid w:val="00721FAD"/>
    <w:rsid w:val="007949A4"/>
    <w:rsid w:val="007D263A"/>
    <w:rsid w:val="007F6DF8"/>
    <w:rsid w:val="00857445"/>
    <w:rsid w:val="008D219F"/>
    <w:rsid w:val="008D63D3"/>
    <w:rsid w:val="00922621"/>
    <w:rsid w:val="00934303"/>
    <w:rsid w:val="009A28CB"/>
    <w:rsid w:val="00A17266"/>
    <w:rsid w:val="00A35690"/>
    <w:rsid w:val="00A70774"/>
    <w:rsid w:val="00AA4DA1"/>
    <w:rsid w:val="00AA54FA"/>
    <w:rsid w:val="00AC28EF"/>
    <w:rsid w:val="00B37A35"/>
    <w:rsid w:val="00B83D0C"/>
    <w:rsid w:val="00BF1CEC"/>
    <w:rsid w:val="00C56177"/>
    <w:rsid w:val="00C6044F"/>
    <w:rsid w:val="00CA7923"/>
    <w:rsid w:val="00D20022"/>
    <w:rsid w:val="00D51C13"/>
    <w:rsid w:val="00D62C0B"/>
    <w:rsid w:val="00D9291C"/>
    <w:rsid w:val="00DA6D23"/>
    <w:rsid w:val="00DE00A9"/>
    <w:rsid w:val="00DE41D1"/>
    <w:rsid w:val="00DE5623"/>
    <w:rsid w:val="00E17597"/>
    <w:rsid w:val="00E837E2"/>
    <w:rsid w:val="00E93E20"/>
    <w:rsid w:val="00F632F2"/>
    <w:rsid w:val="00FA0408"/>
    <w:rsid w:val="00FB2BEE"/>
    <w:rsid w:val="00FC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ABE1"/>
  <w15:chartTrackingRefBased/>
  <w15:docId w15:val="{577C6F5F-21A3-4A75-81BC-405036A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E45"/>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949A4"/>
    <w:pPr>
      <w:spacing w:after="120" w:line="480" w:lineRule="auto"/>
      <w:ind w:left="283"/>
    </w:pPr>
    <w:rPr>
      <w:lang w:eastAsia="en-US"/>
    </w:rPr>
  </w:style>
  <w:style w:type="character" w:customStyle="1" w:styleId="BodyTextIndent2Char">
    <w:name w:val="Body Text Indent 2 Char"/>
    <w:basedOn w:val="DefaultParagraphFont"/>
    <w:link w:val="BodyTextIndent2"/>
    <w:rsid w:val="007949A4"/>
    <w:rPr>
      <w:rFonts w:ascii="Times New Roman" w:eastAsia="Times New Roman" w:hAnsi="Times New Roman" w:cs="Times New Roman"/>
      <w:sz w:val="24"/>
      <w:szCs w:val="20"/>
      <w:lang w:val="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rsid w:val="00DE41D1"/>
    <w:pPr>
      <w:tabs>
        <w:tab w:val="center" w:pos="4153"/>
        <w:tab w:val="right" w:pos="8306"/>
      </w:tabs>
    </w:pPr>
    <w:rPr>
      <w:szCs w:val="24"/>
      <w:lang w:val="en-GB"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rsid w:val="00DE41D1"/>
    <w:rPr>
      <w:rFonts w:ascii="Times New Roman" w:eastAsia="Times New Roman" w:hAnsi="Times New Roman" w:cs="Times New Roman"/>
      <w:sz w:val="24"/>
      <w:szCs w:val="24"/>
      <w:lang w:val="en-GB"/>
    </w:rPr>
  </w:style>
  <w:style w:type="paragraph" w:customStyle="1" w:styleId="Default">
    <w:name w:val="Default"/>
    <w:rsid w:val="00B37A3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body">
    <w:name w:val="Text body"/>
    <w:basedOn w:val="Normal"/>
    <w:rsid w:val="00AA54FA"/>
    <w:pPr>
      <w:suppressAutoHyphens/>
      <w:autoSpaceDN w:val="0"/>
      <w:spacing w:after="140" w:line="276" w:lineRule="auto"/>
      <w:textAlignment w:val="baseline"/>
    </w:pPr>
    <w:rPr>
      <w:rFonts w:ascii="Liberation Serif" w:eastAsia="Songti SC" w:hAnsi="Liberation Serif" w:cs="Arial Unicode MS"/>
      <w:kern w:val="3"/>
      <w:szCs w:val="24"/>
      <w:lang w:val="en-US" w:eastAsia="zh-CN" w:bidi="hi-IN"/>
    </w:rPr>
  </w:style>
  <w:style w:type="character" w:styleId="Hyperlink">
    <w:name w:val="Hyperlink"/>
    <w:rsid w:val="000D0101"/>
    <w:rPr>
      <w:color w:val="0000FF"/>
      <w:u w:val="single"/>
    </w:rPr>
  </w:style>
  <w:style w:type="paragraph" w:styleId="FootnoteText">
    <w:name w:val="footnote text"/>
    <w:basedOn w:val="Normal"/>
    <w:link w:val="FootnoteTextChar"/>
    <w:rsid w:val="000D0101"/>
    <w:rPr>
      <w:sz w:val="20"/>
    </w:rPr>
  </w:style>
  <w:style w:type="character" w:customStyle="1" w:styleId="FootnoteTextChar">
    <w:name w:val="Footnote Text Char"/>
    <w:basedOn w:val="DefaultParagraphFont"/>
    <w:link w:val="FootnoteText"/>
    <w:rsid w:val="000D0101"/>
    <w:rPr>
      <w:rFonts w:ascii="Times New Roman" w:eastAsia="Times New Roman" w:hAnsi="Times New Roman" w:cs="Times New Roman"/>
      <w:sz w:val="20"/>
      <w:szCs w:val="20"/>
      <w:lang w:val="lt-LT" w:eastAsia="lt-LT"/>
    </w:rPr>
  </w:style>
  <w:style w:type="character" w:styleId="FootnoteReference">
    <w:name w:val="footnote reference"/>
    <w:rsid w:val="000D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92795">
      <w:bodyDiv w:val="1"/>
      <w:marLeft w:val="0"/>
      <w:marRight w:val="0"/>
      <w:marTop w:val="0"/>
      <w:marBottom w:val="0"/>
      <w:divBdr>
        <w:top w:val="none" w:sz="0" w:space="0" w:color="auto"/>
        <w:left w:val="none" w:sz="0" w:space="0" w:color="auto"/>
        <w:bottom w:val="none" w:sz="0" w:space="0" w:color="auto"/>
        <w:right w:val="none" w:sz="0" w:space="0" w:color="auto"/>
      </w:divBdr>
    </w:div>
    <w:div w:id="5701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07314360-Ar-galima-nutraukti-pirkim%C4%85-po-to-k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1210</Words>
  <Characters>690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Navickė</cp:lastModifiedBy>
  <cp:revision>3</cp:revision>
  <cp:lastPrinted>2025-05-26T13:44:00Z</cp:lastPrinted>
  <dcterms:created xsi:type="dcterms:W3CDTF">2025-06-02T13:37:00Z</dcterms:created>
  <dcterms:modified xsi:type="dcterms:W3CDTF">2025-06-02T13:38:00Z</dcterms:modified>
</cp:coreProperties>
</file>