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7A6EFB1C" w:rsidR="003470BD" w:rsidRPr="004D4B7E" w:rsidRDefault="002A597A" w:rsidP="003470BD">
            <w:pPr>
              <w:jc w:val="both"/>
              <w:rPr>
                <w:rFonts w:ascii="Cambria" w:hAnsi="Cambria"/>
                <w:kern w:val="2"/>
                <w:sz w:val="20"/>
              </w:rPr>
            </w:pPr>
            <w:r w:rsidRPr="002A597A">
              <w:rPr>
                <w:rFonts w:ascii="Cambria" w:hAnsi="Cambria"/>
                <w:kern w:val="2"/>
                <w:sz w:val="20"/>
              </w:rPr>
              <w:t>Masažiniai krėslai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6FAD8233"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2A597A" w:rsidRPr="002A597A">
              <w:rPr>
                <w:rFonts w:ascii="Cambria" w:hAnsi="Cambria"/>
                <w:b/>
                <w:kern w:val="2"/>
                <w:sz w:val="20"/>
              </w:rPr>
              <w:t>masažiniai krėsl</w:t>
            </w:r>
            <w:r w:rsidR="002A597A">
              <w:rPr>
                <w:rFonts w:ascii="Cambria" w:hAnsi="Cambria"/>
                <w:b/>
                <w:kern w:val="2"/>
                <w:sz w:val="20"/>
              </w:rPr>
              <w:t xml:space="preserve">us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043C913"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2A597A">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r w:rsidR="002A597A" w:rsidRPr="002A597A">
              <w:rPr>
                <w:rFonts w:ascii="Cambria" w:hAnsi="Cambria"/>
                <w:b/>
                <w:kern w:val="2"/>
                <w:sz w:val="20"/>
              </w:rPr>
              <w:t>Masažiniai krėslai</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5385C228"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E9D24CA"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10.1</w:t>
            </w:r>
            <w:r w:rsidRPr="00321EFD">
              <w:rPr>
                <w:rFonts w:ascii="Cambria" w:hAnsi="Cambria"/>
                <w:kern w:val="2"/>
                <w:sz w:val="20"/>
              </w:rPr>
              <w:t xml:space="preserve"> p.); (ii) serviso dokumentacija lietuvių arba anglų kalba (Techninės specifikacijos </w:t>
            </w:r>
            <w:r>
              <w:rPr>
                <w:rFonts w:ascii="Cambria" w:hAnsi="Cambria"/>
                <w:kern w:val="2"/>
                <w:sz w:val="20"/>
              </w:rPr>
              <w:t>10.2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2A597A">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583E288"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2A597A">
              <w:rPr>
                <w:rFonts w:ascii="Cambria" w:hAnsi="Cambria"/>
                <w:kern w:val="2"/>
                <w:sz w:val="20"/>
              </w:rPr>
              <w:t>2</w:t>
            </w:r>
            <w:r w:rsidR="00F81B10" w:rsidRPr="00321EFD">
              <w:rPr>
                <w:rFonts w:ascii="Cambria" w:hAnsi="Cambria"/>
                <w:kern w:val="2"/>
                <w:sz w:val="20"/>
              </w:rPr>
              <w:t>0 (</w:t>
            </w:r>
            <w:r w:rsidR="002A597A">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140C5DB"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2A597A">
              <w:rPr>
                <w:rFonts w:ascii="Cambria" w:hAnsi="Cambria"/>
                <w:sz w:val="20"/>
              </w:rPr>
              <w:t>2</w:t>
            </w:r>
            <w:r w:rsidR="00F81B10" w:rsidRPr="00321EFD">
              <w:rPr>
                <w:rFonts w:ascii="Cambria" w:hAnsi="Cambria"/>
                <w:kern w:val="2"/>
                <w:sz w:val="20"/>
              </w:rPr>
              <w:t>0 (</w:t>
            </w:r>
            <w:r w:rsidR="002A597A">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rsidTr="00B20913">
        <w:trPr>
          <w:trHeight w:val="300"/>
        </w:trPr>
        <w:tc>
          <w:tcPr>
            <w:tcW w:w="2700"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6835" w:type="dxa"/>
            <w:gridSpan w:val="3"/>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6687B47B" w:rsidR="00F81B10" w:rsidRPr="00321EFD" w:rsidRDefault="00F81B10" w:rsidP="00F81B10">
            <w:pPr>
              <w:pStyle w:val="Komentarotekstas"/>
              <w:jc w:val="both"/>
              <w:rPr>
                <w:rFonts w:ascii="Cambria" w:hAnsi="Cambria"/>
              </w:rPr>
            </w:pPr>
            <w:r w:rsidRPr="00321EFD">
              <w:rPr>
                <w:rFonts w:ascii="Cambria" w:hAnsi="Cambria"/>
              </w:rPr>
              <w:t>12.2.</w:t>
            </w:r>
            <w:r w:rsidR="00E54433">
              <w:rPr>
                <w:rFonts w:ascii="Cambria" w:hAnsi="Cambria"/>
              </w:rPr>
              <w:t>2</w:t>
            </w:r>
            <w:r w:rsidRPr="00321EFD">
              <w:rPr>
                <w:rFonts w:ascii="Cambria" w:hAnsi="Cambria"/>
              </w:rPr>
              <w:t>. jeigu Tiekėjas nesilaiko Sutartyje nustatytų Prekių tiekimo terminų 2 (du) kartus iš eilės arba vėluoja pristatyti Prekes daugiau nei 10 darbo dienų Sutartyje nustatytas Prekių pristatymo terminas;</w:t>
            </w:r>
          </w:p>
          <w:p w14:paraId="00C9D0E2" w14:textId="19DA3D1C" w:rsidR="00F81B10" w:rsidRPr="00321EFD" w:rsidRDefault="00F81B10" w:rsidP="00F81B10">
            <w:pPr>
              <w:pStyle w:val="Komentarotekstas"/>
              <w:jc w:val="both"/>
              <w:rPr>
                <w:rFonts w:ascii="Cambria" w:hAnsi="Cambria"/>
              </w:rPr>
            </w:pPr>
            <w:r w:rsidRPr="00321EFD">
              <w:rPr>
                <w:rFonts w:ascii="Cambria" w:hAnsi="Cambria"/>
              </w:rPr>
              <w:t>12.2.</w:t>
            </w:r>
            <w:r w:rsidR="00E54433">
              <w:rPr>
                <w:rFonts w:ascii="Cambria" w:hAnsi="Cambria"/>
              </w:rPr>
              <w:t>3</w:t>
            </w:r>
            <w:r w:rsidRPr="00321EFD">
              <w:rPr>
                <w:rFonts w:ascii="Cambria" w:hAnsi="Cambria"/>
              </w:rPr>
              <w:t>. jeigu Tiekėjas pažeidžia Prekių pristatymo terminus ir priskaičiuotų netesybų už vėlavimą suma viršija 20 (dvidešimt) proc. Pradinės sutarties vertės;</w:t>
            </w:r>
          </w:p>
          <w:p w14:paraId="595F1656" w14:textId="60FA445B" w:rsidR="00F81B10" w:rsidRPr="00321EFD" w:rsidRDefault="00F81B10" w:rsidP="00F81B10">
            <w:pPr>
              <w:pStyle w:val="Komentarotekstas"/>
              <w:jc w:val="both"/>
              <w:rPr>
                <w:rFonts w:ascii="Cambria" w:hAnsi="Cambria"/>
              </w:rPr>
            </w:pPr>
            <w:r w:rsidRPr="00321EFD">
              <w:rPr>
                <w:rFonts w:ascii="Cambria" w:hAnsi="Cambria"/>
              </w:rPr>
              <w:t>12.2.</w:t>
            </w:r>
            <w:r w:rsidR="00E54433">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06CCFA86" w:rsidR="00F81B10" w:rsidRPr="00321EFD" w:rsidRDefault="00F81B10" w:rsidP="00F81B10">
            <w:pPr>
              <w:pStyle w:val="Komentarotekstas"/>
              <w:jc w:val="both"/>
              <w:rPr>
                <w:rFonts w:ascii="Cambria" w:hAnsi="Cambria"/>
              </w:rPr>
            </w:pPr>
            <w:r w:rsidRPr="00321EFD">
              <w:rPr>
                <w:rFonts w:ascii="Cambria" w:hAnsi="Cambria"/>
              </w:rPr>
              <w:t>12.2.</w:t>
            </w:r>
            <w:r w:rsidR="00E54433">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0589BE12" w:rsidR="00F81B10" w:rsidRPr="00321EFD" w:rsidRDefault="00F81B10" w:rsidP="00F81B10">
            <w:pPr>
              <w:pStyle w:val="Komentarotekstas"/>
              <w:jc w:val="both"/>
              <w:rPr>
                <w:rFonts w:ascii="Cambria" w:hAnsi="Cambria"/>
              </w:rPr>
            </w:pPr>
            <w:r w:rsidRPr="00321EFD">
              <w:rPr>
                <w:rFonts w:ascii="Cambria" w:hAnsi="Cambria"/>
              </w:rPr>
              <w:lastRenderedPageBreak/>
              <w:t>12.2.</w:t>
            </w:r>
            <w:r w:rsidR="00E54433">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02A0905F"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w:t>
            </w:r>
            <w:r w:rsidR="00E54433">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77777777"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1BF614E6" w:rsidR="00F81B10" w:rsidRPr="00321EF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4CF3B52" w:rsidR="001B1B21" w:rsidRDefault="001B1B21" w:rsidP="001B1B21">
      <w:pPr>
        <w:jc w:val="center"/>
        <w:rPr>
          <w:rFonts w:ascii="Cambria" w:hAnsi="Cambria"/>
          <w:sz w:val="20"/>
        </w:rPr>
      </w:pPr>
      <w:r w:rsidRPr="00321EFD">
        <w:rPr>
          <w:rFonts w:ascii="Cambria" w:hAnsi="Cambria"/>
          <w:sz w:val="20"/>
        </w:rPr>
        <w:t>PREKIŲ ŽINIARAŠTIS</w:t>
      </w:r>
    </w:p>
    <w:p w14:paraId="7D23AEA2" w14:textId="5CEF6AD8" w:rsidR="00E54433" w:rsidRDefault="00E54433" w:rsidP="001B1B21">
      <w:pPr>
        <w:jc w:val="center"/>
        <w:rPr>
          <w:rFonts w:ascii="Cambria" w:hAnsi="Cambria"/>
          <w:sz w:val="20"/>
        </w:rPr>
      </w:pPr>
    </w:p>
    <w:tbl>
      <w:tblPr>
        <w:tblW w:w="10212" w:type="dxa"/>
        <w:jc w:val="center"/>
        <w:tblLook w:val="04A0" w:firstRow="1" w:lastRow="0" w:firstColumn="1" w:lastColumn="0" w:noHBand="0" w:noVBand="1"/>
      </w:tblPr>
      <w:tblGrid>
        <w:gridCol w:w="721"/>
        <w:gridCol w:w="2275"/>
        <w:gridCol w:w="2331"/>
        <w:gridCol w:w="832"/>
        <w:gridCol w:w="888"/>
        <w:gridCol w:w="999"/>
        <w:gridCol w:w="1038"/>
        <w:gridCol w:w="1128"/>
      </w:tblGrid>
      <w:tr w:rsidR="00E54433" w:rsidRPr="00E54433" w14:paraId="5DE3951A" w14:textId="77777777" w:rsidTr="00E54433">
        <w:trPr>
          <w:trHeight w:val="764"/>
          <w:jc w:val="center"/>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B3124" w14:textId="77777777" w:rsidR="00E54433" w:rsidRDefault="00E54433" w:rsidP="00E54433">
            <w:pPr>
              <w:jc w:val="center"/>
              <w:rPr>
                <w:rFonts w:ascii="Cambria" w:hAnsi="Cambria" w:cs="Calibri"/>
                <w:b/>
                <w:bCs/>
                <w:sz w:val="20"/>
                <w:lang w:eastAsia="lt-LT"/>
              </w:rPr>
            </w:pPr>
            <w:r w:rsidRPr="00E54433">
              <w:rPr>
                <w:rFonts w:ascii="Cambria" w:hAnsi="Cambria" w:cs="Calibri"/>
                <w:b/>
                <w:bCs/>
                <w:sz w:val="20"/>
                <w:lang w:eastAsia="lt-LT"/>
              </w:rPr>
              <w:t>Eil.</w:t>
            </w:r>
          </w:p>
          <w:p w14:paraId="1238B0FA" w14:textId="2710B7E2" w:rsidR="00E54433" w:rsidRPr="00E54433" w:rsidRDefault="00E54433" w:rsidP="00E54433">
            <w:pPr>
              <w:jc w:val="center"/>
              <w:rPr>
                <w:rFonts w:ascii="Cambria" w:hAnsi="Cambria" w:cs="Calibri"/>
                <w:b/>
                <w:bCs/>
                <w:sz w:val="20"/>
                <w:lang w:eastAsia="lt-LT"/>
              </w:rPr>
            </w:pPr>
            <w:r w:rsidRPr="00E54433">
              <w:rPr>
                <w:rFonts w:ascii="Cambria" w:hAnsi="Cambria" w:cs="Calibri"/>
                <w:b/>
                <w:bCs/>
                <w:sz w:val="20"/>
                <w:lang w:eastAsia="lt-LT"/>
              </w:rPr>
              <w:t>Nr.</w:t>
            </w:r>
          </w:p>
        </w:tc>
        <w:tc>
          <w:tcPr>
            <w:tcW w:w="2275" w:type="dxa"/>
            <w:tcBorders>
              <w:top w:val="single" w:sz="4" w:space="0" w:color="auto"/>
              <w:left w:val="nil"/>
              <w:bottom w:val="single" w:sz="4" w:space="0" w:color="auto"/>
              <w:right w:val="single" w:sz="4" w:space="0" w:color="auto"/>
            </w:tcBorders>
            <w:shd w:val="clear" w:color="000000" w:fill="FFFFFF"/>
            <w:vAlign w:val="center"/>
            <w:hideMark/>
          </w:tcPr>
          <w:p w14:paraId="23EA1281" w14:textId="77777777" w:rsidR="00E54433" w:rsidRPr="00E54433" w:rsidRDefault="00E54433" w:rsidP="00E54433">
            <w:pPr>
              <w:jc w:val="center"/>
              <w:rPr>
                <w:rFonts w:ascii="Cambria" w:hAnsi="Cambria" w:cs="Calibri"/>
                <w:b/>
                <w:bCs/>
                <w:sz w:val="20"/>
                <w:lang w:eastAsia="lt-LT"/>
              </w:rPr>
            </w:pPr>
            <w:r w:rsidRPr="00E54433">
              <w:rPr>
                <w:rFonts w:ascii="Cambria" w:hAnsi="Cambria" w:cs="Calibri"/>
                <w:b/>
                <w:bCs/>
                <w:sz w:val="20"/>
                <w:lang w:eastAsia="lt-LT"/>
              </w:rPr>
              <w:t>Pavadinimas</w:t>
            </w:r>
          </w:p>
        </w:tc>
        <w:tc>
          <w:tcPr>
            <w:tcW w:w="2331" w:type="dxa"/>
            <w:tcBorders>
              <w:top w:val="single" w:sz="4" w:space="0" w:color="auto"/>
              <w:left w:val="nil"/>
              <w:bottom w:val="single" w:sz="4" w:space="0" w:color="auto"/>
              <w:right w:val="single" w:sz="4" w:space="0" w:color="auto"/>
            </w:tcBorders>
            <w:shd w:val="clear" w:color="000000" w:fill="FFFFFF"/>
            <w:vAlign w:val="center"/>
            <w:hideMark/>
          </w:tcPr>
          <w:p w14:paraId="65D4B4BB" w14:textId="77777777" w:rsidR="00E54433" w:rsidRPr="00E54433" w:rsidRDefault="00E54433" w:rsidP="00E54433">
            <w:pPr>
              <w:jc w:val="center"/>
              <w:rPr>
                <w:rFonts w:ascii="Cambria" w:hAnsi="Cambria" w:cs="Calibri"/>
                <w:b/>
                <w:bCs/>
                <w:sz w:val="20"/>
                <w:lang w:eastAsia="lt-LT"/>
              </w:rPr>
            </w:pPr>
            <w:r w:rsidRPr="00E54433">
              <w:rPr>
                <w:rFonts w:ascii="Cambria" w:hAnsi="Cambria" w:cs="Calibri"/>
                <w:b/>
                <w:bCs/>
                <w:sz w:val="20"/>
                <w:lang w:eastAsia="lt-LT"/>
              </w:rPr>
              <w:t>Modelis/katalogo numeris, gamintojo pavadinimas</w:t>
            </w:r>
          </w:p>
        </w:tc>
        <w:tc>
          <w:tcPr>
            <w:tcW w:w="832" w:type="dxa"/>
            <w:tcBorders>
              <w:top w:val="single" w:sz="4" w:space="0" w:color="auto"/>
              <w:left w:val="nil"/>
              <w:bottom w:val="single" w:sz="4" w:space="0" w:color="auto"/>
              <w:right w:val="single" w:sz="4" w:space="0" w:color="auto"/>
            </w:tcBorders>
            <w:shd w:val="clear" w:color="auto" w:fill="auto"/>
            <w:vAlign w:val="center"/>
            <w:hideMark/>
          </w:tcPr>
          <w:p w14:paraId="2C2649EB" w14:textId="77777777" w:rsidR="00E54433" w:rsidRPr="00E54433" w:rsidRDefault="00E54433" w:rsidP="00E54433">
            <w:pPr>
              <w:jc w:val="center"/>
              <w:rPr>
                <w:rFonts w:ascii="Cambria" w:hAnsi="Cambria" w:cs="Calibri"/>
                <w:b/>
                <w:bCs/>
                <w:color w:val="000000"/>
                <w:sz w:val="20"/>
                <w:lang w:eastAsia="lt-LT"/>
              </w:rPr>
            </w:pPr>
            <w:r w:rsidRPr="00E54433">
              <w:rPr>
                <w:rFonts w:ascii="Cambria" w:hAnsi="Cambria" w:cs="Calibri"/>
                <w:b/>
                <w:bCs/>
                <w:color w:val="000000"/>
                <w:sz w:val="20"/>
                <w:lang w:eastAsia="lt-LT"/>
              </w:rPr>
              <w:t>Mato vnt.</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53EE89FF" w14:textId="77777777" w:rsidR="00E54433" w:rsidRPr="00E54433" w:rsidRDefault="00E54433" w:rsidP="00E54433">
            <w:pPr>
              <w:jc w:val="center"/>
              <w:rPr>
                <w:rFonts w:ascii="Cambria" w:hAnsi="Cambria" w:cs="Calibri"/>
                <w:b/>
                <w:bCs/>
                <w:sz w:val="20"/>
                <w:lang w:eastAsia="lt-LT"/>
              </w:rPr>
            </w:pPr>
            <w:r w:rsidRPr="00E54433">
              <w:rPr>
                <w:rFonts w:ascii="Cambria" w:hAnsi="Cambria" w:cs="Calibri"/>
                <w:b/>
                <w:bCs/>
                <w:sz w:val="20"/>
                <w:lang w:eastAsia="lt-LT"/>
              </w:rPr>
              <w:t>Kiekis</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0130DC60" w14:textId="77777777" w:rsidR="00E54433" w:rsidRPr="00E54433" w:rsidRDefault="00E54433" w:rsidP="00E54433">
            <w:pPr>
              <w:jc w:val="center"/>
              <w:rPr>
                <w:rFonts w:ascii="Cambria" w:hAnsi="Cambria" w:cs="Calibri"/>
                <w:b/>
                <w:bCs/>
                <w:sz w:val="20"/>
                <w:lang w:eastAsia="lt-LT"/>
              </w:rPr>
            </w:pPr>
            <w:r w:rsidRPr="00E54433">
              <w:rPr>
                <w:rFonts w:ascii="Cambria" w:hAnsi="Cambria" w:cs="Calibri"/>
                <w:b/>
                <w:bCs/>
                <w:sz w:val="20"/>
                <w:lang w:eastAsia="lt-LT"/>
              </w:rPr>
              <w:t>Vieneto kaina Eur</w:t>
            </w:r>
            <w:r w:rsidRPr="00E54433">
              <w:rPr>
                <w:rFonts w:ascii="Cambria" w:hAnsi="Cambria" w:cs="Calibri"/>
                <w:b/>
                <w:bCs/>
                <w:sz w:val="20"/>
                <w:lang w:eastAsia="lt-LT"/>
              </w:rPr>
              <w:br/>
              <w:t>(be PVM)</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4A82EF18" w14:textId="77777777" w:rsidR="00E54433" w:rsidRPr="00E54433" w:rsidRDefault="00E54433" w:rsidP="00E54433">
            <w:pPr>
              <w:jc w:val="center"/>
              <w:rPr>
                <w:rFonts w:ascii="Cambria" w:hAnsi="Cambria" w:cs="Calibri"/>
                <w:b/>
                <w:bCs/>
                <w:sz w:val="20"/>
                <w:lang w:eastAsia="lt-LT"/>
              </w:rPr>
            </w:pPr>
            <w:r w:rsidRPr="00E54433">
              <w:rPr>
                <w:rFonts w:ascii="Cambria" w:hAnsi="Cambria" w:cs="Calibri"/>
                <w:b/>
                <w:bCs/>
                <w:sz w:val="20"/>
                <w:lang w:eastAsia="lt-LT"/>
              </w:rPr>
              <w:t xml:space="preserve">Kaina viso    Eur </w:t>
            </w:r>
            <w:r w:rsidRPr="00E54433">
              <w:rPr>
                <w:rFonts w:ascii="Cambria" w:hAnsi="Cambria" w:cs="Calibri"/>
                <w:b/>
                <w:bCs/>
                <w:sz w:val="20"/>
                <w:lang w:eastAsia="lt-LT"/>
              </w:rPr>
              <w:br/>
              <w:t>(be PVM)</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C1B499C" w14:textId="77777777" w:rsidR="00E54433" w:rsidRPr="00E54433" w:rsidRDefault="00E54433" w:rsidP="00E54433">
            <w:pPr>
              <w:jc w:val="center"/>
              <w:rPr>
                <w:rFonts w:ascii="Cambria" w:hAnsi="Cambria" w:cs="Calibri"/>
                <w:b/>
                <w:bCs/>
                <w:sz w:val="20"/>
                <w:lang w:eastAsia="lt-LT"/>
              </w:rPr>
            </w:pPr>
            <w:r w:rsidRPr="00E54433">
              <w:rPr>
                <w:rFonts w:ascii="Cambria" w:hAnsi="Cambria" w:cs="Calibri"/>
                <w:b/>
                <w:bCs/>
                <w:sz w:val="20"/>
                <w:lang w:eastAsia="lt-LT"/>
              </w:rPr>
              <w:t xml:space="preserve">Kaina viso    Eur </w:t>
            </w:r>
            <w:r w:rsidRPr="00E54433">
              <w:rPr>
                <w:rFonts w:ascii="Cambria" w:hAnsi="Cambria" w:cs="Calibri"/>
                <w:b/>
                <w:bCs/>
                <w:sz w:val="20"/>
                <w:lang w:eastAsia="lt-LT"/>
              </w:rPr>
              <w:br/>
              <w:t>(su PVM)</w:t>
            </w:r>
          </w:p>
        </w:tc>
      </w:tr>
      <w:tr w:rsidR="00E54433" w:rsidRPr="00E54433" w14:paraId="7B084AB6" w14:textId="77777777" w:rsidTr="00E54433">
        <w:trPr>
          <w:trHeight w:val="244"/>
          <w:jc w:val="center"/>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7EDBDF75" w14:textId="77777777" w:rsidR="00E54433" w:rsidRPr="00E54433" w:rsidRDefault="00E54433" w:rsidP="00E54433">
            <w:pPr>
              <w:jc w:val="center"/>
              <w:rPr>
                <w:rFonts w:ascii="Cambria" w:hAnsi="Cambria" w:cs="Calibri"/>
                <w:color w:val="000000"/>
                <w:sz w:val="20"/>
                <w:lang w:eastAsia="lt-LT"/>
              </w:rPr>
            </w:pPr>
            <w:r w:rsidRPr="00E54433">
              <w:rPr>
                <w:rFonts w:ascii="Cambria" w:hAnsi="Cambria" w:cs="Calibri"/>
                <w:color w:val="000000"/>
                <w:sz w:val="20"/>
                <w:lang w:eastAsia="lt-LT"/>
              </w:rPr>
              <w:t>1</w:t>
            </w:r>
          </w:p>
        </w:tc>
        <w:tc>
          <w:tcPr>
            <w:tcW w:w="2275" w:type="dxa"/>
            <w:tcBorders>
              <w:top w:val="nil"/>
              <w:left w:val="nil"/>
              <w:bottom w:val="single" w:sz="4" w:space="0" w:color="auto"/>
              <w:right w:val="single" w:sz="4" w:space="0" w:color="auto"/>
            </w:tcBorders>
            <w:shd w:val="clear" w:color="auto" w:fill="auto"/>
            <w:noWrap/>
            <w:vAlign w:val="center"/>
            <w:hideMark/>
          </w:tcPr>
          <w:p w14:paraId="5418839D" w14:textId="77777777" w:rsidR="00E54433" w:rsidRPr="00E54433" w:rsidRDefault="00E54433" w:rsidP="00E54433">
            <w:pPr>
              <w:rPr>
                <w:rFonts w:ascii="Cambria" w:hAnsi="Cambria" w:cs="Calibri"/>
                <w:color w:val="000000"/>
                <w:sz w:val="20"/>
                <w:lang w:eastAsia="lt-LT"/>
              </w:rPr>
            </w:pPr>
            <w:r w:rsidRPr="00E54433">
              <w:rPr>
                <w:rFonts w:ascii="Cambria" w:hAnsi="Cambria" w:cs="Calibri"/>
                <w:color w:val="000000"/>
                <w:sz w:val="20"/>
                <w:lang w:eastAsia="lt-LT"/>
              </w:rPr>
              <w:t>Masažiniai krėslai</w:t>
            </w:r>
          </w:p>
        </w:tc>
        <w:tc>
          <w:tcPr>
            <w:tcW w:w="2331" w:type="dxa"/>
            <w:tcBorders>
              <w:top w:val="nil"/>
              <w:left w:val="nil"/>
              <w:bottom w:val="single" w:sz="4" w:space="0" w:color="auto"/>
              <w:right w:val="single" w:sz="4" w:space="0" w:color="auto"/>
            </w:tcBorders>
            <w:shd w:val="clear" w:color="auto" w:fill="auto"/>
            <w:vAlign w:val="center"/>
            <w:hideMark/>
          </w:tcPr>
          <w:p w14:paraId="4B7DFE78" w14:textId="77777777" w:rsidR="00E54433" w:rsidRPr="00E54433" w:rsidRDefault="00E54433" w:rsidP="00E54433">
            <w:pPr>
              <w:rPr>
                <w:rFonts w:ascii="Cambria" w:hAnsi="Cambria" w:cs="Calibri"/>
                <w:color w:val="000000"/>
                <w:sz w:val="20"/>
                <w:lang w:eastAsia="lt-LT"/>
              </w:rPr>
            </w:pPr>
            <w:r w:rsidRPr="00E54433">
              <w:rPr>
                <w:rFonts w:ascii="Cambria" w:hAnsi="Cambria" w:cs="Calibri"/>
                <w:color w:val="000000"/>
                <w:sz w:val="20"/>
                <w:lang w:eastAsia="lt-LT"/>
              </w:rPr>
              <w:t> </w:t>
            </w:r>
          </w:p>
        </w:tc>
        <w:tc>
          <w:tcPr>
            <w:tcW w:w="832" w:type="dxa"/>
            <w:tcBorders>
              <w:top w:val="nil"/>
              <w:left w:val="nil"/>
              <w:bottom w:val="single" w:sz="4" w:space="0" w:color="auto"/>
              <w:right w:val="single" w:sz="4" w:space="0" w:color="auto"/>
            </w:tcBorders>
            <w:shd w:val="clear" w:color="auto" w:fill="auto"/>
            <w:vAlign w:val="center"/>
            <w:hideMark/>
          </w:tcPr>
          <w:p w14:paraId="3B9812AB" w14:textId="77777777" w:rsidR="00E54433" w:rsidRPr="00E54433" w:rsidRDefault="00E54433" w:rsidP="00E54433">
            <w:pPr>
              <w:jc w:val="center"/>
              <w:rPr>
                <w:rFonts w:ascii="Cambria" w:hAnsi="Cambria" w:cs="Calibri"/>
                <w:color w:val="000000"/>
                <w:sz w:val="20"/>
                <w:lang w:eastAsia="lt-LT"/>
              </w:rPr>
            </w:pPr>
            <w:r w:rsidRPr="00E54433">
              <w:rPr>
                <w:rFonts w:ascii="Cambria" w:hAnsi="Cambria" w:cs="Calibri"/>
                <w:color w:val="000000"/>
                <w:sz w:val="20"/>
                <w:lang w:eastAsia="lt-LT"/>
              </w:rPr>
              <w:t>vnt.</w:t>
            </w:r>
          </w:p>
        </w:tc>
        <w:tc>
          <w:tcPr>
            <w:tcW w:w="888" w:type="dxa"/>
            <w:tcBorders>
              <w:top w:val="nil"/>
              <w:left w:val="nil"/>
              <w:bottom w:val="single" w:sz="4" w:space="0" w:color="auto"/>
              <w:right w:val="single" w:sz="4" w:space="0" w:color="auto"/>
            </w:tcBorders>
            <w:shd w:val="clear" w:color="auto" w:fill="auto"/>
            <w:vAlign w:val="center"/>
            <w:hideMark/>
          </w:tcPr>
          <w:p w14:paraId="5410F220" w14:textId="77777777" w:rsidR="00E54433" w:rsidRPr="00E54433" w:rsidRDefault="00E54433" w:rsidP="00E54433">
            <w:pPr>
              <w:jc w:val="center"/>
              <w:rPr>
                <w:rFonts w:ascii="Cambria" w:hAnsi="Cambria" w:cs="Calibri"/>
                <w:color w:val="000000"/>
                <w:sz w:val="20"/>
                <w:lang w:eastAsia="lt-LT"/>
              </w:rPr>
            </w:pPr>
            <w:r w:rsidRPr="00E54433">
              <w:rPr>
                <w:rFonts w:ascii="Cambria" w:hAnsi="Cambria" w:cs="Calibri"/>
                <w:color w:val="000000"/>
                <w:sz w:val="20"/>
                <w:lang w:eastAsia="lt-LT"/>
              </w:rPr>
              <w:t>2</w:t>
            </w:r>
          </w:p>
        </w:tc>
        <w:tc>
          <w:tcPr>
            <w:tcW w:w="999" w:type="dxa"/>
            <w:tcBorders>
              <w:top w:val="nil"/>
              <w:left w:val="nil"/>
              <w:bottom w:val="single" w:sz="4" w:space="0" w:color="auto"/>
              <w:right w:val="single" w:sz="4" w:space="0" w:color="auto"/>
            </w:tcBorders>
            <w:shd w:val="clear" w:color="auto" w:fill="auto"/>
            <w:vAlign w:val="center"/>
            <w:hideMark/>
          </w:tcPr>
          <w:p w14:paraId="2925A4D2" w14:textId="77777777" w:rsidR="00E54433" w:rsidRPr="00E54433" w:rsidRDefault="00E54433" w:rsidP="00E54433">
            <w:pPr>
              <w:rPr>
                <w:rFonts w:ascii="Cambria" w:hAnsi="Cambria" w:cs="Calibri"/>
                <w:color w:val="000000"/>
                <w:sz w:val="20"/>
                <w:lang w:eastAsia="lt-LT"/>
              </w:rPr>
            </w:pPr>
            <w:r w:rsidRPr="00E54433">
              <w:rPr>
                <w:rFonts w:ascii="Cambria" w:hAnsi="Cambria" w:cs="Calibri"/>
                <w:color w:val="000000"/>
                <w:sz w:val="20"/>
                <w:lang w:eastAsia="lt-LT"/>
              </w:rPr>
              <w:t> </w:t>
            </w:r>
          </w:p>
        </w:tc>
        <w:tc>
          <w:tcPr>
            <w:tcW w:w="1038" w:type="dxa"/>
            <w:tcBorders>
              <w:top w:val="nil"/>
              <w:left w:val="nil"/>
              <w:bottom w:val="single" w:sz="4" w:space="0" w:color="auto"/>
              <w:right w:val="single" w:sz="4" w:space="0" w:color="auto"/>
            </w:tcBorders>
            <w:shd w:val="clear" w:color="auto" w:fill="auto"/>
            <w:vAlign w:val="center"/>
            <w:hideMark/>
          </w:tcPr>
          <w:p w14:paraId="2430D50C" w14:textId="77777777" w:rsidR="00E54433" w:rsidRPr="00E54433" w:rsidRDefault="00E54433" w:rsidP="00E54433">
            <w:pPr>
              <w:rPr>
                <w:rFonts w:ascii="Cambria" w:hAnsi="Cambria" w:cs="Calibri"/>
                <w:color w:val="000000"/>
                <w:sz w:val="20"/>
                <w:lang w:eastAsia="lt-LT"/>
              </w:rPr>
            </w:pPr>
            <w:r w:rsidRPr="00E54433">
              <w:rPr>
                <w:rFonts w:ascii="Cambria" w:hAnsi="Cambria" w:cs="Calibri"/>
                <w:color w:val="000000"/>
                <w:sz w:val="20"/>
                <w:lang w:eastAsia="lt-LT"/>
              </w:rPr>
              <w:t> </w:t>
            </w:r>
          </w:p>
        </w:tc>
        <w:tc>
          <w:tcPr>
            <w:tcW w:w="1128" w:type="dxa"/>
            <w:tcBorders>
              <w:top w:val="nil"/>
              <w:left w:val="nil"/>
              <w:bottom w:val="single" w:sz="4" w:space="0" w:color="auto"/>
              <w:right w:val="single" w:sz="4" w:space="0" w:color="auto"/>
            </w:tcBorders>
            <w:shd w:val="clear" w:color="auto" w:fill="auto"/>
            <w:vAlign w:val="center"/>
            <w:hideMark/>
          </w:tcPr>
          <w:p w14:paraId="0069EF27" w14:textId="77777777" w:rsidR="00E54433" w:rsidRPr="00E54433" w:rsidRDefault="00E54433" w:rsidP="00E54433">
            <w:pPr>
              <w:rPr>
                <w:rFonts w:ascii="Cambria" w:hAnsi="Cambria" w:cs="Calibri"/>
                <w:color w:val="000000"/>
                <w:sz w:val="20"/>
                <w:lang w:eastAsia="lt-LT"/>
              </w:rPr>
            </w:pPr>
            <w:r w:rsidRPr="00E54433">
              <w:rPr>
                <w:rFonts w:ascii="Cambria" w:hAnsi="Cambria" w:cs="Calibri"/>
                <w:color w:val="000000"/>
                <w:sz w:val="20"/>
                <w:lang w:eastAsia="lt-LT"/>
              </w:rPr>
              <w:t> </w:t>
            </w:r>
          </w:p>
        </w:tc>
      </w:tr>
      <w:tr w:rsidR="00E54433" w:rsidRPr="00E54433" w14:paraId="1A238E0F" w14:textId="77777777" w:rsidTr="00E54433">
        <w:trPr>
          <w:trHeight w:val="254"/>
          <w:jc w:val="center"/>
        </w:trPr>
        <w:tc>
          <w:tcPr>
            <w:tcW w:w="908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271405" w14:textId="3A6E49DF" w:rsidR="00E54433" w:rsidRPr="00E54433" w:rsidRDefault="00E54433" w:rsidP="00E54433">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28" w:type="dxa"/>
            <w:tcBorders>
              <w:top w:val="nil"/>
              <w:left w:val="nil"/>
              <w:bottom w:val="single" w:sz="4" w:space="0" w:color="auto"/>
              <w:right w:val="single" w:sz="4" w:space="0" w:color="auto"/>
            </w:tcBorders>
            <w:shd w:val="clear" w:color="auto" w:fill="auto"/>
            <w:noWrap/>
            <w:vAlign w:val="bottom"/>
            <w:hideMark/>
          </w:tcPr>
          <w:p w14:paraId="5E37B4E5" w14:textId="77777777" w:rsidR="00E54433" w:rsidRPr="00E54433" w:rsidRDefault="00E54433" w:rsidP="00E54433">
            <w:pPr>
              <w:jc w:val="center"/>
              <w:rPr>
                <w:rFonts w:ascii="Cambria" w:hAnsi="Cambria" w:cs="Calibri"/>
                <w:b/>
                <w:bCs/>
                <w:color w:val="000000"/>
                <w:sz w:val="20"/>
                <w:lang w:eastAsia="lt-LT"/>
              </w:rPr>
            </w:pPr>
            <w:r w:rsidRPr="00E54433">
              <w:rPr>
                <w:rFonts w:ascii="Cambria" w:hAnsi="Cambria" w:cs="Calibri"/>
                <w:b/>
                <w:bCs/>
                <w:color w:val="000000"/>
                <w:sz w:val="20"/>
                <w:lang w:eastAsia="lt-LT"/>
              </w:rPr>
              <w:t> </w:t>
            </w:r>
          </w:p>
        </w:tc>
      </w:tr>
      <w:tr w:rsidR="00E54433" w:rsidRPr="00E54433" w14:paraId="3955341F" w14:textId="77777777" w:rsidTr="00E54433">
        <w:trPr>
          <w:trHeight w:val="254"/>
          <w:jc w:val="center"/>
        </w:trPr>
        <w:tc>
          <w:tcPr>
            <w:tcW w:w="908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0D9942" w14:textId="19FE3F7C" w:rsidR="00E54433" w:rsidRPr="00E54433" w:rsidRDefault="00E54433" w:rsidP="00E54433">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28" w:type="dxa"/>
            <w:tcBorders>
              <w:top w:val="nil"/>
              <w:left w:val="nil"/>
              <w:bottom w:val="single" w:sz="4" w:space="0" w:color="auto"/>
              <w:right w:val="single" w:sz="4" w:space="0" w:color="auto"/>
            </w:tcBorders>
            <w:shd w:val="clear" w:color="auto" w:fill="auto"/>
            <w:noWrap/>
            <w:vAlign w:val="bottom"/>
            <w:hideMark/>
          </w:tcPr>
          <w:p w14:paraId="61BD6193" w14:textId="77777777" w:rsidR="00E54433" w:rsidRPr="00E54433" w:rsidRDefault="00E54433" w:rsidP="00E54433">
            <w:pPr>
              <w:jc w:val="center"/>
              <w:rPr>
                <w:rFonts w:ascii="Cambria" w:hAnsi="Cambria" w:cs="Calibri"/>
                <w:b/>
                <w:bCs/>
                <w:color w:val="000000"/>
                <w:sz w:val="20"/>
                <w:lang w:eastAsia="lt-LT"/>
              </w:rPr>
            </w:pPr>
            <w:r w:rsidRPr="00E54433">
              <w:rPr>
                <w:rFonts w:ascii="Cambria" w:hAnsi="Cambria" w:cs="Calibri"/>
                <w:b/>
                <w:bCs/>
                <w:color w:val="000000"/>
                <w:sz w:val="20"/>
                <w:lang w:eastAsia="lt-LT"/>
              </w:rPr>
              <w:t> </w:t>
            </w:r>
          </w:p>
        </w:tc>
      </w:tr>
      <w:tr w:rsidR="00E54433" w:rsidRPr="00E54433" w14:paraId="0C9CBE06" w14:textId="77777777" w:rsidTr="00E54433">
        <w:trPr>
          <w:trHeight w:val="254"/>
          <w:jc w:val="center"/>
        </w:trPr>
        <w:tc>
          <w:tcPr>
            <w:tcW w:w="908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BD5C6F" w14:textId="3BB1BE6D" w:rsidR="00E54433" w:rsidRPr="00E54433" w:rsidRDefault="00E54433" w:rsidP="00E54433">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28" w:type="dxa"/>
            <w:tcBorders>
              <w:top w:val="nil"/>
              <w:left w:val="nil"/>
              <w:bottom w:val="single" w:sz="4" w:space="0" w:color="auto"/>
              <w:right w:val="single" w:sz="4" w:space="0" w:color="auto"/>
            </w:tcBorders>
            <w:shd w:val="clear" w:color="auto" w:fill="auto"/>
            <w:noWrap/>
            <w:vAlign w:val="bottom"/>
            <w:hideMark/>
          </w:tcPr>
          <w:p w14:paraId="3F8FD9A1" w14:textId="77777777" w:rsidR="00E54433" w:rsidRPr="00E54433" w:rsidRDefault="00E54433" w:rsidP="00E54433">
            <w:pPr>
              <w:jc w:val="center"/>
              <w:rPr>
                <w:rFonts w:ascii="Cambria" w:hAnsi="Cambria" w:cs="Calibri"/>
                <w:b/>
                <w:bCs/>
                <w:color w:val="000000"/>
                <w:sz w:val="20"/>
                <w:lang w:eastAsia="lt-LT"/>
              </w:rPr>
            </w:pPr>
            <w:r w:rsidRPr="00E54433">
              <w:rPr>
                <w:rFonts w:ascii="Cambria" w:hAnsi="Cambria" w:cs="Calibri"/>
                <w:b/>
                <w:bCs/>
                <w:color w:val="000000"/>
                <w:sz w:val="20"/>
                <w:lang w:eastAsia="lt-LT"/>
              </w:rPr>
              <w:t> </w:t>
            </w:r>
          </w:p>
        </w:tc>
      </w:tr>
    </w:tbl>
    <w:p w14:paraId="67E2D32F" w14:textId="77777777" w:rsidR="00E54433" w:rsidRPr="00321EFD" w:rsidRDefault="00E54433"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bookmarkStart w:id="0" w:name="_GoBack"/>
      <w:bookmarkEnd w:id="0"/>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9788E" w14:textId="77777777" w:rsidR="00C12E63" w:rsidRDefault="00C12E63">
      <w:r>
        <w:separator/>
      </w:r>
    </w:p>
  </w:endnote>
  <w:endnote w:type="continuationSeparator" w:id="0">
    <w:p w14:paraId="4EC59FA2" w14:textId="77777777" w:rsidR="00C12E63" w:rsidRDefault="00C1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CD5A2" w14:textId="77777777" w:rsidR="00C12E63" w:rsidRDefault="00C12E63">
      <w:r>
        <w:separator/>
      </w:r>
    </w:p>
  </w:footnote>
  <w:footnote w:type="continuationSeparator" w:id="0">
    <w:p w14:paraId="10BE15D3" w14:textId="77777777" w:rsidR="00C12E63" w:rsidRDefault="00C1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7788A"/>
    <w:rsid w:val="00195A1F"/>
    <w:rsid w:val="001B1B21"/>
    <w:rsid w:val="001B2EB7"/>
    <w:rsid w:val="00201517"/>
    <w:rsid w:val="00202E5E"/>
    <w:rsid w:val="002A597A"/>
    <w:rsid w:val="002F0B5F"/>
    <w:rsid w:val="003470BD"/>
    <w:rsid w:val="003B2818"/>
    <w:rsid w:val="003E5D1D"/>
    <w:rsid w:val="004907C1"/>
    <w:rsid w:val="004D4B7E"/>
    <w:rsid w:val="005828DD"/>
    <w:rsid w:val="00587E3C"/>
    <w:rsid w:val="00617C60"/>
    <w:rsid w:val="00761236"/>
    <w:rsid w:val="007919E1"/>
    <w:rsid w:val="007E7705"/>
    <w:rsid w:val="00966341"/>
    <w:rsid w:val="00B20913"/>
    <w:rsid w:val="00B767F3"/>
    <w:rsid w:val="00C12E63"/>
    <w:rsid w:val="00DD7479"/>
    <w:rsid w:val="00E54433"/>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234779811">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10315</Words>
  <Characters>5881</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