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9689" w14:textId="10339BBC" w:rsidR="00C158F4" w:rsidRDefault="00F94935">
      <w:r>
        <w:t>Tiekėjų atsakymai į rinkos konsultacijos klausimus:</w:t>
      </w:r>
    </w:p>
    <w:tbl>
      <w:tblPr>
        <w:tblOverlap w:val="neve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6"/>
        <w:gridCol w:w="2800"/>
        <w:gridCol w:w="3543"/>
        <w:gridCol w:w="3142"/>
      </w:tblGrid>
      <w:tr w:rsidR="00F94935" w14:paraId="500E6520" w14:textId="24389D25" w:rsidTr="00F94935">
        <w:trPr>
          <w:trHeight w:hRule="exact" w:val="571"/>
          <w:jc w:val="center"/>
        </w:trPr>
        <w:tc>
          <w:tcPr>
            <w:tcW w:w="456" w:type="dxa"/>
            <w:shd w:val="clear" w:color="auto" w:fill="auto"/>
            <w:vAlign w:val="bottom"/>
          </w:tcPr>
          <w:p w14:paraId="42F1C3AD" w14:textId="77777777" w:rsidR="00F94935" w:rsidRDefault="00F94935" w:rsidP="009C32EB">
            <w:pPr>
              <w:pStyle w:val="Other0"/>
            </w:pPr>
            <w:r>
              <w:rPr>
                <w:rStyle w:val="Other"/>
                <w:rFonts w:eastAsiaTheme="majorEastAsia"/>
                <w:b/>
                <w:bCs/>
              </w:rPr>
              <w:t>Eil.</w:t>
            </w:r>
          </w:p>
          <w:p w14:paraId="4FECA57B" w14:textId="77777777" w:rsidR="00F94935" w:rsidRDefault="00F94935" w:rsidP="009C32EB">
            <w:pPr>
              <w:pStyle w:val="Other0"/>
            </w:pPr>
            <w:r>
              <w:rPr>
                <w:rStyle w:val="Other"/>
                <w:rFonts w:eastAsiaTheme="majorEastAsia"/>
                <w:b/>
                <w:bCs/>
              </w:rPr>
              <w:t>Nr.</w:t>
            </w:r>
          </w:p>
        </w:tc>
        <w:tc>
          <w:tcPr>
            <w:tcW w:w="2800" w:type="dxa"/>
            <w:shd w:val="clear" w:color="auto" w:fill="auto"/>
          </w:tcPr>
          <w:p w14:paraId="44952D29" w14:textId="77777777" w:rsidR="00F94935" w:rsidRDefault="00F94935" w:rsidP="009C32EB">
            <w:pPr>
              <w:pStyle w:val="Other0"/>
              <w:jc w:val="center"/>
            </w:pPr>
            <w:r>
              <w:rPr>
                <w:rStyle w:val="Other"/>
                <w:rFonts w:eastAsiaTheme="majorEastAsia"/>
                <w:b/>
                <w:bCs/>
              </w:rPr>
              <w:t>Klausimai</w:t>
            </w:r>
          </w:p>
        </w:tc>
        <w:tc>
          <w:tcPr>
            <w:tcW w:w="3543" w:type="dxa"/>
            <w:shd w:val="clear" w:color="auto" w:fill="auto"/>
          </w:tcPr>
          <w:p w14:paraId="29F250B1" w14:textId="77777777" w:rsidR="00F94935" w:rsidRDefault="00F94935" w:rsidP="009C32EB">
            <w:pPr>
              <w:pStyle w:val="Other0"/>
              <w:jc w:val="center"/>
            </w:pPr>
            <w:r>
              <w:rPr>
                <w:rStyle w:val="Other"/>
                <w:rFonts w:eastAsiaTheme="majorEastAsia"/>
                <w:b/>
                <w:bCs/>
              </w:rPr>
              <w:t>Atsakymai</w:t>
            </w:r>
          </w:p>
        </w:tc>
        <w:tc>
          <w:tcPr>
            <w:tcW w:w="3142" w:type="dxa"/>
          </w:tcPr>
          <w:p w14:paraId="2AF16584" w14:textId="0C3427E6" w:rsidR="00F94935" w:rsidRDefault="00F94935" w:rsidP="009C32EB">
            <w:pPr>
              <w:pStyle w:val="Other0"/>
              <w:jc w:val="center"/>
              <w:rPr>
                <w:rStyle w:val="Other"/>
                <w:rFonts w:eastAsiaTheme="majorEastAsia"/>
                <w:b/>
                <w:bCs/>
              </w:rPr>
            </w:pPr>
            <w:r>
              <w:rPr>
                <w:rStyle w:val="Other"/>
                <w:rFonts w:eastAsiaTheme="majorEastAsia"/>
              </w:rPr>
              <w:t>Perkančiosios organizacijos sprendimai</w:t>
            </w:r>
          </w:p>
        </w:tc>
      </w:tr>
      <w:tr w:rsidR="00F94935" w14:paraId="34681C50" w14:textId="09D040F6" w:rsidTr="00F94935">
        <w:trPr>
          <w:trHeight w:hRule="exact" w:val="566"/>
          <w:jc w:val="center"/>
        </w:trPr>
        <w:tc>
          <w:tcPr>
            <w:tcW w:w="456" w:type="dxa"/>
            <w:shd w:val="clear" w:color="auto" w:fill="auto"/>
          </w:tcPr>
          <w:p w14:paraId="7E22E521" w14:textId="435D447F" w:rsidR="00F94935" w:rsidRDefault="00F94935" w:rsidP="009C32EB">
            <w:pPr>
              <w:pStyle w:val="Other0"/>
            </w:pPr>
            <w:r>
              <w:rPr>
                <w:rStyle w:val="Other"/>
                <w:rFonts w:eastAsiaTheme="majorEastAsia"/>
              </w:rPr>
              <w:t>1.</w:t>
            </w:r>
          </w:p>
        </w:tc>
        <w:tc>
          <w:tcPr>
            <w:tcW w:w="2800" w:type="dxa"/>
            <w:shd w:val="clear" w:color="auto" w:fill="auto"/>
            <w:vAlign w:val="bottom"/>
          </w:tcPr>
          <w:p w14:paraId="1BBD1089" w14:textId="77777777" w:rsidR="00F94935" w:rsidRDefault="00F94935" w:rsidP="009C32EB">
            <w:pPr>
              <w:pStyle w:val="Other0"/>
            </w:pPr>
            <w:r>
              <w:rPr>
                <w:rStyle w:val="Other"/>
                <w:rFonts w:eastAsiaTheme="majorEastAsia"/>
              </w:rPr>
              <w:t>Kokia galėtų būti preliminari numatomo pirkimo vertė Eur su PVM?</w:t>
            </w:r>
          </w:p>
        </w:tc>
        <w:tc>
          <w:tcPr>
            <w:tcW w:w="3543" w:type="dxa"/>
            <w:shd w:val="clear" w:color="auto" w:fill="auto"/>
          </w:tcPr>
          <w:p w14:paraId="3F3020D3" w14:textId="77777777" w:rsidR="00F94935" w:rsidRDefault="00F94935" w:rsidP="009C32EB">
            <w:pPr>
              <w:pStyle w:val="Other0"/>
              <w:jc w:val="both"/>
            </w:pPr>
            <w:r>
              <w:rPr>
                <w:rStyle w:val="Other"/>
                <w:rFonts w:eastAsiaTheme="majorEastAsia"/>
              </w:rPr>
              <w:t>183 500,- EUR su PVM</w:t>
            </w:r>
          </w:p>
        </w:tc>
        <w:tc>
          <w:tcPr>
            <w:tcW w:w="3142" w:type="dxa"/>
          </w:tcPr>
          <w:p w14:paraId="1558E633" w14:textId="47EB6AB6" w:rsidR="00F94935" w:rsidRDefault="00F94935" w:rsidP="009C32EB">
            <w:pPr>
              <w:pStyle w:val="Other0"/>
              <w:jc w:val="both"/>
              <w:rPr>
                <w:rStyle w:val="Other"/>
                <w:rFonts w:eastAsiaTheme="majorEastAsia"/>
              </w:rPr>
            </w:pPr>
            <w:r>
              <w:rPr>
                <w:rStyle w:val="Other"/>
                <w:rFonts w:eastAsiaTheme="majorEastAsia"/>
              </w:rPr>
              <w:t>-</w:t>
            </w:r>
          </w:p>
        </w:tc>
      </w:tr>
      <w:tr w:rsidR="00F94935" w14:paraId="3BF5E762" w14:textId="0E83FB49" w:rsidTr="00F94935">
        <w:trPr>
          <w:trHeight w:hRule="exact" w:val="2984"/>
          <w:jc w:val="center"/>
        </w:trPr>
        <w:tc>
          <w:tcPr>
            <w:tcW w:w="456" w:type="dxa"/>
            <w:shd w:val="clear" w:color="auto" w:fill="auto"/>
          </w:tcPr>
          <w:p w14:paraId="191304DA" w14:textId="29DE090D" w:rsidR="00F94935" w:rsidRDefault="00F94935" w:rsidP="009C32EB">
            <w:pPr>
              <w:pStyle w:val="Other0"/>
            </w:pPr>
            <w:r>
              <w:rPr>
                <w:rStyle w:val="Other"/>
                <w:rFonts w:eastAsiaTheme="majorEastAsia"/>
              </w:rPr>
              <w:t>2.</w:t>
            </w:r>
          </w:p>
        </w:tc>
        <w:tc>
          <w:tcPr>
            <w:tcW w:w="2800" w:type="dxa"/>
            <w:shd w:val="clear" w:color="auto" w:fill="auto"/>
          </w:tcPr>
          <w:p w14:paraId="09ADE63B" w14:textId="77777777" w:rsidR="00F94935" w:rsidRDefault="00F94935" w:rsidP="009C32EB">
            <w:pPr>
              <w:pStyle w:val="Other0"/>
            </w:pPr>
            <w:r>
              <w:rPr>
                <w:rStyle w:val="Other"/>
                <w:rFonts w:eastAsiaTheme="majorEastAsia"/>
              </w:rPr>
              <w:t>Kokie galėtų būti taikomi reikalavimai tiekėjų kvalifikacijai?</w:t>
            </w:r>
          </w:p>
        </w:tc>
        <w:tc>
          <w:tcPr>
            <w:tcW w:w="3543" w:type="dxa"/>
            <w:shd w:val="clear" w:color="auto" w:fill="auto"/>
            <w:vAlign w:val="bottom"/>
          </w:tcPr>
          <w:p w14:paraId="6F662066" w14:textId="77777777" w:rsidR="00F94935" w:rsidRDefault="00F94935" w:rsidP="009C32EB">
            <w:pPr>
              <w:pStyle w:val="Other0"/>
              <w:jc w:val="both"/>
            </w:pPr>
            <w:r>
              <w:rPr>
                <w:rStyle w:val="Other"/>
                <w:rFonts w:eastAsiaTheme="majorEastAsia"/>
              </w:rPr>
              <w:t xml:space="preserve">Atsižvelgiant į tai, kad </w:t>
            </w:r>
            <w:proofErr w:type="spellStart"/>
            <w:r>
              <w:rPr>
                <w:rStyle w:val="Other"/>
                <w:rFonts w:eastAsiaTheme="majorEastAsia"/>
              </w:rPr>
              <w:t>ISPacientų</w:t>
            </w:r>
            <w:proofErr w:type="spellEnd"/>
            <w:r>
              <w:rPr>
                <w:rStyle w:val="Other"/>
                <w:rFonts w:eastAsiaTheme="majorEastAsia"/>
              </w:rPr>
              <w:t xml:space="preserve"> srautų valdymo sistemos diegimui skiriami du mėnesiai, o diegiama Sistema turi būti integruota su PO naudojama </w:t>
            </w:r>
            <w:proofErr w:type="spellStart"/>
            <w:r>
              <w:rPr>
                <w:rStyle w:val="Other"/>
                <w:rFonts w:eastAsiaTheme="majorEastAsia"/>
              </w:rPr>
              <w:t>MedIS</w:t>
            </w:r>
            <w:proofErr w:type="spellEnd"/>
            <w:r>
              <w:rPr>
                <w:rStyle w:val="Other"/>
                <w:rFonts w:eastAsiaTheme="majorEastAsia"/>
              </w:rPr>
              <w:t xml:space="preserve"> </w:t>
            </w:r>
            <w:r>
              <w:rPr>
                <w:rStyle w:val="Other"/>
                <w:rFonts w:eastAsiaTheme="majorEastAsia"/>
                <w:lang w:val="en-US" w:bidi="en-US"/>
              </w:rPr>
              <w:t xml:space="preserve">IS, </w:t>
            </w:r>
            <w:r>
              <w:rPr>
                <w:rStyle w:val="Other"/>
                <w:rFonts w:eastAsiaTheme="majorEastAsia"/>
              </w:rPr>
              <w:t xml:space="preserve">būtų prasminga nustatyti reikalavimą tiekėjui būti įvykdžiusiam bent vieną projektą, kurio metu įdiegta Pacientų srautų valdymo Sistema buvo integruota su </w:t>
            </w:r>
            <w:proofErr w:type="spellStart"/>
            <w:r>
              <w:rPr>
                <w:rStyle w:val="Other"/>
                <w:rFonts w:eastAsiaTheme="majorEastAsia"/>
              </w:rPr>
              <w:t>MedIS</w:t>
            </w:r>
            <w:proofErr w:type="spellEnd"/>
            <w:r>
              <w:rPr>
                <w:rStyle w:val="Other"/>
                <w:rFonts w:eastAsiaTheme="majorEastAsia"/>
              </w:rPr>
              <w:t xml:space="preserve"> </w:t>
            </w:r>
            <w:r>
              <w:rPr>
                <w:rStyle w:val="Other"/>
                <w:rFonts w:eastAsiaTheme="majorEastAsia"/>
                <w:lang w:val="en-US" w:bidi="en-US"/>
              </w:rPr>
              <w:t>IS.</w:t>
            </w:r>
          </w:p>
        </w:tc>
        <w:tc>
          <w:tcPr>
            <w:tcW w:w="3142" w:type="dxa"/>
          </w:tcPr>
          <w:p w14:paraId="784BE14E" w14:textId="0E22A0E5" w:rsidR="00F94935" w:rsidRDefault="00CD2D2D" w:rsidP="00CD2D2D">
            <w:pPr>
              <w:pStyle w:val="Other0"/>
              <w:ind w:right="150"/>
              <w:jc w:val="both"/>
              <w:rPr>
                <w:rStyle w:val="Other"/>
                <w:rFonts w:eastAsiaTheme="majorEastAsia"/>
              </w:rPr>
            </w:pPr>
            <w:r>
              <w:rPr>
                <w:rStyle w:val="Other"/>
                <w:rFonts w:eastAsiaTheme="majorEastAsia"/>
              </w:rPr>
              <w:t>Reikalavimas, įvardinantis konkrečią informacinę sistemą neatitiktų viešųjų pirkim</w:t>
            </w:r>
            <w:r w:rsidR="00163E6C">
              <w:rPr>
                <w:rStyle w:val="Other"/>
                <w:rFonts w:eastAsiaTheme="majorEastAsia"/>
              </w:rPr>
              <w:t>ų</w:t>
            </w:r>
            <w:r>
              <w:rPr>
                <w:rStyle w:val="Other"/>
                <w:rFonts w:eastAsiaTheme="majorEastAsia"/>
              </w:rPr>
              <w:t xml:space="preserve"> reglamentavimo ir būtų ribojantis, todėl nebus taikomas.</w:t>
            </w:r>
          </w:p>
        </w:tc>
      </w:tr>
    </w:tbl>
    <w:p w14:paraId="74ECFEA4" w14:textId="3F31B037" w:rsidR="00F94935" w:rsidRDefault="00F94935">
      <w:r>
        <w:t>Tiekėjų siūlymai dėl Techninės specifikacijos reikalavimų</w:t>
      </w:r>
    </w:p>
    <w:p w14:paraId="4D96D1EA" w14:textId="77777777" w:rsidR="00F94935" w:rsidRDefault="00F94935"/>
    <w:tbl>
      <w:tblPr>
        <w:tblOverlap w:val="never"/>
        <w:tblW w:w="9923" w:type="dxa"/>
        <w:jc w:val="center"/>
        <w:tblLayout w:type="fixed"/>
        <w:tblCellMar>
          <w:left w:w="10" w:type="dxa"/>
          <w:right w:w="10" w:type="dxa"/>
        </w:tblCellMar>
        <w:tblLook w:val="04A0" w:firstRow="1" w:lastRow="0" w:firstColumn="1" w:lastColumn="0" w:noHBand="0" w:noVBand="1"/>
      </w:tblPr>
      <w:tblGrid>
        <w:gridCol w:w="634"/>
        <w:gridCol w:w="5457"/>
        <w:gridCol w:w="3832"/>
      </w:tblGrid>
      <w:tr w:rsidR="00F94935" w14:paraId="5F053077" w14:textId="77777777" w:rsidTr="00F94935">
        <w:trPr>
          <w:trHeight w:hRule="exact" w:val="636"/>
          <w:jc w:val="center"/>
        </w:trPr>
        <w:tc>
          <w:tcPr>
            <w:tcW w:w="634" w:type="dxa"/>
            <w:tcBorders>
              <w:top w:val="single" w:sz="4" w:space="0" w:color="auto"/>
              <w:left w:val="single" w:sz="4" w:space="0" w:color="auto"/>
            </w:tcBorders>
            <w:shd w:val="clear" w:color="auto" w:fill="auto"/>
          </w:tcPr>
          <w:p w14:paraId="225ADF23" w14:textId="0A327B31" w:rsidR="00F94935" w:rsidRDefault="00F94935" w:rsidP="009C32EB">
            <w:pPr>
              <w:pStyle w:val="Other0"/>
              <w:rPr>
                <w:rStyle w:val="Other"/>
                <w:rFonts w:eastAsiaTheme="majorEastAsia"/>
              </w:rPr>
            </w:pPr>
            <w:r>
              <w:rPr>
                <w:rStyle w:val="Other"/>
                <w:rFonts w:eastAsiaTheme="majorEastAsia"/>
              </w:rPr>
              <w:t>Eil. Nr.</w:t>
            </w:r>
          </w:p>
        </w:tc>
        <w:tc>
          <w:tcPr>
            <w:tcW w:w="5457" w:type="dxa"/>
            <w:tcBorders>
              <w:top w:val="single" w:sz="4" w:space="0" w:color="auto"/>
              <w:left w:val="single" w:sz="4" w:space="0" w:color="auto"/>
              <w:right w:val="single" w:sz="4" w:space="0" w:color="auto"/>
            </w:tcBorders>
            <w:shd w:val="clear" w:color="auto" w:fill="auto"/>
            <w:vAlign w:val="bottom"/>
          </w:tcPr>
          <w:p w14:paraId="132F0D19" w14:textId="16552959" w:rsidR="00F94935" w:rsidRDefault="00F94935" w:rsidP="009C32EB">
            <w:pPr>
              <w:pStyle w:val="Other0"/>
              <w:jc w:val="both"/>
              <w:rPr>
                <w:rStyle w:val="Other"/>
                <w:rFonts w:eastAsiaTheme="majorEastAsia"/>
              </w:rPr>
            </w:pPr>
            <w:r>
              <w:rPr>
                <w:rStyle w:val="Other"/>
                <w:rFonts w:eastAsiaTheme="majorEastAsia"/>
              </w:rPr>
              <w:t>Tiekėjų siūlymai</w:t>
            </w:r>
          </w:p>
        </w:tc>
        <w:tc>
          <w:tcPr>
            <w:tcW w:w="3832" w:type="dxa"/>
            <w:tcBorders>
              <w:top w:val="single" w:sz="4" w:space="0" w:color="auto"/>
              <w:left w:val="single" w:sz="4" w:space="0" w:color="auto"/>
              <w:right w:val="single" w:sz="4" w:space="0" w:color="auto"/>
            </w:tcBorders>
          </w:tcPr>
          <w:p w14:paraId="0F162139" w14:textId="07360B6E" w:rsidR="00F94935" w:rsidRDefault="00F94935" w:rsidP="009C32EB">
            <w:pPr>
              <w:pStyle w:val="Other0"/>
              <w:jc w:val="both"/>
              <w:rPr>
                <w:rStyle w:val="Other"/>
                <w:rFonts w:eastAsiaTheme="majorEastAsia"/>
              </w:rPr>
            </w:pPr>
            <w:r>
              <w:rPr>
                <w:rStyle w:val="Other"/>
                <w:rFonts w:eastAsiaTheme="majorEastAsia"/>
              </w:rPr>
              <w:t>Perkančiosios organizacijos sprendimai</w:t>
            </w:r>
          </w:p>
        </w:tc>
      </w:tr>
      <w:tr w:rsidR="00F94935" w14:paraId="7F17B632" w14:textId="64AB6831" w:rsidTr="00F94935">
        <w:trPr>
          <w:trHeight w:hRule="exact" w:val="2621"/>
          <w:jc w:val="center"/>
        </w:trPr>
        <w:tc>
          <w:tcPr>
            <w:tcW w:w="634" w:type="dxa"/>
            <w:tcBorders>
              <w:top w:val="single" w:sz="4" w:space="0" w:color="auto"/>
              <w:left w:val="single" w:sz="4" w:space="0" w:color="auto"/>
            </w:tcBorders>
            <w:shd w:val="clear" w:color="auto" w:fill="auto"/>
          </w:tcPr>
          <w:p w14:paraId="54E0CCD8" w14:textId="77777777" w:rsidR="00F94935" w:rsidRDefault="00F94935" w:rsidP="009C32EB">
            <w:pPr>
              <w:pStyle w:val="Other0"/>
            </w:pPr>
            <w:r>
              <w:rPr>
                <w:rStyle w:val="Other"/>
                <w:rFonts w:eastAsiaTheme="majorEastAsia"/>
              </w:rPr>
              <w:t>1</w:t>
            </w:r>
          </w:p>
        </w:tc>
        <w:tc>
          <w:tcPr>
            <w:tcW w:w="5457" w:type="dxa"/>
            <w:tcBorders>
              <w:top w:val="single" w:sz="4" w:space="0" w:color="auto"/>
              <w:left w:val="single" w:sz="4" w:space="0" w:color="auto"/>
              <w:right w:val="single" w:sz="4" w:space="0" w:color="auto"/>
            </w:tcBorders>
            <w:shd w:val="clear" w:color="auto" w:fill="auto"/>
            <w:vAlign w:val="bottom"/>
          </w:tcPr>
          <w:p w14:paraId="4F1F4E9D" w14:textId="77777777" w:rsidR="00F94935" w:rsidRDefault="00F94935" w:rsidP="009C32EB">
            <w:pPr>
              <w:pStyle w:val="Other0"/>
              <w:jc w:val="both"/>
            </w:pPr>
            <w:r>
              <w:rPr>
                <w:rStyle w:val="Other"/>
                <w:rFonts w:eastAsiaTheme="majorEastAsia"/>
              </w:rPr>
              <w:t>Siūlome tikslinti Techninės specifikacijos (toliau - TS) 3 lentelės 2 eilutę ir atsisakyti paciento identifikavimo pagal vizito registracijos kodą, nes neteisingai suvedus kodą, pacientas „pataikys“ į visai kito paciento registraciją. Dėl šios priežasties siūlome aplamai riboti galimybes identifikuoti pacientą pagal suvedamus duomenis, ir kaip įmanoma plačiau naudoti automatinį duomenų nuskaitymą, pavyzdžiui, asmens tapatybės kortelės skenavimas.</w:t>
            </w:r>
          </w:p>
        </w:tc>
        <w:tc>
          <w:tcPr>
            <w:tcW w:w="3832" w:type="dxa"/>
            <w:tcBorders>
              <w:top w:val="single" w:sz="4" w:space="0" w:color="auto"/>
              <w:left w:val="single" w:sz="4" w:space="0" w:color="auto"/>
              <w:right w:val="single" w:sz="4" w:space="0" w:color="auto"/>
            </w:tcBorders>
          </w:tcPr>
          <w:p w14:paraId="1EC908A1" w14:textId="33EC45CC"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7576DC05" w14:textId="215CC063" w:rsidTr="00F94935">
        <w:trPr>
          <w:trHeight w:hRule="exact" w:val="1837"/>
          <w:jc w:val="center"/>
        </w:trPr>
        <w:tc>
          <w:tcPr>
            <w:tcW w:w="634" w:type="dxa"/>
            <w:tcBorders>
              <w:top w:val="single" w:sz="4" w:space="0" w:color="auto"/>
              <w:left w:val="single" w:sz="4" w:space="0" w:color="auto"/>
            </w:tcBorders>
            <w:shd w:val="clear" w:color="auto" w:fill="auto"/>
          </w:tcPr>
          <w:p w14:paraId="4BB5A236" w14:textId="77777777" w:rsidR="00F94935" w:rsidRDefault="00F94935" w:rsidP="009C32EB">
            <w:pPr>
              <w:pStyle w:val="Other0"/>
            </w:pPr>
            <w:r>
              <w:rPr>
                <w:rStyle w:val="Other"/>
                <w:rFonts w:eastAsiaTheme="majorEastAsia"/>
              </w:rPr>
              <w:t>2</w:t>
            </w:r>
          </w:p>
        </w:tc>
        <w:tc>
          <w:tcPr>
            <w:tcW w:w="5457" w:type="dxa"/>
            <w:tcBorders>
              <w:top w:val="single" w:sz="4" w:space="0" w:color="auto"/>
              <w:left w:val="single" w:sz="4" w:space="0" w:color="auto"/>
              <w:right w:val="single" w:sz="4" w:space="0" w:color="auto"/>
            </w:tcBorders>
            <w:shd w:val="clear" w:color="auto" w:fill="auto"/>
            <w:vAlign w:val="bottom"/>
          </w:tcPr>
          <w:p w14:paraId="121CC9D0" w14:textId="77777777" w:rsidR="00F94935" w:rsidRDefault="00F94935" w:rsidP="009C32EB">
            <w:pPr>
              <w:pStyle w:val="Other0"/>
              <w:jc w:val="both"/>
            </w:pPr>
            <w:r>
              <w:rPr>
                <w:rStyle w:val="Other"/>
                <w:rFonts w:eastAsiaTheme="majorEastAsia"/>
              </w:rPr>
              <w:t>Siūlome tikslinti Techninės specifikacijos (toliau - TS) 3 lentelės 2 eilutę ir atsisakyti reikalavimo sistemos administratoriui turėti galimybę išjungti ar įjungti paciento dienos vizitų rodymą ekrane. Mūsų turima praktika rodo, kad visose įstaigose, kurios naudoja mūsų PSVS, nebuvo išsakytas poreikis išjungti šią funkciją.</w:t>
            </w:r>
          </w:p>
        </w:tc>
        <w:tc>
          <w:tcPr>
            <w:tcW w:w="3832" w:type="dxa"/>
            <w:tcBorders>
              <w:top w:val="single" w:sz="4" w:space="0" w:color="auto"/>
              <w:left w:val="single" w:sz="4" w:space="0" w:color="auto"/>
              <w:right w:val="single" w:sz="4" w:space="0" w:color="auto"/>
            </w:tcBorders>
          </w:tcPr>
          <w:p w14:paraId="7E4D5CC5" w14:textId="3690B767"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0F02DA0C" w14:textId="78ECE45A" w:rsidTr="00F94935">
        <w:trPr>
          <w:trHeight w:hRule="exact" w:val="2132"/>
          <w:jc w:val="center"/>
        </w:trPr>
        <w:tc>
          <w:tcPr>
            <w:tcW w:w="634" w:type="dxa"/>
            <w:tcBorders>
              <w:top w:val="single" w:sz="4" w:space="0" w:color="auto"/>
              <w:left w:val="single" w:sz="4" w:space="0" w:color="auto"/>
            </w:tcBorders>
            <w:shd w:val="clear" w:color="auto" w:fill="auto"/>
          </w:tcPr>
          <w:p w14:paraId="6BE39324" w14:textId="77777777" w:rsidR="00F94935" w:rsidRDefault="00F94935" w:rsidP="009C32EB">
            <w:pPr>
              <w:pStyle w:val="Other0"/>
            </w:pPr>
            <w:r>
              <w:rPr>
                <w:rStyle w:val="Other"/>
                <w:rFonts w:eastAsiaTheme="majorEastAsia"/>
              </w:rPr>
              <w:t>3.</w:t>
            </w:r>
          </w:p>
        </w:tc>
        <w:tc>
          <w:tcPr>
            <w:tcW w:w="5457" w:type="dxa"/>
            <w:tcBorders>
              <w:top w:val="single" w:sz="4" w:space="0" w:color="auto"/>
              <w:left w:val="single" w:sz="4" w:space="0" w:color="auto"/>
              <w:right w:val="single" w:sz="4" w:space="0" w:color="auto"/>
            </w:tcBorders>
            <w:shd w:val="clear" w:color="auto" w:fill="auto"/>
            <w:vAlign w:val="bottom"/>
          </w:tcPr>
          <w:p w14:paraId="1490B881" w14:textId="77777777" w:rsidR="00F94935" w:rsidRDefault="00F94935" w:rsidP="009C32EB">
            <w:pPr>
              <w:pStyle w:val="Other0"/>
              <w:jc w:val="both"/>
            </w:pPr>
            <w:r>
              <w:rPr>
                <w:rStyle w:val="Other"/>
                <w:rFonts w:eastAsiaTheme="majorEastAsia"/>
              </w:rPr>
              <w:t xml:space="preserve">Siūlome tikslinti TS 6.3 ir 6.4. punktus dėl mokymų ir nurodyti, kad „Projekto metu paslaugų teikėjas privalo suorganizuoti mokymus nuotoliniu būdu ir pateikti </w:t>
            </w:r>
            <w:proofErr w:type="spellStart"/>
            <w:r>
              <w:rPr>
                <w:rStyle w:val="Other"/>
                <w:rFonts w:eastAsiaTheme="majorEastAsia"/>
              </w:rPr>
              <w:t>video</w:t>
            </w:r>
            <w:proofErr w:type="spellEnd"/>
            <w:r>
              <w:rPr>
                <w:rStyle w:val="Other"/>
                <w:rFonts w:eastAsiaTheme="majorEastAsia"/>
              </w:rPr>
              <w:t xml:space="preserve"> įrašą. Turės būti užtikrintos konsultacijos darbo vietoje pradėjus naudoti - 2 dienos po 8 val. ne mažiau kaip dviejų Tiekėjo atstovų. Administratorių mokymai turi vykti 2 kartus po 2 val.</w:t>
            </w:r>
          </w:p>
        </w:tc>
        <w:tc>
          <w:tcPr>
            <w:tcW w:w="3832" w:type="dxa"/>
            <w:tcBorders>
              <w:top w:val="single" w:sz="4" w:space="0" w:color="auto"/>
              <w:left w:val="single" w:sz="4" w:space="0" w:color="auto"/>
              <w:right w:val="single" w:sz="4" w:space="0" w:color="auto"/>
            </w:tcBorders>
          </w:tcPr>
          <w:p w14:paraId="33015B64" w14:textId="2B89C2FC" w:rsidR="00F94935" w:rsidRDefault="000373D2" w:rsidP="009C32EB">
            <w:pPr>
              <w:pStyle w:val="Other0"/>
              <w:jc w:val="both"/>
              <w:rPr>
                <w:rStyle w:val="Other"/>
                <w:rFonts w:eastAsiaTheme="majorEastAsia"/>
              </w:rPr>
            </w:pPr>
            <w:r>
              <w:rPr>
                <w:rStyle w:val="Other"/>
                <w:rFonts w:eastAsiaTheme="majorEastAsia"/>
              </w:rPr>
              <w:t>Į siūlymą bus atsižvelgta iš dalies patikslinant techninę specifikaciją</w:t>
            </w:r>
          </w:p>
        </w:tc>
      </w:tr>
      <w:tr w:rsidR="00F94935" w14:paraId="472A4457" w14:textId="561BC732" w:rsidTr="00F94935">
        <w:trPr>
          <w:trHeight w:hRule="exact" w:val="1851"/>
          <w:jc w:val="center"/>
        </w:trPr>
        <w:tc>
          <w:tcPr>
            <w:tcW w:w="634" w:type="dxa"/>
            <w:tcBorders>
              <w:top w:val="single" w:sz="4" w:space="0" w:color="auto"/>
              <w:left w:val="single" w:sz="4" w:space="0" w:color="auto"/>
              <w:bottom w:val="single" w:sz="4" w:space="0" w:color="auto"/>
            </w:tcBorders>
            <w:shd w:val="clear" w:color="auto" w:fill="auto"/>
          </w:tcPr>
          <w:p w14:paraId="7B73C623" w14:textId="77777777" w:rsidR="00F94935" w:rsidRDefault="00F94935" w:rsidP="009C32EB">
            <w:pPr>
              <w:pStyle w:val="Other0"/>
            </w:pPr>
            <w:r>
              <w:rPr>
                <w:rStyle w:val="Other"/>
                <w:rFonts w:eastAsiaTheme="majorEastAsia"/>
              </w:rPr>
              <w:t>4.</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23852D5E" w14:textId="77777777" w:rsidR="00F94935" w:rsidRDefault="00F94935" w:rsidP="009C32EB">
            <w:pPr>
              <w:pStyle w:val="Other0"/>
              <w:jc w:val="both"/>
            </w:pPr>
            <w:r>
              <w:rPr>
                <w:rStyle w:val="Other"/>
                <w:rFonts w:eastAsiaTheme="majorEastAsia"/>
              </w:rPr>
              <w:t>Atsižvelgiant į augančias globalių prekybinių karų tikimybę, siūlome patikslinti TS 8 punktą ir numatyti galimybę pratęsti darbų atlikimo terminą, jei dėl nuo tiekėjo nepriklausančių priežasčių atsirado įrangos tiekimo sutrikimai. Turėtų būti ne mažiau kaip 2 pratęsimai iki 2 mėn. kiekvienas.</w:t>
            </w:r>
          </w:p>
        </w:tc>
        <w:tc>
          <w:tcPr>
            <w:tcW w:w="3832" w:type="dxa"/>
            <w:tcBorders>
              <w:top w:val="single" w:sz="4" w:space="0" w:color="auto"/>
              <w:left w:val="single" w:sz="4" w:space="0" w:color="auto"/>
              <w:bottom w:val="single" w:sz="4" w:space="0" w:color="auto"/>
              <w:right w:val="single" w:sz="4" w:space="0" w:color="auto"/>
            </w:tcBorders>
          </w:tcPr>
          <w:p w14:paraId="02B5A807" w14:textId="63F08B16" w:rsidR="00F94935" w:rsidRDefault="000373D2" w:rsidP="009C32EB">
            <w:pPr>
              <w:pStyle w:val="Other0"/>
              <w:jc w:val="both"/>
              <w:rPr>
                <w:rStyle w:val="Other"/>
                <w:rFonts w:eastAsiaTheme="majorEastAsia"/>
              </w:rPr>
            </w:pPr>
            <w:r>
              <w:rPr>
                <w:rStyle w:val="Other"/>
                <w:rFonts w:eastAsiaTheme="majorEastAsia"/>
              </w:rPr>
              <w:t>Į siūlymą bus atsižvelgta iš dalies</w:t>
            </w:r>
          </w:p>
        </w:tc>
      </w:tr>
      <w:tr w:rsidR="00F94935" w14:paraId="6D1836FF" w14:textId="0DFBC660" w:rsidTr="00F94935">
        <w:trPr>
          <w:trHeight w:hRule="exact" w:val="3275"/>
          <w:jc w:val="center"/>
        </w:trPr>
        <w:tc>
          <w:tcPr>
            <w:tcW w:w="634" w:type="dxa"/>
            <w:tcBorders>
              <w:top w:val="single" w:sz="4" w:space="0" w:color="auto"/>
              <w:left w:val="single" w:sz="4" w:space="0" w:color="auto"/>
              <w:bottom w:val="single" w:sz="4" w:space="0" w:color="auto"/>
            </w:tcBorders>
            <w:shd w:val="clear" w:color="auto" w:fill="auto"/>
          </w:tcPr>
          <w:p w14:paraId="5A2E2FCD" w14:textId="77777777" w:rsidR="00F94935" w:rsidRPr="00F94935" w:rsidRDefault="00F94935" w:rsidP="009C32EB">
            <w:pPr>
              <w:pStyle w:val="Other0"/>
              <w:rPr>
                <w:rFonts w:eastAsiaTheme="majorEastAsia"/>
              </w:rPr>
            </w:pPr>
            <w:r>
              <w:rPr>
                <w:rStyle w:val="Other"/>
                <w:rFonts w:eastAsiaTheme="majorEastAsia"/>
              </w:rPr>
              <w:lastRenderedPageBreak/>
              <w:t>5.</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38ECBCEA" w14:textId="77777777" w:rsidR="00F94935" w:rsidRPr="00F94935" w:rsidRDefault="00F94935" w:rsidP="009C32EB">
            <w:pPr>
              <w:pStyle w:val="Other0"/>
              <w:jc w:val="both"/>
              <w:rPr>
                <w:rFonts w:eastAsiaTheme="majorEastAsia"/>
              </w:rPr>
            </w:pPr>
            <w:r>
              <w:rPr>
                <w:rStyle w:val="Other"/>
                <w:rFonts w:eastAsiaTheme="majorEastAsia"/>
              </w:rPr>
              <w:t xml:space="preserve">Atsižvelgiant į PO reikalavimus pateikti nuolatinio galiojimo licencijas, bei į tai, kad PSVS programinės įrangos gamintojas nuolat tobulina produktą ir išleidžia naujas programinės įrangos versijas, siūlome papildyti TS 10.1.1.papunktį pridedant šį teiginį: „Pateiktoms licencijos turi būti suteikiama 24 mėnesių programinės įrangos naujumo garantija“. Šis teiginys aiškiai nustatytų reikalavimus, kad PO gali neribotą laiką naudoti įsigytą PSVS, tačiau programinė įranga bus atnaujinama tik ribotą laiko tarpą, </w:t>
            </w:r>
            <w:proofErr w:type="spellStart"/>
            <w:r>
              <w:rPr>
                <w:rStyle w:val="Other"/>
                <w:rFonts w:eastAsiaTheme="majorEastAsia"/>
              </w:rPr>
              <w:t>t.y</w:t>
            </w:r>
            <w:proofErr w:type="spellEnd"/>
            <w:r>
              <w:rPr>
                <w:rStyle w:val="Other"/>
                <w:rFonts w:eastAsiaTheme="majorEastAsia"/>
              </w:rPr>
              <w:t>. 24 mėnesius. Tokia praktika labai plačiai taikoma (pvz., Microsoft produktai).</w:t>
            </w:r>
          </w:p>
        </w:tc>
        <w:tc>
          <w:tcPr>
            <w:tcW w:w="3832" w:type="dxa"/>
            <w:tcBorders>
              <w:top w:val="single" w:sz="4" w:space="0" w:color="auto"/>
              <w:left w:val="single" w:sz="4" w:space="0" w:color="auto"/>
              <w:bottom w:val="single" w:sz="4" w:space="0" w:color="auto"/>
              <w:right w:val="single" w:sz="4" w:space="0" w:color="auto"/>
            </w:tcBorders>
          </w:tcPr>
          <w:p w14:paraId="0EF5FC57" w14:textId="1E14C640"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49F3763E" w14:textId="0DDE4736" w:rsidTr="00F94935">
        <w:trPr>
          <w:trHeight w:hRule="exact" w:val="3275"/>
          <w:jc w:val="center"/>
        </w:trPr>
        <w:tc>
          <w:tcPr>
            <w:tcW w:w="634" w:type="dxa"/>
            <w:tcBorders>
              <w:top w:val="single" w:sz="4" w:space="0" w:color="auto"/>
              <w:left w:val="single" w:sz="4" w:space="0" w:color="auto"/>
              <w:bottom w:val="single" w:sz="4" w:space="0" w:color="auto"/>
            </w:tcBorders>
            <w:shd w:val="clear" w:color="auto" w:fill="auto"/>
          </w:tcPr>
          <w:p w14:paraId="5502B43F" w14:textId="77777777" w:rsidR="00F94935" w:rsidRPr="00F94935" w:rsidRDefault="00F94935" w:rsidP="009C32EB">
            <w:pPr>
              <w:pStyle w:val="Other0"/>
              <w:rPr>
                <w:rFonts w:eastAsiaTheme="majorEastAsia"/>
              </w:rPr>
            </w:pPr>
            <w:r>
              <w:rPr>
                <w:rStyle w:val="Other"/>
                <w:rFonts w:eastAsiaTheme="majorEastAsia"/>
              </w:rPr>
              <w:t>6.</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63C9A608" w14:textId="77777777" w:rsidR="00F94935" w:rsidRPr="00F94935" w:rsidRDefault="00F94935" w:rsidP="009C32EB">
            <w:pPr>
              <w:pStyle w:val="Other0"/>
              <w:jc w:val="both"/>
              <w:rPr>
                <w:rFonts w:eastAsiaTheme="majorEastAsia"/>
              </w:rPr>
            </w:pPr>
            <w:r>
              <w:rPr>
                <w:rStyle w:val="Other"/>
                <w:rFonts w:eastAsiaTheme="majorEastAsia"/>
              </w:rPr>
              <w:t xml:space="preserve">Prašome ištaisyti loginę klaidą TS 11.1 papunktyje, nurodant, kad reakcijos greičiai yra taikomi tais atvejais, kai sistemoje vienu metu dirba ne daugiau kaip 300 vartotojų. Esamas reikalavimas „daugiau nei 300“ reikštų, kad vienodi reikalavimai yra taikomi ir tada, kai dirba 301 vartotojas, ir tada, kai dirba 3 tūkst. vartotojų. Siūlome šį punktą išdėstyti sekančiai: „sistema turi būti pritaikyta darbui ne mažiau kaip 300 darbuotojų vienu metu. Pateikus tiekėjo rekomenduojamų parametrų </w:t>
            </w:r>
            <w:proofErr w:type="spellStart"/>
            <w:r>
              <w:rPr>
                <w:rStyle w:val="Other"/>
                <w:rFonts w:eastAsiaTheme="majorEastAsia"/>
              </w:rPr>
              <w:t>serverinius</w:t>
            </w:r>
            <w:proofErr w:type="spellEnd"/>
            <w:r>
              <w:rPr>
                <w:rStyle w:val="Other"/>
                <w:rFonts w:eastAsiaTheme="majorEastAsia"/>
              </w:rPr>
              <w:t xml:space="preserve"> resursus, turi būti užtikrinti PSVS atsako laikai ne daugiau 3 sekundžių.“.</w:t>
            </w:r>
          </w:p>
        </w:tc>
        <w:tc>
          <w:tcPr>
            <w:tcW w:w="3832" w:type="dxa"/>
            <w:tcBorders>
              <w:top w:val="single" w:sz="4" w:space="0" w:color="auto"/>
              <w:left w:val="single" w:sz="4" w:space="0" w:color="auto"/>
              <w:bottom w:val="single" w:sz="4" w:space="0" w:color="auto"/>
              <w:right w:val="single" w:sz="4" w:space="0" w:color="auto"/>
            </w:tcBorders>
          </w:tcPr>
          <w:p w14:paraId="235E9F89" w14:textId="1E065760"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60A733BF" w14:textId="001B181A" w:rsidTr="00F94935">
        <w:trPr>
          <w:trHeight w:hRule="exact" w:val="1256"/>
          <w:jc w:val="center"/>
        </w:trPr>
        <w:tc>
          <w:tcPr>
            <w:tcW w:w="634" w:type="dxa"/>
            <w:tcBorders>
              <w:top w:val="single" w:sz="4" w:space="0" w:color="auto"/>
              <w:left w:val="single" w:sz="4" w:space="0" w:color="auto"/>
              <w:bottom w:val="single" w:sz="4" w:space="0" w:color="auto"/>
            </w:tcBorders>
            <w:shd w:val="clear" w:color="auto" w:fill="auto"/>
          </w:tcPr>
          <w:p w14:paraId="1C0C1399" w14:textId="77777777" w:rsidR="00F94935" w:rsidRPr="00F94935" w:rsidRDefault="00F94935" w:rsidP="009C32EB">
            <w:pPr>
              <w:pStyle w:val="Other0"/>
              <w:rPr>
                <w:rFonts w:eastAsiaTheme="majorEastAsia"/>
              </w:rPr>
            </w:pPr>
            <w:r>
              <w:rPr>
                <w:rStyle w:val="Other"/>
                <w:rFonts w:eastAsiaTheme="majorEastAsia"/>
              </w:rPr>
              <w:t>7.</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16589DB7" w14:textId="77777777" w:rsidR="00F94935" w:rsidRPr="00F94935" w:rsidRDefault="00F94935" w:rsidP="009C32EB">
            <w:pPr>
              <w:pStyle w:val="Other0"/>
              <w:jc w:val="both"/>
              <w:rPr>
                <w:rFonts w:eastAsiaTheme="majorEastAsia"/>
              </w:rPr>
            </w:pPr>
            <w:r>
              <w:rPr>
                <w:rStyle w:val="Other"/>
                <w:rFonts w:eastAsiaTheme="majorEastAsia"/>
              </w:rPr>
              <w:t xml:space="preserve">Siūlome atsisakyti TS 11.2 ir 11.3 papunkčiuose nurodytų reikalavimų, nes jie priklauso nuo įrangos ir tiekėjas šio pirkimo apimtyje nėra atsakingas už </w:t>
            </w:r>
            <w:proofErr w:type="spellStart"/>
            <w:r>
              <w:rPr>
                <w:rStyle w:val="Other"/>
                <w:rFonts w:eastAsiaTheme="majorEastAsia"/>
              </w:rPr>
              <w:t>serverinius</w:t>
            </w:r>
            <w:proofErr w:type="spellEnd"/>
            <w:r>
              <w:rPr>
                <w:rStyle w:val="Other"/>
                <w:rFonts w:eastAsiaTheme="majorEastAsia"/>
              </w:rPr>
              <w:t xml:space="preserve"> resursus.</w:t>
            </w:r>
          </w:p>
        </w:tc>
        <w:tc>
          <w:tcPr>
            <w:tcW w:w="3832" w:type="dxa"/>
            <w:tcBorders>
              <w:top w:val="single" w:sz="4" w:space="0" w:color="auto"/>
              <w:left w:val="single" w:sz="4" w:space="0" w:color="auto"/>
              <w:bottom w:val="single" w:sz="4" w:space="0" w:color="auto"/>
              <w:right w:val="single" w:sz="4" w:space="0" w:color="auto"/>
            </w:tcBorders>
          </w:tcPr>
          <w:p w14:paraId="2A783BF1" w14:textId="7452B458"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6A4C8D95" w14:textId="61A0639E" w:rsidTr="00F94935">
        <w:trPr>
          <w:trHeight w:hRule="exact" w:val="1996"/>
          <w:jc w:val="center"/>
        </w:trPr>
        <w:tc>
          <w:tcPr>
            <w:tcW w:w="634" w:type="dxa"/>
            <w:tcBorders>
              <w:top w:val="single" w:sz="4" w:space="0" w:color="auto"/>
              <w:left w:val="single" w:sz="4" w:space="0" w:color="auto"/>
              <w:bottom w:val="single" w:sz="4" w:space="0" w:color="auto"/>
            </w:tcBorders>
            <w:shd w:val="clear" w:color="auto" w:fill="auto"/>
          </w:tcPr>
          <w:p w14:paraId="0978FE0E" w14:textId="77777777" w:rsidR="00F94935" w:rsidRPr="00F94935" w:rsidRDefault="00F94935" w:rsidP="009C32EB">
            <w:pPr>
              <w:pStyle w:val="Other0"/>
              <w:rPr>
                <w:rFonts w:eastAsiaTheme="majorEastAsia"/>
              </w:rPr>
            </w:pPr>
            <w:r>
              <w:rPr>
                <w:rStyle w:val="Other"/>
                <w:rFonts w:eastAsiaTheme="majorEastAsia"/>
              </w:rPr>
              <w:t>8.</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01B7267F" w14:textId="77777777" w:rsidR="00F94935" w:rsidRPr="00F94935" w:rsidRDefault="00F94935" w:rsidP="009C32EB">
            <w:pPr>
              <w:pStyle w:val="Other0"/>
              <w:jc w:val="both"/>
              <w:rPr>
                <w:rFonts w:eastAsiaTheme="majorEastAsia"/>
              </w:rPr>
            </w:pPr>
            <w:r>
              <w:rPr>
                <w:rStyle w:val="Other"/>
                <w:rFonts w:eastAsiaTheme="majorEastAsia"/>
              </w:rPr>
              <w:t>Norime atkreipti dėmesį, kad TS 10.1.2. reikalavimas taikomas reiškia, kad licencijos neribos vartotojų skaičiaus, bet nebus galimybės įdiegtą sistemą papildyti diegiant papildomą techninę įrangą - terminalus, ekranus. Siūlome nurodyti, kad programinė įrangos licencija turi užtikrinti šio konkurso apimtyje pateikiamos įrangos kiekio veikimą.</w:t>
            </w:r>
          </w:p>
        </w:tc>
        <w:tc>
          <w:tcPr>
            <w:tcW w:w="3832" w:type="dxa"/>
            <w:tcBorders>
              <w:top w:val="single" w:sz="4" w:space="0" w:color="auto"/>
              <w:left w:val="single" w:sz="4" w:space="0" w:color="auto"/>
              <w:bottom w:val="single" w:sz="4" w:space="0" w:color="auto"/>
              <w:right w:val="single" w:sz="4" w:space="0" w:color="auto"/>
            </w:tcBorders>
          </w:tcPr>
          <w:p w14:paraId="611A8F2B" w14:textId="23DD9632"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2FD4A6B6" w14:textId="52F35E9B" w:rsidTr="00F94935">
        <w:trPr>
          <w:trHeight w:hRule="exact" w:val="2266"/>
          <w:jc w:val="center"/>
        </w:trPr>
        <w:tc>
          <w:tcPr>
            <w:tcW w:w="634" w:type="dxa"/>
            <w:tcBorders>
              <w:top w:val="single" w:sz="4" w:space="0" w:color="auto"/>
              <w:left w:val="single" w:sz="4" w:space="0" w:color="auto"/>
              <w:bottom w:val="single" w:sz="4" w:space="0" w:color="auto"/>
            </w:tcBorders>
            <w:shd w:val="clear" w:color="auto" w:fill="auto"/>
          </w:tcPr>
          <w:p w14:paraId="15E076DC" w14:textId="77777777" w:rsidR="00F94935" w:rsidRPr="00F94935" w:rsidRDefault="00F94935" w:rsidP="009C32EB">
            <w:pPr>
              <w:pStyle w:val="Other0"/>
              <w:rPr>
                <w:rFonts w:eastAsiaTheme="majorEastAsia"/>
              </w:rPr>
            </w:pPr>
            <w:r>
              <w:rPr>
                <w:rStyle w:val="Other"/>
                <w:rFonts w:eastAsiaTheme="majorEastAsia"/>
              </w:rPr>
              <w:t>9.</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5F3C855A" w14:textId="77777777" w:rsidR="00F94935" w:rsidRPr="00F94935" w:rsidRDefault="00F94935" w:rsidP="009C32EB">
            <w:pPr>
              <w:pStyle w:val="Other0"/>
              <w:jc w:val="both"/>
              <w:rPr>
                <w:rFonts w:eastAsiaTheme="majorEastAsia"/>
              </w:rPr>
            </w:pPr>
            <w:r>
              <w:rPr>
                <w:rStyle w:val="Other"/>
                <w:rFonts w:eastAsiaTheme="majorEastAsia"/>
              </w:rPr>
              <w:t>Siūlome patikslinti TS 13.1 papunktyje pateiktos lentelės 6 eilutės reikalavimų grupės „Programinė įranga“, pakeičiant pavadinimą ir nurodant, kad tai yra „Durų valdiklių programinė įranga“, kuri gali būti atskira nuo PEVS programinės įrangos ir kad šio projekto apimtyje realizuojama integracijos apimtis tarp PEVS ir Durų valdiklių programinės įrangos yra nurodyta "Procesų valdymas ir automatizavimas" reikalavimuose.</w:t>
            </w:r>
          </w:p>
        </w:tc>
        <w:tc>
          <w:tcPr>
            <w:tcW w:w="3832" w:type="dxa"/>
            <w:tcBorders>
              <w:top w:val="single" w:sz="4" w:space="0" w:color="auto"/>
              <w:left w:val="single" w:sz="4" w:space="0" w:color="auto"/>
              <w:bottom w:val="single" w:sz="4" w:space="0" w:color="auto"/>
              <w:right w:val="single" w:sz="4" w:space="0" w:color="auto"/>
            </w:tcBorders>
          </w:tcPr>
          <w:p w14:paraId="5D812F0F" w14:textId="06D7CA51"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45DB170C" w14:textId="3FF7289E" w:rsidTr="00F94935">
        <w:trPr>
          <w:trHeight w:hRule="exact" w:val="1264"/>
          <w:jc w:val="center"/>
        </w:trPr>
        <w:tc>
          <w:tcPr>
            <w:tcW w:w="634" w:type="dxa"/>
            <w:tcBorders>
              <w:top w:val="single" w:sz="4" w:space="0" w:color="auto"/>
              <w:left w:val="single" w:sz="4" w:space="0" w:color="auto"/>
              <w:bottom w:val="single" w:sz="4" w:space="0" w:color="auto"/>
            </w:tcBorders>
            <w:shd w:val="clear" w:color="auto" w:fill="auto"/>
          </w:tcPr>
          <w:p w14:paraId="0C0C65DE" w14:textId="77777777" w:rsidR="00F94935" w:rsidRPr="00F94935" w:rsidRDefault="00F94935" w:rsidP="009C32EB">
            <w:pPr>
              <w:pStyle w:val="Other0"/>
              <w:rPr>
                <w:rFonts w:eastAsiaTheme="majorEastAsia"/>
              </w:rPr>
            </w:pPr>
            <w:r>
              <w:rPr>
                <w:rStyle w:val="Other"/>
                <w:rFonts w:eastAsiaTheme="majorEastAsia"/>
              </w:rPr>
              <w:t>10.</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52ACAFA4" w14:textId="77777777" w:rsidR="00F94935" w:rsidRPr="00F94935" w:rsidRDefault="00F94935" w:rsidP="009C32EB">
            <w:pPr>
              <w:pStyle w:val="Other0"/>
              <w:jc w:val="both"/>
              <w:rPr>
                <w:rFonts w:eastAsiaTheme="majorEastAsia"/>
              </w:rPr>
            </w:pPr>
            <w:r>
              <w:rPr>
                <w:rStyle w:val="Other"/>
                <w:rFonts w:eastAsiaTheme="majorEastAsia"/>
              </w:rPr>
              <w:t xml:space="preserve">Siūlome patikslinti TS 13.1 papunktyje pateiktos lentelės 8 eilutės 10 punkto reikalavimus, nurodant, kad naudotojų teisės ir rolės yra valdomos </w:t>
            </w:r>
            <w:r w:rsidRPr="00F94935">
              <w:rPr>
                <w:rStyle w:val="Other"/>
                <w:rFonts w:eastAsiaTheme="majorEastAsia"/>
              </w:rPr>
              <w:t xml:space="preserve">per </w:t>
            </w:r>
            <w:proofErr w:type="spellStart"/>
            <w:r w:rsidRPr="00F94935">
              <w:rPr>
                <w:rStyle w:val="Other"/>
                <w:rFonts w:eastAsiaTheme="majorEastAsia"/>
              </w:rPr>
              <w:t>Active</w:t>
            </w:r>
            <w:proofErr w:type="spellEnd"/>
            <w:r w:rsidRPr="00F94935">
              <w:rPr>
                <w:rStyle w:val="Other"/>
                <w:rFonts w:eastAsiaTheme="majorEastAsia"/>
              </w:rPr>
              <w:t xml:space="preserve"> </w:t>
            </w:r>
            <w:proofErr w:type="spellStart"/>
            <w:r w:rsidRPr="00F94935">
              <w:rPr>
                <w:rStyle w:val="Other"/>
                <w:rFonts w:eastAsiaTheme="majorEastAsia"/>
              </w:rPr>
              <w:t>Directory</w:t>
            </w:r>
            <w:proofErr w:type="spellEnd"/>
            <w:r w:rsidRPr="00F94935">
              <w:rPr>
                <w:rStyle w:val="Other"/>
                <w:rFonts w:eastAsiaTheme="majorEastAsia"/>
              </w:rPr>
              <w:t xml:space="preserve"> </w:t>
            </w:r>
            <w:r>
              <w:rPr>
                <w:rStyle w:val="Other"/>
                <w:rFonts w:eastAsiaTheme="majorEastAsia"/>
              </w:rPr>
              <w:t>(</w:t>
            </w:r>
            <w:proofErr w:type="spellStart"/>
            <w:r>
              <w:rPr>
                <w:rStyle w:val="Other"/>
                <w:rFonts w:eastAsiaTheme="majorEastAsia"/>
              </w:rPr>
              <w:t>Entra</w:t>
            </w:r>
            <w:proofErr w:type="spellEnd"/>
            <w:r>
              <w:rPr>
                <w:rStyle w:val="Other"/>
                <w:rFonts w:eastAsiaTheme="majorEastAsia"/>
              </w:rPr>
              <w:t xml:space="preserve"> </w:t>
            </w:r>
            <w:r w:rsidRPr="00F94935">
              <w:rPr>
                <w:rStyle w:val="Other"/>
                <w:rFonts w:eastAsiaTheme="majorEastAsia"/>
              </w:rPr>
              <w:t>ID).</w:t>
            </w:r>
          </w:p>
        </w:tc>
        <w:tc>
          <w:tcPr>
            <w:tcW w:w="3832" w:type="dxa"/>
            <w:tcBorders>
              <w:top w:val="single" w:sz="4" w:space="0" w:color="auto"/>
              <w:left w:val="single" w:sz="4" w:space="0" w:color="auto"/>
              <w:bottom w:val="single" w:sz="4" w:space="0" w:color="auto"/>
              <w:right w:val="single" w:sz="4" w:space="0" w:color="auto"/>
            </w:tcBorders>
          </w:tcPr>
          <w:p w14:paraId="07DE0AE5" w14:textId="1F794A36"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0BFF72EE" w14:textId="6C54B055" w:rsidTr="00F94935">
        <w:trPr>
          <w:trHeight w:hRule="exact" w:val="1290"/>
          <w:jc w:val="center"/>
        </w:trPr>
        <w:tc>
          <w:tcPr>
            <w:tcW w:w="634" w:type="dxa"/>
            <w:tcBorders>
              <w:top w:val="single" w:sz="4" w:space="0" w:color="auto"/>
              <w:left w:val="single" w:sz="4" w:space="0" w:color="auto"/>
              <w:bottom w:val="single" w:sz="4" w:space="0" w:color="auto"/>
            </w:tcBorders>
            <w:shd w:val="clear" w:color="auto" w:fill="auto"/>
          </w:tcPr>
          <w:p w14:paraId="010FF37E" w14:textId="77777777" w:rsidR="00F94935" w:rsidRPr="00F94935" w:rsidRDefault="00F94935" w:rsidP="009C32EB">
            <w:pPr>
              <w:pStyle w:val="Other0"/>
              <w:rPr>
                <w:rFonts w:eastAsiaTheme="majorEastAsia"/>
              </w:rPr>
            </w:pPr>
            <w:r>
              <w:rPr>
                <w:rStyle w:val="Other"/>
                <w:rFonts w:eastAsiaTheme="majorEastAsia"/>
              </w:rPr>
              <w:lastRenderedPageBreak/>
              <w:t>11.</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5BFCCADD" w14:textId="77777777" w:rsidR="00F94935" w:rsidRPr="00F94935" w:rsidRDefault="00F94935" w:rsidP="009C32EB">
            <w:pPr>
              <w:pStyle w:val="Other0"/>
              <w:jc w:val="both"/>
              <w:rPr>
                <w:rFonts w:eastAsiaTheme="majorEastAsia"/>
              </w:rPr>
            </w:pPr>
            <w:r>
              <w:rPr>
                <w:rStyle w:val="Other"/>
                <w:rFonts w:eastAsiaTheme="majorEastAsia"/>
              </w:rPr>
              <w:t>Siūlome patikslinti TS 13.1 papunktyje pateiktos lentelės 8 eilutės 12 punktą, nurodant kad bilietas suderinamas diegimo metu ir tiekėjas jį įdiegia arba bilietų koregavimo funkcijos apimtis suderinama diegimo metu.</w:t>
            </w:r>
          </w:p>
        </w:tc>
        <w:tc>
          <w:tcPr>
            <w:tcW w:w="3832" w:type="dxa"/>
            <w:tcBorders>
              <w:top w:val="single" w:sz="4" w:space="0" w:color="auto"/>
              <w:left w:val="single" w:sz="4" w:space="0" w:color="auto"/>
              <w:bottom w:val="single" w:sz="4" w:space="0" w:color="auto"/>
              <w:right w:val="single" w:sz="4" w:space="0" w:color="auto"/>
            </w:tcBorders>
          </w:tcPr>
          <w:p w14:paraId="07FD8F1D" w14:textId="0B20C9B8"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04B3FA9E" w14:textId="2568041C" w:rsidTr="00F94935">
        <w:trPr>
          <w:trHeight w:hRule="exact" w:val="1123"/>
          <w:jc w:val="center"/>
        </w:trPr>
        <w:tc>
          <w:tcPr>
            <w:tcW w:w="634" w:type="dxa"/>
            <w:tcBorders>
              <w:top w:val="single" w:sz="4" w:space="0" w:color="auto"/>
              <w:left w:val="single" w:sz="4" w:space="0" w:color="auto"/>
              <w:bottom w:val="single" w:sz="4" w:space="0" w:color="auto"/>
            </w:tcBorders>
            <w:shd w:val="clear" w:color="auto" w:fill="auto"/>
          </w:tcPr>
          <w:p w14:paraId="61E8CFF4" w14:textId="77777777" w:rsidR="00F94935" w:rsidRPr="00F94935" w:rsidRDefault="00F94935" w:rsidP="009C32EB">
            <w:pPr>
              <w:pStyle w:val="Other0"/>
              <w:rPr>
                <w:rFonts w:eastAsiaTheme="majorEastAsia"/>
              </w:rPr>
            </w:pPr>
            <w:r>
              <w:rPr>
                <w:rStyle w:val="Other"/>
                <w:rFonts w:eastAsiaTheme="majorEastAsia"/>
              </w:rPr>
              <w:t>12.</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3B7EA606" w14:textId="77777777" w:rsidR="00F94935" w:rsidRPr="00F94935" w:rsidRDefault="00F94935" w:rsidP="009C32EB">
            <w:pPr>
              <w:pStyle w:val="Other0"/>
              <w:jc w:val="both"/>
              <w:rPr>
                <w:rFonts w:eastAsiaTheme="majorEastAsia"/>
              </w:rPr>
            </w:pPr>
            <w:r>
              <w:rPr>
                <w:rStyle w:val="Other"/>
                <w:rFonts w:eastAsiaTheme="majorEastAsia"/>
              </w:rPr>
              <w:t>Siūlome atsisakyti TS 13.1 papunktyje pateiktos lentelės 10 eilutės, nes tokio funkcionalumo privalomas būvimas ir reikalavimai nurodyti 13.1 papunktyje pateiktos lentelės 6 eilutėje.</w:t>
            </w:r>
          </w:p>
        </w:tc>
        <w:tc>
          <w:tcPr>
            <w:tcW w:w="3832" w:type="dxa"/>
            <w:tcBorders>
              <w:top w:val="single" w:sz="4" w:space="0" w:color="auto"/>
              <w:left w:val="single" w:sz="4" w:space="0" w:color="auto"/>
              <w:bottom w:val="single" w:sz="4" w:space="0" w:color="auto"/>
              <w:right w:val="single" w:sz="4" w:space="0" w:color="auto"/>
            </w:tcBorders>
          </w:tcPr>
          <w:p w14:paraId="22725EF8" w14:textId="03E751FE"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r w:rsidR="00F94935" w14:paraId="0C8F452F" w14:textId="18B21DCC" w:rsidTr="00F94935">
        <w:trPr>
          <w:trHeight w:hRule="exact" w:val="1566"/>
          <w:jc w:val="center"/>
        </w:trPr>
        <w:tc>
          <w:tcPr>
            <w:tcW w:w="634" w:type="dxa"/>
            <w:tcBorders>
              <w:top w:val="single" w:sz="4" w:space="0" w:color="auto"/>
              <w:left w:val="single" w:sz="4" w:space="0" w:color="auto"/>
              <w:bottom w:val="single" w:sz="4" w:space="0" w:color="auto"/>
            </w:tcBorders>
            <w:shd w:val="clear" w:color="auto" w:fill="auto"/>
          </w:tcPr>
          <w:p w14:paraId="07A228FD" w14:textId="77777777" w:rsidR="00F94935" w:rsidRPr="00F94935" w:rsidRDefault="00F94935" w:rsidP="009C32EB">
            <w:pPr>
              <w:pStyle w:val="Other0"/>
              <w:rPr>
                <w:rFonts w:eastAsiaTheme="majorEastAsia"/>
              </w:rPr>
            </w:pPr>
            <w:r>
              <w:rPr>
                <w:rStyle w:val="Other"/>
                <w:rFonts w:eastAsiaTheme="majorEastAsia"/>
              </w:rPr>
              <w:t>13.</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bottom"/>
          </w:tcPr>
          <w:p w14:paraId="730B1E1D" w14:textId="77777777" w:rsidR="00F94935" w:rsidRPr="00F94935" w:rsidRDefault="00F94935" w:rsidP="009C32EB">
            <w:pPr>
              <w:pStyle w:val="Other0"/>
              <w:jc w:val="both"/>
              <w:rPr>
                <w:rFonts w:eastAsiaTheme="majorEastAsia"/>
              </w:rPr>
            </w:pPr>
            <w:r>
              <w:rPr>
                <w:rStyle w:val="Other"/>
                <w:rFonts w:eastAsiaTheme="majorEastAsia"/>
              </w:rPr>
              <w:t xml:space="preserve">Siūlome patikslinti TS </w:t>
            </w:r>
            <w:proofErr w:type="spellStart"/>
            <w:r>
              <w:rPr>
                <w:rStyle w:val="Other"/>
                <w:rFonts w:eastAsiaTheme="majorEastAsia"/>
              </w:rPr>
              <w:t>TS</w:t>
            </w:r>
            <w:proofErr w:type="spellEnd"/>
            <w:r>
              <w:rPr>
                <w:rStyle w:val="Other"/>
                <w:rFonts w:eastAsiaTheme="majorEastAsia"/>
              </w:rPr>
              <w:t xml:space="preserve"> 13.1 papunktyje pateiktos lentelės 11 eilutę, atsisakant reikalavimo „bei toks pat grafinis atvaizdavimas kaip šiuo metu naudojamuose informaciniuose ekranuose.”, nes neaišku, kokius kitokius informacinius ekranus šiuo metu naudoja PO.</w:t>
            </w:r>
          </w:p>
        </w:tc>
        <w:tc>
          <w:tcPr>
            <w:tcW w:w="3832" w:type="dxa"/>
            <w:tcBorders>
              <w:top w:val="single" w:sz="4" w:space="0" w:color="auto"/>
              <w:left w:val="single" w:sz="4" w:space="0" w:color="auto"/>
              <w:bottom w:val="single" w:sz="4" w:space="0" w:color="auto"/>
              <w:right w:val="single" w:sz="4" w:space="0" w:color="auto"/>
            </w:tcBorders>
          </w:tcPr>
          <w:p w14:paraId="042DDC73" w14:textId="5C412EF3" w:rsidR="00F94935" w:rsidRDefault="000373D2" w:rsidP="009C32EB">
            <w:pPr>
              <w:pStyle w:val="Other0"/>
              <w:jc w:val="both"/>
              <w:rPr>
                <w:rStyle w:val="Other"/>
                <w:rFonts w:eastAsiaTheme="majorEastAsia"/>
              </w:rPr>
            </w:pPr>
            <w:r>
              <w:rPr>
                <w:rStyle w:val="Other"/>
                <w:rFonts w:eastAsiaTheme="majorEastAsia"/>
              </w:rPr>
              <w:t>Į siūlymą bus atsižvelgta patikslinant techninę specifikaciją</w:t>
            </w:r>
          </w:p>
        </w:tc>
      </w:tr>
    </w:tbl>
    <w:p w14:paraId="50E3100A" w14:textId="77777777" w:rsidR="00F94935" w:rsidRDefault="00F94935"/>
    <w:p w14:paraId="2F2EA389" w14:textId="16157EDE" w:rsidR="005F7421" w:rsidRPr="005F7421" w:rsidRDefault="005F7421">
      <w:pPr>
        <w:rPr>
          <w:rFonts w:ascii="Times New Roman" w:hAnsi="Times New Roman" w:cs="Times New Roman"/>
        </w:rPr>
      </w:pPr>
    </w:p>
    <w:sectPr w:rsidR="005F7421" w:rsidRPr="005F7421" w:rsidSect="00F94935">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35"/>
    <w:rsid w:val="000373D2"/>
    <w:rsid w:val="00163E6C"/>
    <w:rsid w:val="005F7421"/>
    <w:rsid w:val="008D1819"/>
    <w:rsid w:val="00C158F4"/>
    <w:rsid w:val="00CD2D2D"/>
    <w:rsid w:val="00DE6CD6"/>
    <w:rsid w:val="00F32E49"/>
    <w:rsid w:val="00F94935"/>
    <w:rsid w:val="00FF6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23D5"/>
  <w15:chartTrackingRefBased/>
  <w15:docId w15:val="{FFF5B19E-6B69-483C-B5C4-861C02E8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4935"/>
    <w:pPr>
      <w:widowControl w:val="0"/>
      <w:spacing w:after="0" w:line="240" w:lineRule="auto"/>
    </w:pPr>
    <w:rPr>
      <w:rFonts w:ascii="Microsoft Sans Serif" w:eastAsia="Microsoft Sans Serif" w:hAnsi="Microsoft Sans Serif" w:cs="Microsoft Sans Serif"/>
      <w:color w:val="000000"/>
      <w:kern w:val="0"/>
      <w:lang w:eastAsia="lt-LT" w:bidi="lt-LT"/>
      <w14:ligatures w14:val="none"/>
    </w:rPr>
  </w:style>
  <w:style w:type="paragraph" w:styleId="Antrat1">
    <w:name w:val="heading 1"/>
    <w:basedOn w:val="prastasis"/>
    <w:next w:val="prastasis"/>
    <w:link w:val="Antrat1Diagrama"/>
    <w:uiPriority w:val="9"/>
    <w:qFormat/>
    <w:rsid w:val="00F94935"/>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F94935"/>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F94935"/>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F94935"/>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Antrat5">
    <w:name w:val="heading 5"/>
    <w:basedOn w:val="prastasis"/>
    <w:next w:val="prastasis"/>
    <w:link w:val="Antrat5Diagrama"/>
    <w:uiPriority w:val="9"/>
    <w:semiHidden/>
    <w:unhideWhenUsed/>
    <w:qFormat/>
    <w:rsid w:val="00F94935"/>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Antrat6">
    <w:name w:val="heading 6"/>
    <w:basedOn w:val="prastasis"/>
    <w:next w:val="prastasis"/>
    <w:link w:val="Antrat6Diagrama"/>
    <w:uiPriority w:val="9"/>
    <w:semiHidden/>
    <w:unhideWhenUsed/>
    <w:qFormat/>
    <w:rsid w:val="00F94935"/>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Antrat7">
    <w:name w:val="heading 7"/>
    <w:basedOn w:val="prastasis"/>
    <w:next w:val="prastasis"/>
    <w:link w:val="Antrat7Diagrama"/>
    <w:uiPriority w:val="9"/>
    <w:semiHidden/>
    <w:unhideWhenUsed/>
    <w:qFormat/>
    <w:rsid w:val="00F94935"/>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Antrat8">
    <w:name w:val="heading 8"/>
    <w:basedOn w:val="prastasis"/>
    <w:next w:val="prastasis"/>
    <w:link w:val="Antrat8Diagrama"/>
    <w:uiPriority w:val="9"/>
    <w:semiHidden/>
    <w:unhideWhenUsed/>
    <w:qFormat/>
    <w:rsid w:val="00F94935"/>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Antrat9">
    <w:name w:val="heading 9"/>
    <w:basedOn w:val="prastasis"/>
    <w:next w:val="prastasis"/>
    <w:link w:val="Antrat9Diagrama"/>
    <w:uiPriority w:val="9"/>
    <w:semiHidden/>
    <w:unhideWhenUsed/>
    <w:qFormat/>
    <w:rsid w:val="00F94935"/>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4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4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4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4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4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4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4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4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4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4935"/>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F94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4935"/>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F94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4935"/>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aDiagrama">
    <w:name w:val="Citata Diagrama"/>
    <w:basedOn w:val="Numatytasispastraiposriftas"/>
    <w:link w:val="Citata"/>
    <w:uiPriority w:val="29"/>
    <w:rsid w:val="00F94935"/>
    <w:rPr>
      <w:i/>
      <w:iCs/>
      <w:color w:val="404040" w:themeColor="text1" w:themeTint="BF"/>
    </w:rPr>
  </w:style>
  <w:style w:type="paragraph" w:styleId="Sraopastraipa">
    <w:name w:val="List Paragraph"/>
    <w:basedOn w:val="prastasis"/>
    <w:uiPriority w:val="34"/>
    <w:qFormat/>
    <w:rsid w:val="00F94935"/>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Rykuspabraukimas">
    <w:name w:val="Intense Emphasis"/>
    <w:basedOn w:val="Numatytasispastraiposriftas"/>
    <w:uiPriority w:val="21"/>
    <w:qFormat/>
    <w:rsid w:val="00F94935"/>
    <w:rPr>
      <w:i/>
      <w:iCs/>
      <w:color w:val="0F4761" w:themeColor="accent1" w:themeShade="BF"/>
    </w:rPr>
  </w:style>
  <w:style w:type="paragraph" w:styleId="Iskirtacitata">
    <w:name w:val="Intense Quote"/>
    <w:basedOn w:val="prastasis"/>
    <w:next w:val="prastasis"/>
    <w:link w:val="IskirtacitataDiagrama"/>
    <w:uiPriority w:val="30"/>
    <w:qFormat/>
    <w:rsid w:val="00F9493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F94935"/>
    <w:rPr>
      <w:i/>
      <w:iCs/>
      <w:color w:val="0F4761" w:themeColor="accent1" w:themeShade="BF"/>
    </w:rPr>
  </w:style>
  <w:style w:type="character" w:styleId="Rykinuoroda">
    <w:name w:val="Intense Reference"/>
    <w:basedOn w:val="Numatytasispastraiposriftas"/>
    <w:uiPriority w:val="32"/>
    <w:qFormat/>
    <w:rsid w:val="00F94935"/>
    <w:rPr>
      <w:b/>
      <w:bCs/>
      <w:smallCaps/>
      <w:color w:val="0F4761" w:themeColor="accent1" w:themeShade="BF"/>
      <w:spacing w:val="5"/>
    </w:rPr>
  </w:style>
  <w:style w:type="character" w:customStyle="1" w:styleId="Other">
    <w:name w:val="Other_"/>
    <w:basedOn w:val="Numatytasispastraiposriftas"/>
    <w:link w:val="Other0"/>
    <w:rsid w:val="00F94935"/>
    <w:rPr>
      <w:rFonts w:ascii="Times New Roman" w:eastAsia="Times New Roman" w:hAnsi="Times New Roman" w:cs="Times New Roman"/>
    </w:rPr>
  </w:style>
  <w:style w:type="paragraph" w:customStyle="1" w:styleId="Other0">
    <w:name w:val="Other"/>
    <w:basedOn w:val="prastasis"/>
    <w:link w:val="Other"/>
    <w:rsid w:val="00F94935"/>
    <w:rPr>
      <w:rFonts w:ascii="Times New Roman" w:eastAsia="Times New Roman" w:hAnsi="Times New Roman" w:cs="Times New Roman"/>
      <w:color w:val="auto"/>
      <w:kern w:val="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3883</Words>
  <Characters>2214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dc:creator>
  <cp:keywords/>
  <dc:description/>
  <cp:lastModifiedBy>VRP</cp:lastModifiedBy>
  <cp:revision>4</cp:revision>
  <dcterms:created xsi:type="dcterms:W3CDTF">2025-05-28T05:49:00Z</dcterms:created>
  <dcterms:modified xsi:type="dcterms:W3CDTF">2025-06-02T09:50:00Z</dcterms:modified>
</cp:coreProperties>
</file>