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719C" w14:textId="25E09177" w:rsidR="00215ED9" w:rsidRPr="00FB2745" w:rsidRDefault="000F62C5" w:rsidP="00215ED9">
      <w:pPr>
        <w:tabs>
          <w:tab w:val="left" w:pos="851"/>
          <w:tab w:val="left" w:pos="993"/>
          <w:tab w:val="num" w:pos="1276"/>
          <w:tab w:val="left" w:pos="5647"/>
        </w:tabs>
        <w:spacing w:after="0" w:line="240" w:lineRule="auto"/>
        <w:contextualSpacing/>
        <w:jc w:val="right"/>
        <w:rPr>
          <w:rFonts w:ascii="Calibri" w:eastAsia="Times New Roman" w:hAnsi="Calibri" w:cs="Calibri"/>
          <w:sz w:val="24"/>
          <w:szCs w:val="24"/>
          <w:lang w:val="en-GB" w:eastAsia="en-US"/>
        </w:rPr>
      </w:pPr>
      <w:r w:rsidRPr="00FB2745">
        <w:rPr>
          <w:rFonts w:ascii="Calibri" w:eastAsia="Times New Roman" w:hAnsi="Calibri" w:cs="Calibri"/>
          <w:sz w:val="24"/>
          <w:szCs w:val="24"/>
          <w:lang w:val="en-GB" w:eastAsia="en-US"/>
        </w:rPr>
        <w:t>Annex No 2</w:t>
      </w:r>
    </w:p>
    <w:p w14:paraId="41E24B42" w14:textId="3F895A78" w:rsidR="008B0015" w:rsidRPr="00724BEB" w:rsidRDefault="000F62C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val="en-GB" w:eastAsia="en-US"/>
        </w:rPr>
      </w:pPr>
      <w:r w:rsidRPr="00724BEB">
        <w:rPr>
          <w:rFonts w:eastAsia="Times New Roman" w:cstheme="minorHAnsi"/>
          <w:b/>
          <w:sz w:val="24"/>
          <w:szCs w:val="24"/>
          <w:lang w:val="en-GB" w:eastAsia="en-US"/>
        </w:rPr>
        <w:t>Qualification requirements</w:t>
      </w:r>
    </w:p>
    <w:p w14:paraId="15155DC1" w14:textId="6E7B0C33" w:rsidR="008B0015" w:rsidRPr="000F62C5" w:rsidRDefault="008B0015" w:rsidP="00596235">
      <w:pPr>
        <w:tabs>
          <w:tab w:val="left" w:pos="851"/>
          <w:tab w:val="left" w:pos="993"/>
          <w:tab w:val="num" w:pos="1276"/>
          <w:tab w:val="left" w:pos="5647"/>
        </w:tabs>
        <w:spacing w:after="0" w:line="240" w:lineRule="auto"/>
        <w:contextualSpacing/>
        <w:jc w:val="both"/>
        <w:rPr>
          <w:rFonts w:ascii="Times New Roman" w:eastAsia="Times New Roman" w:hAnsi="Times New Roman" w:cs="Times New Roman"/>
          <w:b/>
          <w:sz w:val="22"/>
          <w:szCs w:val="22"/>
          <w:lang w:val="en-GB" w:eastAsia="en-US"/>
        </w:rPr>
      </w:pPr>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1"/>
        <w:gridCol w:w="2390"/>
        <w:gridCol w:w="3760"/>
        <w:gridCol w:w="2821"/>
      </w:tblGrid>
      <w:tr w:rsidR="007B4122" w:rsidRPr="00E012B8" w14:paraId="5337E51F" w14:textId="77777777" w:rsidTr="1DEC623B">
        <w:trPr>
          <w:trHeight w:val="241"/>
        </w:trPr>
        <w:tc>
          <w:tcPr>
            <w:tcW w:w="357" w:type="pct"/>
            <w:shd w:val="clear" w:color="auto" w:fill="F2F2F2" w:themeFill="background1" w:themeFillShade="F2"/>
            <w:vAlign w:val="center"/>
          </w:tcPr>
          <w:p w14:paraId="0E3D7FBB" w14:textId="77777777" w:rsidR="007B4122" w:rsidRPr="00E012B8" w:rsidRDefault="007B4122" w:rsidP="00DD7964">
            <w:pPr>
              <w:spacing w:after="0" w:line="240" w:lineRule="auto"/>
              <w:jc w:val="both"/>
              <w:rPr>
                <w:rFonts w:eastAsia="Calibri" w:cstheme="minorHAnsi"/>
                <w:b/>
                <w:color w:val="000000" w:themeColor="text1"/>
                <w:spacing w:val="-8"/>
                <w:sz w:val="22"/>
                <w:szCs w:val="22"/>
                <w:lang w:val="en-GB" w:eastAsia="en-US"/>
              </w:rPr>
            </w:pPr>
            <w:r>
              <w:rPr>
                <w:rFonts w:eastAsia="Calibri" w:cstheme="minorHAnsi"/>
                <w:b/>
                <w:color w:val="000000" w:themeColor="text1"/>
                <w:spacing w:val="-8"/>
                <w:sz w:val="22"/>
                <w:szCs w:val="22"/>
                <w:lang w:val="en-GB" w:eastAsia="en-US"/>
              </w:rPr>
              <w:t>No.</w:t>
            </w:r>
          </w:p>
        </w:tc>
        <w:tc>
          <w:tcPr>
            <w:tcW w:w="1237" w:type="pct"/>
            <w:shd w:val="clear" w:color="auto" w:fill="F2F2F2" w:themeFill="background1" w:themeFillShade="F2"/>
            <w:vAlign w:val="center"/>
          </w:tcPr>
          <w:p w14:paraId="6859DE95" w14:textId="77777777" w:rsidR="007B4122" w:rsidRPr="00E012B8" w:rsidRDefault="007B4122" w:rsidP="00DD7964">
            <w:pPr>
              <w:spacing w:after="0" w:line="240" w:lineRule="auto"/>
              <w:jc w:val="center"/>
              <w:rPr>
                <w:rFonts w:eastAsia="Calibri" w:cstheme="minorHAnsi"/>
                <w:b/>
                <w:color w:val="000000" w:themeColor="text1"/>
                <w:spacing w:val="-8"/>
                <w:sz w:val="22"/>
                <w:szCs w:val="22"/>
                <w:lang w:val="en-GB" w:eastAsia="en-US"/>
              </w:rPr>
            </w:pPr>
            <w:r w:rsidRPr="00022A5D">
              <w:rPr>
                <w:rFonts w:eastAsia="Calibri" w:cstheme="minorHAnsi"/>
                <w:b/>
                <w:color w:val="000000" w:themeColor="text1"/>
                <w:spacing w:val="-8"/>
                <w:sz w:val="22"/>
                <w:szCs w:val="22"/>
                <w:lang w:val="en-GB" w:eastAsia="en-US"/>
              </w:rPr>
              <w:t>Qualification requirements</w:t>
            </w:r>
          </w:p>
        </w:tc>
        <w:tc>
          <w:tcPr>
            <w:tcW w:w="1946" w:type="pct"/>
            <w:shd w:val="clear" w:color="auto" w:fill="F2F2F2" w:themeFill="background1" w:themeFillShade="F2"/>
            <w:vAlign w:val="center"/>
          </w:tcPr>
          <w:p w14:paraId="5ABCD611" w14:textId="77777777" w:rsidR="007B4122" w:rsidRPr="00022A5D" w:rsidRDefault="007B4122" w:rsidP="00DD7964">
            <w:pPr>
              <w:spacing w:after="0" w:line="240" w:lineRule="auto"/>
              <w:jc w:val="center"/>
              <w:rPr>
                <w:rFonts w:eastAsia="Calibri" w:cstheme="minorHAnsi"/>
                <w:b/>
                <w:color w:val="000000" w:themeColor="text1"/>
                <w:spacing w:val="-8"/>
                <w:sz w:val="22"/>
                <w:szCs w:val="22"/>
                <w:lang w:val="en-GB" w:eastAsia="en-US"/>
              </w:rPr>
            </w:pPr>
            <w:r w:rsidRPr="00022A5D">
              <w:rPr>
                <w:rFonts w:eastAsia="Calibri" w:cstheme="minorHAnsi"/>
                <w:b/>
                <w:color w:val="000000" w:themeColor="text1"/>
                <w:spacing w:val="-8"/>
                <w:sz w:val="22"/>
                <w:szCs w:val="22"/>
                <w:lang w:val="en-GB" w:eastAsia="en-US"/>
              </w:rPr>
              <w:t>Documents proving compliance</w:t>
            </w:r>
          </w:p>
          <w:p w14:paraId="196D1F26" w14:textId="77777777" w:rsidR="007B4122" w:rsidRPr="00022A5D" w:rsidRDefault="007B4122" w:rsidP="00DD7964">
            <w:pPr>
              <w:spacing w:after="0" w:line="240" w:lineRule="auto"/>
              <w:jc w:val="center"/>
              <w:rPr>
                <w:rFonts w:eastAsia="Calibri" w:cstheme="minorHAnsi"/>
                <w:bCs/>
                <w:color w:val="000000" w:themeColor="text1"/>
                <w:spacing w:val="-8"/>
                <w:sz w:val="22"/>
                <w:szCs w:val="22"/>
                <w:lang w:val="en-GB" w:eastAsia="en-US"/>
              </w:rPr>
            </w:pPr>
            <w:r w:rsidRPr="00022A5D">
              <w:rPr>
                <w:rFonts w:eastAsia="Calibri" w:cstheme="minorHAnsi"/>
                <w:bCs/>
                <w:color w:val="000000" w:themeColor="text1"/>
                <w:spacing w:val="-8"/>
                <w:sz w:val="22"/>
                <w:szCs w:val="22"/>
                <w:lang w:val="en-GB" w:eastAsia="en-US"/>
              </w:rPr>
              <w:t>(to be provided on request to the contracting authority)</w:t>
            </w:r>
          </w:p>
        </w:tc>
        <w:tc>
          <w:tcPr>
            <w:tcW w:w="1460" w:type="pct"/>
            <w:shd w:val="clear" w:color="auto" w:fill="F2F2F2" w:themeFill="background1" w:themeFillShade="F2"/>
          </w:tcPr>
          <w:p w14:paraId="0A50A789" w14:textId="77777777" w:rsidR="007B4122" w:rsidRPr="00E012B8" w:rsidRDefault="007B4122" w:rsidP="00DD7964">
            <w:pPr>
              <w:spacing w:after="0" w:line="240" w:lineRule="auto"/>
              <w:jc w:val="center"/>
              <w:rPr>
                <w:rFonts w:eastAsia="Calibri" w:cstheme="minorHAnsi"/>
                <w:b/>
                <w:color w:val="000000" w:themeColor="text1"/>
                <w:spacing w:val="-8"/>
                <w:sz w:val="22"/>
                <w:szCs w:val="22"/>
                <w:highlight w:val="yellow"/>
                <w:lang w:val="en-GB" w:eastAsia="en-US"/>
              </w:rPr>
            </w:pPr>
            <w:r w:rsidRPr="00022A5D">
              <w:rPr>
                <w:rFonts w:eastAsia="Calibri" w:cstheme="minorHAnsi"/>
                <w:b/>
                <w:color w:val="000000" w:themeColor="text1"/>
                <w:spacing w:val="-8"/>
                <w:sz w:val="22"/>
                <w:szCs w:val="22"/>
                <w:lang w:val="en-GB" w:eastAsia="en-US"/>
              </w:rPr>
              <w:t>Entity that must meet the qualification requirement</w:t>
            </w:r>
          </w:p>
        </w:tc>
      </w:tr>
      <w:tr w:rsidR="00FB2745" w:rsidRPr="00E012B8" w14:paraId="25A79C2F" w14:textId="77777777" w:rsidTr="1DEC623B">
        <w:trPr>
          <w:trHeight w:val="257"/>
        </w:trPr>
        <w:tc>
          <w:tcPr>
            <w:tcW w:w="357" w:type="pct"/>
            <w:shd w:val="clear" w:color="auto" w:fill="F2F2F2" w:themeFill="background1" w:themeFillShade="F2"/>
            <w:vAlign w:val="center"/>
          </w:tcPr>
          <w:p w14:paraId="225DB280" w14:textId="77777777" w:rsidR="00FB2745" w:rsidRPr="00E012B8" w:rsidRDefault="00FB2745" w:rsidP="00FB2745">
            <w:pPr>
              <w:numPr>
                <w:ilvl w:val="0"/>
                <w:numId w:val="4"/>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val="en-GB" w:eastAsia="en-US"/>
              </w:rPr>
            </w:pPr>
          </w:p>
        </w:tc>
        <w:tc>
          <w:tcPr>
            <w:tcW w:w="1237" w:type="pct"/>
            <w:shd w:val="clear" w:color="auto" w:fill="auto"/>
          </w:tcPr>
          <w:p w14:paraId="4B6016DD" w14:textId="34D6A409" w:rsidR="00FB2745" w:rsidRPr="001C0D43" w:rsidRDefault="1DEC623B" w:rsidP="1DEC623B">
            <w:pPr>
              <w:widowControl w:val="0"/>
              <w:tabs>
                <w:tab w:val="left" w:pos="1276"/>
              </w:tabs>
              <w:spacing w:line="240" w:lineRule="auto"/>
              <w:jc w:val="both"/>
              <w:outlineLvl w:val="1"/>
              <w:rPr>
                <w:rFonts w:ascii="Calibri" w:eastAsia="Times New Roman" w:hAnsi="Calibri" w:cs="Calibri"/>
                <w:sz w:val="22"/>
                <w:szCs w:val="22"/>
                <w:lang w:val="en-GB" w:eastAsia="en-US"/>
              </w:rPr>
            </w:pPr>
            <w:r w:rsidRPr="1DEC623B">
              <w:rPr>
                <w:rFonts w:ascii="Calibri" w:eastAsia="Times New Roman" w:hAnsi="Calibri" w:cs="Calibri"/>
                <w:sz w:val="22"/>
                <w:szCs w:val="22"/>
                <w:lang w:val="en-GB" w:eastAsia="en-US"/>
              </w:rPr>
              <w:t xml:space="preserve">The Supplier has, within the last 3 years, or within the period from the date of registration of the Supplier (if the Supplier has been established for less than 3 years) until the closing date for the </w:t>
            </w:r>
            <w:r w:rsidRPr="00E47D59">
              <w:rPr>
                <w:rFonts w:ascii="Calibri" w:eastAsia="Times New Roman" w:hAnsi="Calibri" w:cs="Calibri"/>
                <w:sz w:val="22"/>
                <w:szCs w:val="22"/>
                <w:lang w:val="en-GB" w:eastAsia="en-US"/>
              </w:rPr>
              <w:t xml:space="preserve">submission of tenders, </w:t>
            </w:r>
            <w:r w:rsidR="00722AE3" w:rsidRPr="00E47D59">
              <w:rPr>
                <w:rFonts w:ascii="Calibri" w:eastAsia="Times New Roman" w:hAnsi="Calibri" w:cs="Calibri"/>
                <w:sz w:val="22"/>
                <w:szCs w:val="22"/>
                <w:lang w:val="en-GB" w:eastAsia="en-US"/>
              </w:rPr>
              <w:t>must have properly executed or still executing at least 1 (one) agreement to install, configure, and start the contact (call) centre</w:t>
            </w:r>
            <w:r w:rsidRPr="00E47D59">
              <w:rPr>
                <w:rFonts w:ascii="Calibri" w:eastAsia="Times New Roman" w:hAnsi="Calibri" w:cs="Calibri"/>
                <w:sz w:val="22"/>
                <w:szCs w:val="22"/>
                <w:lang w:val="en-GB" w:eastAsia="en-US"/>
              </w:rPr>
              <w:t xml:space="preserve">, for a value not less than </w:t>
            </w:r>
            <w:r w:rsidR="00BC4993" w:rsidRPr="00E47D59">
              <w:rPr>
                <w:rFonts w:ascii="Calibri" w:eastAsia="Times New Roman" w:hAnsi="Calibri" w:cs="Calibri"/>
                <w:sz w:val="22"/>
                <w:szCs w:val="22"/>
                <w:lang w:val="en-GB" w:eastAsia="en-US"/>
              </w:rPr>
              <w:t>6</w:t>
            </w:r>
            <w:r w:rsidRPr="00E47D59">
              <w:rPr>
                <w:rFonts w:ascii="Calibri" w:eastAsia="Times New Roman" w:hAnsi="Calibri" w:cs="Calibri"/>
                <w:sz w:val="22"/>
                <w:szCs w:val="22"/>
                <w:lang w:val="en-GB" w:eastAsia="en-US"/>
              </w:rPr>
              <w:t>0 000,00 EUR</w:t>
            </w:r>
            <w:r w:rsidRPr="1DEC623B">
              <w:rPr>
                <w:rFonts w:ascii="Calibri" w:eastAsia="Times New Roman" w:hAnsi="Calibri" w:cs="Calibri"/>
                <w:sz w:val="22"/>
                <w:szCs w:val="22"/>
                <w:lang w:val="en-GB" w:eastAsia="en-US"/>
              </w:rPr>
              <w:t xml:space="preserve"> excluding VAT (the total value of the implemented part, if implementation is in progress).</w:t>
            </w:r>
          </w:p>
          <w:p w14:paraId="6BC4545D" w14:textId="77777777" w:rsidR="00051940" w:rsidRPr="00051940" w:rsidRDefault="00051940" w:rsidP="00051940">
            <w:pPr>
              <w:spacing w:after="0" w:line="240" w:lineRule="auto"/>
              <w:contextualSpacing/>
              <w:jc w:val="both"/>
              <w:rPr>
                <w:rFonts w:eastAsia="Calibri"/>
                <w:color w:val="000000" w:themeColor="text1"/>
                <w:sz w:val="22"/>
                <w:szCs w:val="22"/>
                <w:lang w:eastAsia="en-US"/>
              </w:rPr>
            </w:pPr>
            <w:r w:rsidRPr="00051940">
              <w:rPr>
                <w:rFonts w:eastAsia="Calibri"/>
                <w:color w:val="000000" w:themeColor="text1"/>
                <w:sz w:val="22"/>
                <w:szCs w:val="22"/>
                <w:lang w:eastAsia="en-US"/>
              </w:rPr>
              <w:t xml:space="preserve">Sale </w:t>
            </w:r>
            <w:proofErr w:type="spellStart"/>
            <w:r w:rsidRPr="00051940">
              <w:rPr>
                <w:rFonts w:eastAsia="Calibri"/>
                <w:color w:val="000000" w:themeColor="text1"/>
                <w:sz w:val="22"/>
                <w:szCs w:val="22"/>
                <w:lang w:eastAsia="en-US"/>
              </w:rPr>
              <w:t>is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understood</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as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performance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contractual</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obligations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one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party</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seller</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under</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contract</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purchase</w:t>
            </w:r>
            <w:proofErr w:type="spellEnd"/>
            <w:r w:rsidRPr="00051940">
              <w:rPr>
                <w:rFonts w:eastAsia="Calibri"/>
                <w:color w:val="000000" w:themeColor="text1"/>
                <w:sz w:val="22"/>
                <w:szCs w:val="22"/>
                <w:lang w:eastAsia="en-US"/>
              </w:rPr>
              <w:t xml:space="preserve">-sale </w:t>
            </w:r>
            <w:proofErr w:type="spellStart"/>
            <w:r w:rsidRPr="00051940">
              <w:rPr>
                <w:rFonts w:eastAsia="Calibri"/>
                <w:color w:val="000000" w:themeColor="text1"/>
                <w:sz w:val="22"/>
                <w:szCs w:val="22"/>
                <w:lang w:eastAsia="en-US"/>
              </w:rPr>
              <w:t>agreement</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as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defined</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in</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Article</w:t>
            </w:r>
            <w:proofErr w:type="spellEnd"/>
            <w:r w:rsidRPr="00051940">
              <w:rPr>
                <w:rFonts w:eastAsia="Calibri"/>
                <w:color w:val="000000" w:themeColor="text1"/>
                <w:sz w:val="22"/>
                <w:szCs w:val="22"/>
                <w:lang w:eastAsia="en-US"/>
              </w:rPr>
              <w:t xml:space="preserve"> 6.305(1)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Civil</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Code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Republic</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Lithuania (CC).</w:t>
            </w:r>
            <w:r w:rsidRPr="00051940">
              <w:rPr>
                <w:rFonts w:eastAsia="Calibri"/>
                <w:color w:val="000000" w:themeColor="text1"/>
                <w:sz w:val="22"/>
                <w:szCs w:val="22"/>
                <w:vertAlign w:val="superscript"/>
                <w:lang w:eastAsia="en-US"/>
              </w:rPr>
              <w:footnoteReference w:id="1"/>
            </w:r>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according</w:t>
            </w:r>
            <w:proofErr w:type="spellEnd"/>
            <w:r w:rsidRPr="00051940">
              <w:rPr>
                <w:rFonts w:eastAsia="Calibri"/>
                <w:color w:val="000000" w:themeColor="text1"/>
                <w:sz w:val="22"/>
                <w:szCs w:val="22"/>
                <w:lang w:eastAsia="en-US"/>
              </w:rPr>
              <w:t xml:space="preserve"> to a </w:t>
            </w:r>
            <w:proofErr w:type="spellStart"/>
            <w:r w:rsidRPr="00051940">
              <w:rPr>
                <w:rFonts w:eastAsia="Calibri"/>
                <w:color w:val="000000" w:themeColor="text1"/>
                <w:sz w:val="22"/>
                <w:szCs w:val="22"/>
                <w:lang w:eastAsia="en-US"/>
              </w:rPr>
              <w:t>specific</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contract</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sale,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seller's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duties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include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delivery</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and</w:t>
            </w:r>
            <w:proofErr w:type="spellEnd"/>
            <w:r w:rsidRPr="00051940">
              <w:rPr>
                <w:rFonts w:eastAsia="Calibri"/>
                <w:color w:val="000000" w:themeColor="text1"/>
                <w:sz w:val="22"/>
                <w:szCs w:val="22"/>
                <w:lang w:eastAsia="en-US"/>
              </w:rPr>
              <w:t xml:space="preserve"> / </w:t>
            </w:r>
            <w:proofErr w:type="spellStart"/>
            <w:r w:rsidRPr="00051940">
              <w:rPr>
                <w:rFonts w:eastAsia="Calibri"/>
                <w:color w:val="000000" w:themeColor="text1"/>
                <w:sz w:val="22"/>
                <w:szCs w:val="22"/>
                <w:lang w:eastAsia="en-US"/>
              </w:rPr>
              <w:t>or</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installation</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goods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value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of</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these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services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is</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included</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in</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the</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total</w:t>
            </w:r>
            <w:proofErr w:type="spellEnd"/>
            <w:r w:rsidRPr="00051940">
              <w:rPr>
                <w:rFonts w:eastAsia="Calibri"/>
                <w:color w:val="000000" w:themeColor="text1"/>
                <w:sz w:val="22"/>
                <w:szCs w:val="22"/>
                <w:lang w:eastAsia="en-US"/>
              </w:rPr>
              <w:t xml:space="preserve"> </w:t>
            </w:r>
            <w:proofErr w:type="spellStart"/>
            <w:r w:rsidRPr="00051940">
              <w:rPr>
                <w:rFonts w:eastAsia="Calibri"/>
                <w:color w:val="000000" w:themeColor="text1"/>
                <w:sz w:val="22"/>
                <w:szCs w:val="22"/>
                <w:lang w:eastAsia="en-US"/>
              </w:rPr>
              <w:t>value</w:t>
            </w:r>
            <w:proofErr w:type="spellEnd"/>
            <w:r w:rsidRPr="00051940">
              <w:rPr>
                <w:rFonts w:eastAsia="Calibri"/>
                <w:color w:val="000000" w:themeColor="text1"/>
                <w:sz w:val="22"/>
                <w:szCs w:val="22"/>
                <w:lang w:eastAsia="en-US"/>
              </w:rPr>
              <w:t xml:space="preserve">. </w:t>
            </w:r>
          </w:p>
          <w:p w14:paraId="4225DBF9" w14:textId="77777777" w:rsidR="00FB2745" w:rsidRPr="00E012B8" w:rsidRDefault="00FB2745" w:rsidP="1DEC623B">
            <w:pPr>
              <w:spacing w:after="0" w:line="240" w:lineRule="auto"/>
              <w:contextualSpacing/>
              <w:jc w:val="both"/>
              <w:rPr>
                <w:rFonts w:eastAsia="Calibri"/>
                <w:color w:val="000000" w:themeColor="text1"/>
                <w:sz w:val="22"/>
                <w:szCs w:val="22"/>
                <w:lang w:val="en-GB" w:eastAsia="en-US"/>
              </w:rPr>
            </w:pPr>
          </w:p>
        </w:tc>
        <w:tc>
          <w:tcPr>
            <w:tcW w:w="1946" w:type="pct"/>
            <w:shd w:val="clear" w:color="auto" w:fill="auto"/>
          </w:tcPr>
          <w:p w14:paraId="278E9A0D" w14:textId="77777777" w:rsidR="00F33675" w:rsidRPr="00F33675" w:rsidRDefault="00F33675" w:rsidP="00F33675">
            <w:pPr>
              <w:spacing w:after="0" w:line="240" w:lineRule="auto"/>
              <w:jc w:val="both"/>
              <w:rPr>
                <w:rFonts w:ascii="Calibri" w:eastAsia="Calibri" w:hAnsi="Calibri" w:cs="Calibri"/>
                <w:b/>
                <w:color w:val="000000"/>
                <w:spacing w:val="-8"/>
                <w:sz w:val="22"/>
                <w:szCs w:val="22"/>
                <w:lang w:val="en-GB" w:eastAsia="en-US"/>
              </w:rPr>
            </w:pPr>
            <w:r w:rsidRPr="00F33675">
              <w:rPr>
                <w:rFonts w:ascii="Calibri" w:eastAsia="Calibri" w:hAnsi="Calibri" w:cs="Calibri"/>
                <w:b/>
                <w:color w:val="000000"/>
                <w:spacing w:val="-8"/>
                <w:sz w:val="22"/>
                <w:szCs w:val="22"/>
                <w:lang w:val="en-GB" w:eastAsia="en-US"/>
              </w:rPr>
              <w:lastRenderedPageBreak/>
              <w:t xml:space="preserve">The Supplier who, </w:t>
            </w:r>
            <w:proofErr w:type="gramStart"/>
            <w:r w:rsidRPr="00F33675">
              <w:rPr>
                <w:rFonts w:ascii="Calibri" w:eastAsia="Calibri" w:hAnsi="Calibri" w:cs="Calibri"/>
                <w:b/>
                <w:color w:val="000000"/>
                <w:spacing w:val="-8"/>
                <w:sz w:val="22"/>
                <w:szCs w:val="22"/>
                <w:lang w:val="en-GB" w:eastAsia="en-US"/>
              </w:rPr>
              <w:t>on the basis of</w:t>
            </w:r>
            <w:proofErr w:type="gramEnd"/>
            <w:r w:rsidRPr="00F33675">
              <w:rPr>
                <w:rFonts w:ascii="Calibri" w:eastAsia="Calibri" w:hAnsi="Calibri" w:cs="Calibri"/>
                <w:b/>
                <w:color w:val="000000"/>
                <w:spacing w:val="-8"/>
                <w:sz w:val="22"/>
                <w:szCs w:val="22"/>
                <w:lang w:val="en-GB" w:eastAsia="en-US"/>
              </w:rPr>
              <w:t xml:space="preserve"> the results of the evaluation, may be declared successful will be required to submit, at the request of the Contracting Authority:</w:t>
            </w:r>
          </w:p>
          <w:p w14:paraId="30AAB1F9"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r w:rsidRPr="00051940">
              <w:rPr>
                <w:rFonts w:ascii="Calibri" w:eastAsia="Calibri" w:hAnsi="Calibri" w:cs="Calibri"/>
                <w:color w:val="000000"/>
                <w:spacing w:val="-8"/>
                <w:sz w:val="22"/>
                <w:szCs w:val="22"/>
                <w:lang w:val="en-GB" w:eastAsia="en-US"/>
              </w:rPr>
              <w:t>1)</w:t>
            </w:r>
            <w:r w:rsidRPr="00051940">
              <w:rPr>
                <w:rFonts w:ascii="Calibri" w:eastAsia="Calibri" w:hAnsi="Calibri" w:cs="Calibri"/>
                <w:lang w:val="en-GB"/>
              </w:rPr>
              <w:t xml:space="preserve"> </w:t>
            </w:r>
            <w:r w:rsidRPr="00051940">
              <w:rPr>
                <w:rFonts w:ascii="Calibri" w:eastAsia="Calibri" w:hAnsi="Calibri" w:cs="Calibri"/>
                <w:color w:val="000000"/>
                <w:spacing w:val="-8"/>
                <w:sz w:val="22"/>
                <w:szCs w:val="22"/>
                <w:lang w:val="en-GB" w:eastAsia="en-US"/>
              </w:rPr>
              <w:t xml:space="preserve">A list of the goods produced and/or sold by the supplier during the last 3 years, or during the period from the date of registration of the supplier (if the supplier has been in business for less than 3 (three) years), in accordance with the form set out in </w:t>
            </w:r>
            <w:r w:rsidRPr="00051940">
              <w:rPr>
                <w:rFonts w:ascii="Calibri" w:eastAsia="Calibri" w:hAnsi="Calibri" w:cs="Calibri"/>
                <w:i/>
                <w:iCs/>
                <w:color w:val="000000"/>
                <w:spacing w:val="-8"/>
                <w:sz w:val="22"/>
                <w:szCs w:val="22"/>
                <w:lang w:val="en-GB" w:eastAsia="en-US"/>
              </w:rPr>
              <w:t>Annex 6 to the Tender Conditions, "List of Supplier Goods ".</w:t>
            </w:r>
          </w:p>
          <w:p w14:paraId="1F7A6A30"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r w:rsidRPr="00051940">
              <w:rPr>
                <w:rFonts w:ascii="Calibri" w:eastAsia="Calibri" w:hAnsi="Calibri" w:cs="Calibri"/>
                <w:color w:val="000000"/>
                <w:spacing w:val="-8"/>
                <w:sz w:val="22"/>
                <w:szCs w:val="22"/>
                <w:lang w:val="en-GB" w:eastAsia="en-US"/>
              </w:rPr>
              <w:t xml:space="preserve">2) certificates from the customers of the contracts in the supplier's list on the </w:t>
            </w:r>
            <w:r w:rsidRPr="00051940">
              <w:rPr>
                <w:rFonts w:ascii="Calibri" w:eastAsia="Calibri" w:hAnsi="Calibri" w:cs="Calibri"/>
                <w:b/>
                <w:bCs/>
                <w:color w:val="000000"/>
                <w:spacing w:val="-8"/>
                <w:sz w:val="22"/>
                <w:szCs w:val="22"/>
                <w:lang w:val="en-GB" w:eastAsia="en-US"/>
              </w:rPr>
              <w:t>proper</w:t>
            </w:r>
            <w:r w:rsidRPr="00051940">
              <w:rPr>
                <w:rFonts w:ascii="Calibri" w:eastAsia="Calibri" w:hAnsi="Calibri" w:cs="Calibri"/>
                <w:color w:val="000000"/>
                <w:spacing w:val="-8"/>
                <w:sz w:val="22"/>
                <w:szCs w:val="22"/>
                <w:lang w:val="en-GB" w:eastAsia="en-US"/>
              </w:rPr>
              <w:t xml:space="preserve"> performance of the contract or other documents of the customer and/or supplier proving the proper performance of the contract. </w:t>
            </w:r>
            <w:proofErr w:type="gramStart"/>
            <w:r w:rsidRPr="00051940">
              <w:rPr>
                <w:rFonts w:ascii="Calibri" w:eastAsia="Calibri" w:hAnsi="Calibri" w:cs="Calibri"/>
                <w:color w:val="000000"/>
                <w:spacing w:val="-8"/>
                <w:sz w:val="22"/>
                <w:szCs w:val="22"/>
                <w:lang w:val="en-GB" w:eastAsia="en-US"/>
              </w:rPr>
              <w:t>In the event that</w:t>
            </w:r>
            <w:proofErr w:type="gramEnd"/>
            <w:r w:rsidRPr="00051940">
              <w:rPr>
                <w:rFonts w:ascii="Calibri" w:eastAsia="Calibri" w:hAnsi="Calibri" w:cs="Calibri"/>
                <w:color w:val="000000"/>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364866EA"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r w:rsidRPr="00051940">
              <w:rPr>
                <w:rFonts w:ascii="Calibri" w:eastAsia="Calibri" w:hAnsi="Calibri" w:cs="Calibri"/>
                <w:color w:val="000000"/>
                <w:spacing w:val="-8"/>
                <w:sz w:val="22"/>
                <w:szCs w:val="22"/>
                <w:lang w:val="en-GB" w:eastAsia="en-US"/>
              </w:rPr>
              <w:t>It is considered that the proper performance of the contract is justified if the supporting documents (certificates, etc.) indicate the properly performed contractual obligations.</w:t>
            </w:r>
          </w:p>
          <w:p w14:paraId="12A0F0AF"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p>
          <w:p w14:paraId="433E1C9A"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r w:rsidRPr="00051940">
              <w:rPr>
                <w:rFonts w:ascii="Calibri" w:eastAsia="Calibri" w:hAnsi="Calibri" w:cs="Calibri"/>
                <w:color w:val="000000"/>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051940">
              <w:rPr>
                <w:rFonts w:ascii="Calibri" w:eastAsia="Calibri" w:hAnsi="Calibri" w:cs="Calibri"/>
                <w:color w:val="000000"/>
                <w:spacing w:val="-8"/>
                <w:sz w:val="22"/>
                <w:szCs w:val="22"/>
                <w:lang w:val="en-GB" w:eastAsia="en-US"/>
              </w:rPr>
              <w:t>in order to</w:t>
            </w:r>
            <w:proofErr w:type="gramEnd"/>
            <w:r w:rsidRPr="00051940">
              <w:rPr>
                <w:rFonts w:ascii="Calibri" w:eastAsia="Calibri" w:hAnsi="Calibri" w:cs="Calibri"/>
                <w:color w:val="000000"/>
                <w:spacing w:val="-8"/>
                <w:sz w:val="22"/>
                <w:szCs w:val="22"/>
                <w:lang w:val="en-GB" w:eastAsia="en-US"/>
              </w:rPr>
              <w:t xml:space="preserve"> verify or clarify the information provided.</w:t>
            </w:r>
          </w:p>
          <w:p w14:paraId="40DC0E2C"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r w:rsidRPr="00051940">
              <w:rPr>
                <w:rFonts w:ascii="Calibri" w:eastAsia="Calibri" w:hAnsi="Calibri" w:cs="Calibri"/>
                <w:color w:val="000000"/>
                <w:spacing w:val="-8"/>
                <w:sz w:val="22"/>
                <w:szCs w:val="22"/>
                <w:lang w:val="en-GB" w:eastAsia="en-US"/>
              </w:rPr>
              <w:t xml:space="preserve">The contracting authority reserves the right to contact the customer's contact person indicated by the supplier without prior notice </w:t>
            </w:r>
            <w:proofErr w:type="gramStart"/>
            <w:r w:rsidRPr="00051940">
              <w:rPr>
                <w:rFonts w:ascii="Calibri" w:eastAsia="Calibri" w:hAnsi="Calibri" w:cs="Calibri"/>
                <w:color w:val="000000"/>
                <w:spacing w:val="-8"/>
                <w:sz w:val="22"/>
                <w:szCs w:val="22"/>
                <w:lang w:val="en-GB" w:eastAsia="en-US"/>
              </w:rPr>
              <w:t>in order to</w:t>
            </w:r>
            <w:proofErr w:type="gramEnd"/>
            <w:r w:rsidRPr="00051940">
              <w:rPr>
                <w:rFonts w:ascii="Calibri" w:eastAsia="Calibri" w:hAnsi="Calibri" w:cs="Calibri"/>
                <w:color w:val="000000"/>
                <w:spacing w:val="-8"/>
                <w:sz w:val="22"/>
                <w:szCs w:val="22"/>
                <w:lang w:val="en-GB" w:eastAsia="en-US"/>
              </w:rPr>
              <w:t xml:space="preserve"> clarify the information </w:t>
            </w:r>
            <w:r w:rsidRPr="00051940">
              <w:rPr>
                <w:rFonts w:ascii="Calibri" w:eastAsia="Calibri" w:hAnsi="Calibri" w:cs="Calibri"/>
                <w:color w:val="000000"/>
                <w:spacing w:val="-8"/>
                <w:sz w:val="22"/>
                <w:szCs w:val="22"/>
                <w:lang w:val="en-GB" w:eastAsia="en-US"/>
              </w:rPr>
              <w:lastRenderedPageBreak/>
              <w:t>concerning the goods produced and/or sold.</w:t>
            </w:r>
          </w:p>
          <w:p w14:paraId="551879BC" w14:textId="77777777" w:rsidR="00051940" w:rsidRPr="00051940" w:rsidRDefault="00051940" w:rsidP="00051940">
            <w:pPr>
              <w:spacing w:after="0" w:line="240" w:lineRule="auto"/>
              <w:jc w:val="both"/>
              <w:rPr>
                <w:rFonts w:ascii="Calibri" w:eastAsia="Calibri" w:hAnsi="Calibri" w:cs="Calibri"/>
                <w:color w:val="000000"/>
                <w:spacing w:val="-8"/>
                <w:sz w:val="22"/>
                <w:szCs w:val="22"/>
                <w:lang w:val="en-GB" w:eastAsia="en-US"/>
              </w:rPr>
            </w:pPr>
          </w:p>
          <w:p w14:paraId="47407F0E" w14:textId="270313A4" w:rsidR="00FB2745" w:rsidRPr="00E012B8" w:rsidRDefault="00051940" w:rsidP="00051940">
            <w:pPr>
              <w:spacing w:after="0" w:line="240" w:lineRule="auto"/>
              <w:jc w:val="both"/>
              <w:rPr>
                <w:rFonts w:eastAsia="Calibri"/>
                <w:color w:val="000000" w:themeColor="text1"/>
                <w:sz w:val="22"/>
                <w:szCs w:val="22"/>
                <w:u w:val="single"/>
                <w:lang w:val="en-GB" w:eastAsia="en-US"/>
              </w:rPr>
            </w:pPr>
            <w:r w:rsidRPr="00051940">
              <w:rPr>
                <w:rFonts w:ascii="Calibri" w:eastAsia="Calibri" w:hAnsi="Calibri" w:cs="Calibri"/>
                <w:color w:val="000000"/>
                <w:spacing w:val="-8"/>
                <w:sz w:val="22"/>
                <w:szCs w:val="22"/>
                <w:u w:val="single"/>
                <w:lang w:val="en-GB" w:eastAsia="en-US"/>
              </w:rPr>
              <w:t>Digital copies of the supplier's documents shall be supplied.</w:t>
            </w:r>
          </w:p>
        </w:tc>
        <w:tc>
          <w:tcPr>
            <w:tcW w:w="1460" w:type="pct"/>
          </w:tcPr>
          <w:p w14:paraId="41DC3EF8" w14:textId="77777777" w:rsidR="00051940" w:rsidRPr="00051940" w:rsidRDefault="00051940" w:rsidP="00051940">
            <w:pPr>
              <w:spacing w:after="0" w:line="240" w:lineRule="auto"/>
              <w:contextualSpacing/>
              <w:jc w:val="both"/>
              <w:rPr>
                <w:rFonts w:ascii="Calibri" w:eastAsia="Times New Roman" w:hAnsi="Calibri" w:cs="Calibri"/>
                <w:color w:val="000000"/>
                <w:spacing w:val="-8"/>
                <w:sz w:val="22"/>
                <w:szCs w:val="22"/>
                <w:lang w:val="en-GB" w:eastAsia="en-US"/>
              </w:rPr>
            </w:pPr>
            <w:r w:rsidRPr="00051940">
              <w:rPr>
                <w:rFonts w:ascii="Calibri" w:eastAsia="Times New Roman" w:hAnsi="Calibri" w:cs="Calibri"/>
                <w:color w:val="000000"/>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051940">
              <w:rPr>
                <w:rFonts w:ascii="Calibri" w:eastAsia="Times New Roman" w:hAnsi="Calibri" w:cs="Calibri"/>
                <w:color w:val="000000"/>
                <w:spacing w:val="-8"/>
                <w:sz w:val="22"/>
                <w:szCs w:val="22"/>
                <w:lang w:val="en-GB" w:eastAsia="en-US"/>
              </w:rPr>
              <w:t>taking into account</w:t>
            </w:r>
            <w:proofErr w:type="gramEnd"/>
            <w:r w:rsidRPr="00051940">
              <w:rPr>
                <w:rFonts w:ascii="Calibri" w:eastAsia="Times New Roman" w:hAnsi="Calibri" w:cs="Calibri"/>
                <w:color w:val="000000"/>
                <w:spacing w:val="-8"/>
                <w:sz w:val="22"/>
                <w:szCs w:val="22"/>
                <w:lang w:val="en-GB" w:eastAsia="en-US"/>
              </w:rPr>
              <w:t xml:space="preserve"> the commitments made by them.</w:t>
            </w:r>
          </w:p>
          <w:p w14:paraId="39688C08" w14:textId="77777777" w:rsidR="00051940" w:rsidRPr="00051940" w:rsidRDefault="00051940" w:rsidP="00051940">
            <w:pPr>
              <w:spacing w:after="0" w:line="240" w:lineRule="auto"/>
              <w:contextualSpacing/>
              <w:jc w:val="both"/>
              <w:rPr>
                <w:rFonts w:ascii="Calibri" w:eastAsia="Times New Roman" w:hAnsi="Calibri" w:cs="Calibri"/>
                <w:color w:val="000000"/>
                <w:spacing w:val="-8"/>
                <w:sz w:val="22"/>
                <w:szCs w:val="22"/>
                <w:lang w:val="en-GB" w:eastAsia="en-US"/>
              </w:rPr>
            </w:pPr>
            <w:r w:rsidRPr="00051940">
              <w:rPr>
                <w:rFonts w:ascii="Calibri" w:eastAsia="Times New Roman" w:hAnsi="Calibri" w:cs="Calibri"/>
                <w:color w:val="000000"/>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AD0E3DF" w14:textId="77777777" w:rsidR="00051940" w:rsidRPr="00051940" w:rsidRDefault="00051940" w:rsidP="00051940">
            <w:pPr>
              <w:spacing w:after="0" w:line="240" w:lineRule="auto"/>
              <w:contextualSpacing/>
              <w:jc w:val="both"/>
              <w:rPr>
                <w:rFonts w:ascii="Calibri" w:eastAsia="Times New Roman" w:hAnsi="Calibri" w:cs="Calibri"/>
                <w:color w:val="000000"/>
                <w:spacing w:val="-8"/>
                <w:sz w:val="22"/>
                <w:szCs w:val="22"/>
                <w:lang w:val="en-GB" w:eastAsia="en-US"/>
              </w:rPr>
            </w:pPr>
            <w:r w:rsidRPr="00051940">
              <w:rPr>
                <w:rFonts w:ascii="Calibri" w:eastAsia="Times New Roman" w:hAnsi="Calibri" w:cs="Calibri"/>
                <w:color w:val="000000"/>
                <w:spacing w:val="-8"/>
                <w:sz w:val="22"/>
                <w:szCs w:val="22"/>
                <w:lang w:val="en-GB" w:eastAsia="en-US"/>
              </w:rPr>
              <w:t>Subcontractors are not subject to this requirement.</w:t>
            </w:r>
          </w:p>
          <w:p w14:paraId="3AC2E177" w14:textId="77777777" w:rsidR="00051940" w:rsidRPr="00051940" w:rsidRDefault="00051940" w:rsidP="00051940">
            <w:pPr>
              <w:spacing w:after="0" w:line="240" w:lineRule="auto"/>
              <w:jc w:val="both"/>
              <w:rPr>
                <w:rFonts w:ascii="Calibri" w:eastAsia="Times New Roman" w:hAnsi="Calibri" w:cs="Calibri"/>
                <w:iCs/>
                <w:sz w:val="22"/>
                <w:szCs w:val="22"/>
                <w:lang w:val="en-GB" w:eastAsia="en-US"/>
              </w:rPr>
            </w:pPr>
            <w:r w:rsidRPr="00051940">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0051940">
              <w:rPr>
                <w:rFonts w:ascii="Calibri" w:eastAsia="Times New Roman" w:hAnsi="Calibri" w:cs="Calibri"/>
                <w:iCs/>
                <w:sz w:val="22"/>
                <w:szCs w:val="22"/>
                <w:lang w:val="en-GB" w:eastAsia="en-US"/>
              </w:rPr>
              <w:t>particular supplier</w:t>
            </w:r>
            <w:proofErr w:type="gramEnd"/>
            <w:r w:rsidRPr="00051940">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61506B05" w14:textId="77777777" w:rsidR="00051940" w:rsidRPr="00051940" w:rsidRDefault="00051940" w:rsidP="00051940">
            <w:pPr>
              <w:spacing w:after="0"/>
              <w:rPr>
                <w:rFonts w:ascii="Calibri" w:eastAsia="Calibri" w:hAnsi="Calibri" w:cs="Calibri"/>
                <w:sz w:val="22"/>
                <w:szCs w:val="22"/>
                <w:lang w:val="en-GB" w:eastAsia="en-US"/>
              </w:rPr>
            </w:pPr>
          </w:p>
          <w:p w14:paraId="65268205" w14:textId="77777777" w:rsidR="00051940" w:rsidRPr="00051940" w:rsidRDefault="00051940" w:rsidP="00051940">
            <w:pPr>
              <w:spacing w:after="0"/>
              <w:rPr>
                <w:rFonts w:ascii="Calibri" w:eastAsia="Calibri" w:hAnsi="Calibri" w:cs="Calibri"/>
                <w:sz w:val="22"/>
                <w:szCs w:val="22"/>
                <w:lang w:val="en-GB" w:eastAsia="en-US"/>
              </w:rPr>
            </w:pPr>
          </w:p>
          <w:p w14:paraId="1156E68A" w14:textId="77777777" w:rsidR="00051940" w:rsidRPr="00051940" w:rsidRDefault="00051940" w:rsidP="00051940">
            <w:pPr>
              <w:spacing w:after="0"/>
              <w:rPr>
                <w:rFonts w:ascii="Calibri" w:eastAsia="Times New Roman" w:hAnsi="Calibri" w:cs="Calibri"/>
                <w:iCs/>
                <w:sz w:val="22"/>
                <w:szCs w:val="22"/>
                <w:lang w:val="en-GB" w:eastAsia="en-US"/>
              </w:rPr>
            </w:pPr>
          </w:p>
          <w:p w14:paraId="7DD313B2" w14:textId="4DD7051D" w:rsidR="00FB2745" w:rsidRPr="00E012B8" w:rsidRDefault="00051940" w:rsidP="00051940">
            <w:pPr>
              <w:spacing w:after="0" w:line="240" w:lineRule="auto"/>
              <w:jc w:val="both"/>
              <w:rPr>
                <w:rFonts w:eastAsia="Calibri" w:cstheme="minorHAnsi"/>
                <w:color w:val="000000" w:themeColor="text1"/>
                <w:spacing w:val="-8"/>
                <w:sz w:val="22"/>
                <w:szCs w:val="22"/>
                <w:lang w:val="en-GB" w:eastAsia="en-US"/>
              </w:rPr>
            </w:pPr>
            <w:r w:rsidRPr="00051940">
              <w:rPr>
                <w:rFonts w:ascii="Calibri" w:eastAsia="Calibri" w:hAnsi="Calibri" w:cs="Calibri"/>
                <w:color w:val="000000"/>
                <w:spacing w:val="-8"/>
                <w:sz w:val="22"/>
                <w:szCs w:val="22"/>
                <w:lang w:val="en-GB" w:eastAsia="en-US"/>
              </w:rPr>
              <w:t xml:space="preserve">Please note that the supplier may rely on the capabilities of other economic entities to meet </w:t>
            </w:r>
            <w:r w:rsidRPr="00051940">
              <w:rPr>
                <w:rFonts w:ascii="Calibri" w:eastAsia="Calibri" w:hAnsi="Calibri" w:cs="Calibri"/>
                <w:color w:val="000000"/>
                <w:spacing w:val="-8"/>
                <w:sz w:val="22"/>
                <w:szCs w:val="22"/>
                <w:lang w:val="en-GB" w:eastAsia="en-US"/>
              </w:rPr>
              <w:lastRenderedPageBreak/>
              <w:t>the established qualification requirement, as provided in Chapter 9 of the General Part of the Procurement Conditions.</w:t>
            </w:r>
          </w:p>
        </w:tc>
      </w:tr>
    </w:tbl>
    <w:p w14:paraId="65FEA749" w14:textId="27B2E474" w:rsidR="00841D81" w:rsidRPr="000F62C5" w:rsidRDefault="00841D81">
      <w:pPr>
        <w:rPr>
          <w:rFonts w:ascii="Times New Roman" w:hAnsi="Times New Roman" w:cs="Times New Roman"/>
          <w:lang w:val="en-GB"/>
        </w:rPr>
      </w:pPr>
    </w:p>
    <w:sectPr w:rsidR="00841D81" w:rsidRPr="000F62C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C2A56" w14:textId="77777777" w:rsidR="00051940" w:rsidRDefault="00051940" w:rsidP="00051940">
      <w:pPr>
        <w:spacing w:after="0" w:line="240" w:lineRule="auto"/>
      </w:pPr>
      <w:r>
        <w:separator/>
      </w:r>
    </w:p>
  </w:endnote>
  <w:endnote w:type="continuationSeparator" w:id="0">
    <w:p w14:paraId="19EE7327" w14:textId="77777777" w:rsidR="00051940" w:rsidRDefault="00051940" w:rsidP="0005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8674" w14:textId="77777777" w:rsidR="00051940" w:rsidRDefault="00051940" w:rsidP="00051940">
      <w:pPr>
        <w:spacing w:after="0" w:line="240" w:lineRule="auto"/>
      </w:pPr>
      <w:r>
        <w:separator/>
      </w:r>
    </w:p>
  </w:footnote>
  <w:footnote w:type="continuationSeparator" w:id="0">
    <w:p w14:paraId="3A3A741A" w14:textId="77777777" w:rsidR="00051940" w:rsidRDefault="00051940" w:rsidP="00051940">
      <w:pPr>
        <w:spacing w:after="0" w:line="240" w:lineRule="auto"/>
      </w:pPr>
      <w:r>
        <w:continuationSeparator/>
      </w:r>
    </w:p>
  </w:footnote>
  <w:footnote w:id="1">
    <w:p w14:paraId="2E6BC4FC" w14:textId="77777777" w:rsidR="00051940" w:rsidRPr="00F90B5B" w:rsidRDefault="00051940" w:rsidP="00051940">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936085608">
    <w:abstractNumId w:val="4"/>
  </w:num>
  <w:num w:numId="2" w16cid:durableId="239486083">
    <w:abstractNumId w:val="3"/>
  </w:num>
  <w:num w:numId="3" w16cid:durableId="658461238">
    <w:abstractNumId w:val="2"/>
  </w:num>
  <w:num w:numId="4" w16cid:durableId="1028483416">
    <w:abstractNumId w:val="0"/>
  </w:num>
  <w:num w:numId="5" w16cid:durableId="141401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51940"/>
    <w:rsid w:val="000701DA"/>
    <w:rsid w:val="000728E2"/>
    <w:rsid w:val="000F62C5"/>
    <w:rsid w:val="001352C6"/>
    <w:rsid w:val="00140668"/>
    <w:rsid w:val="001A33B3"/>
    <w:rsid w:val="001D55EA"/>
    <w:rsid w:val="001F320D"/>
    <w:rsid w:val="00215ED9"/>
    <w:rsid w:val="002477D0"/>
    <w:rsid w:val="0035296D"/>
    <w:rsid w:val="00393AB6"/>
    <w:rsid w:val="003A12D4"/>
    <w:rsid w:val="003C1113"/>
    <w:rsid w:val="00425EB4"/>
    <w:rsid w:val="00511BEA"/>
    <w:rsid w:val="00544FE7"/>
    <w:rsid w:val="00561DBD"/>
    <w:rsid w:val="00590A45"/>
    <w:rsid w:val="00596235"/>
    <w:rsid w:val="005A31E0"/>
    <w:rsid w:val="005E3DF6"/>
    <w:rsid w:val="00617D51"/>
    <w:rsid w:val="006659BB"/>
    <w:rsid w:val="006C2DAB"/>
    <w:rsid w:val="006E56E8"/>
    <w:rsid w:val="00722AE3"/>
    <w:rsid w:val="00724BEB"/>
    <w:rsid w:val="00726065"/>
    <w:rsid w:val="00790426"/>
    <w:rsid w:val="0079266F"/>
    <w:rsid w:val="007965EB"/>
    <w:rsid w:val="007B4122"/>
    <w:rsid w:val="00841D81"/>
    <w:rsid w:val="00876D2D"/>
    <w:rsid w:val="008774DE"/>
    <w:rsid w:val="008B0015"/>
    <w:rsid w:val="008E265C"/>
    <w:rsid w:val="008E516E"/>
    <w:rsid w:val="00924586"/>
    <w:rsid w:val="00987F4A"/>
    <w:rsid w:val="009B5C4B"/>
    <w:rsid w:val="00A94C0A"/>
    <w:rsid w:val="00AC5E97"/>
    <w:rsid w:val="00B31FA4"/>
    <w:rsid w:val="00B34F7A"/>
    <w:rsid w:val="00B52CE3"/>
    <w:rsid w:val="00B64B42"/>
    <w:rsid w:val="00B7147D"/>
    <w:rsid w:val="00B725D7"/>
    <w:rsid w:val="00BC1E0F"/>
    <w:rsid w:val="00BC4236"/>
    <w:rsid w:val="00BC4993"/>
    <w:rsid w:val="00C0023C"/>
    <w:rsid w:val="00C0423B"/>
    <w:rsid w:val="00C72A83"/>
    <w:rsid w:val="00C72F88"/>
    <w:rsid w:val="00CD7561"/>
    <w:rsid w:val="00CF1127"/>
    <w:rsid w:val="00D055BE"/>
    <w:rsid w:val="00D2464A"/>
    <w:rsid w:val="00D4438A"/>
    <w:rsid w:val="00D44B4C"/>
    <w:rsid w:val="00D710FA"/>
    <w:rsid w:val="00DD25EA"/>
    <w:rsid w:val="00E30EF1"/>
    <w:rsid w:val="00E47D59"/>
    <w:rsid w:val="00E53E16"/>
    <w:rsid w:val="00E77060"/>
    <w:rsid w:val="00EE0F96"/>
    <w:rsid w:val="00F33675"/>
    <w:rsid w:val="00FA2DF2"/>
    <w:rsid w:val="00FB2745"/>
    <w:rsid w:val="1DEC62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unhideWhenUsed/>
    <w:qFormat/>
    <w:rsid w:val="00EE0F96"/>
    <w:rPr>
      <w:sz w:val="16"/>
      <w:szCs w:val="16"/>
    </w:rPr>
  </w:style>
  <w:style w:type="paragraph" w:styleId="CommentText">
    <w:name w:val="annotation text"/>
    <w:basedOn w:val="Normal"/>
    <w:link w:val="CommentTextChar"/>
    <w:uiPriority w:val="99"/>
    <w:unhideWhenUsed/>
    <w:rsid w:val="00EE0F96"/>
    <w:pPr>
      <w:spacing w:line="240" w:lineRule="auto"/>
    </w:pPr>
    <w:rPr>
      <w:sz w:val="20"/>
      <w:szCs w:val="20"/>
    </w:rPr>
  </w:style>
  <w:style w:type="character" w:customStyle="1" w:styleId="CommentTextChar">
    <w:name w:val="Comment Text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FootnoteText">
    <w:name w:val="footnote text"/>
    <w:basedOn w:val="Normal"/>
    <w:link w:val="FootnoteTextChar"/>
    <w:uiPriority w:val="99"/>
    <w:semiHidden/>
    <w:unhideWhenUsed/>
    <w:rsid w:val="00051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940"/>
    <w:rPr>
      <w:rFonts w:eastAsiaTheme="minorEastAsia"/>
      <w:sz w:val="20"/>
      <w:szCs w:val="20"/>
      <w:lang w:eastAsia="lt-LT"/>
    </w:rPr>
  </w:style>
  <w:style w:type="character" w:styleId="FootnoteReference">
    <w:name w:val="footnote reference"/>
    <w:basedOn w:val="DefaultParagraphFont"/>
    <w:uiPriority w:val="99"/>
    <w:unhideWhenUsed/>
    <w:rsid w:val="00051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AAFD3-1C8F-4AFB-B105-5D5B09E313FE}"/>
</file>

<file path=customXml/itemProps2.xml><?xml version="1.0" encoding="utf-8"?>
<ds:datastoreItem xmlns:ds="http://schemas.openxmlformats.org/officeDocument/2006/customXml" ds:itemID="{A407414C-5B6B-4028-889F-FAA6DA7BC269}"/>
</file>

<file path=customXml/itemProps3.xml><?xml version="1.0" encoding="utf-8"?>
<ds:datastoreItem xmlns:ds="http://schemas.openxmlformats.org/officeDocument/2006/customXml" ds:itemID="{1655F98D-E768-4B8C-A70A-0DF229592056}"/>
</file>

<file path=docProps/app.xml><?xml version="1.0" encoding="utf-8"?>
<Properties xmlns="http://schemas.openxmlformats.org/officeDocument/2006/extended-properties" xmlns:vt="http://schemas.openxmlformats.org/officeDocument/2006/docPropsVTypes">
  <Template>Normal</Template>
  <TotalTime>31</TotalTime>
  <Pages>2</Pages>
  <Words>2491</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[EN] Annex no. 2_Qualification requirements</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Annex no. 2_Qualification requirements</dc:title>
  <dc:subject/>
  <dc:creator>Erika Simaitė</dc:creator>
  <cp:keywords/>
  <dc:description/>
  <cp:lastModifiedBy>Erika Simaitė</cp:lastModifiedBy>
  <cp:revision>11</cp:revision>
  <dcterms:created xsi:type="dcterms:W3CDTF">2023-07-24T10:19:00Z</dcterms:created>
  <dcterms:modified xsi:type="dcterms:W3CDTF">2024-12-05T13:34:00Z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skyrius|72419e98-9ffe-4573-a524-85d9b5806ebb;#4344;#Skaitmeninių sprendimų projektų skyrius|78470913-a55f-4d57-8683-90e0e7ae2c9d;#3174;#Tarptautinių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Šakočius;#93;#Viktor Jurkianec;#1197;#Agnė Juršėnaitė-Skovorodko</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