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2D37CD68" w:rsidR="00D612DA" w:rsidRPr="00CA0238" w:rsidRDefault="00B61054" w:rsidP="009C2F29">
            <w:pPr>
              <w:jc w:val="both"/>
              <w:rPr>
                <w:b/>
                <w:bCs/>
                <w:kern w:val="2"/>
                <w:szCs w:val="24"/>
              </w:rPr>
            </w:pPr>
            <w:r>
              <w:rPr>
                <w:b/>
                <w:bCs/>
                <w:kern w:val="2"/>
                <w:szCs w:val="24"/>
              </w:rPr>
              <w:t>P</w:t>
            </w:r>
            <w:r>
              <w:rPr>
                <w:kern w:val="2"/>
                <w:szCs w:val="24"/>
              </w:rPr>
              <w:t>agalbinio ūkio paskirties pastato Nepriklausomybės g. 37, Liolių mstl. Kelmės r., griovimo ir gyvenamosios paskirties )įvairių socialinių grupių asmenims) statybos projekto parengimas</w:t>
            </w:r>
            <w:r w:rsidR="006379D1">
              <w:rPr>
                <w:kern w:val="2"/>
                <w:szCs w:val="24"/>
              </w:rPr>
              <w:t xml:space="preserve"> su statinio projekto vykdymo priežiūra</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014F330F"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Irmantas Kasparas, Kelmės rajono savivaldybės administracijos Statybos ir infrastruktūros skyriaus vyriausiasis specialistas, tel. +370 </w:t>
            </w:r>
            <w:r w:rsidR="002A0AF3">
              <w:rPr>
                <w:szCs w:val="24"/>
                <w:lang w:eastAsia="ar-SA"/>
              </w:rPr>
              <w:t>687 53 487</w:t>
            </w:r>
            <w:r w:rsidRPr="001A5B06">
              <w:rPr>
                <w:szCs w:val="24"/>
                <w:lang w:eastAsia="ar-SA"/>
              </w:rPr>
              <w:t xml:space="preserve">, </w:t>
            </w:r>
            <w:hyperlink r:id="rId11" w:history="1">
              <w:r w:rsidRPr="001A5B06">
                <w:rPr>
                  <w:rStyle w:val="Hipersaitas"/>
                  <w:szCs w:val="24"/>
                  <w:lang w:eastAsia="ar-SA"/>
                </w:rPr>
                <w:t>irmantas.kasparas</w:t>
              </w:r>
              <w:r w:rsidRPr="001A5B06">
                <w:rPr>
                  <w:rStyle w:val="Hipersaitas"/>
                  <w:szCs w:val="24"/>
                  <w:lang w:val="en-US"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lastRenderedPageBreak/>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5BE81648" w:rsidR="00D612DA" w:rsidRPr="001A5B06" w:rsidRDefault="00D612DA" w:rsidP="009C2F29">
            <w:pPr>
              <w:jc w:val="both"/>
              <w:rPr>
                <w:kern w:val="2"/>
                <w:szCs w:val="24"/>
              </w:rPr>
            </w:pPr>
            <w:r w:rsidRPr="001A5B06">
              <w:rPr>
                <w:kern w:val="2"/>
                <w:szCs w:val="24"/>
              </w:rPr>
              <w:t xml:space="preserve">Tiekėjas įsipareigoja Sutartyje numatytomis sąlygomis suteikti Pirkėjui </w:t>
            </w:r>
            <w:r w:rsidR="00016523" w:rsidRPr="00016523">
              <w:rPr>
                <w:b/>
                <w:bCs/>
                <w:kern w:val="2"/>
                <w:szCs w:val="24"/>
              </w:rPr>
              <w:t>Pagalbinio ūkio paskirties pastato Nepriklausomybės g. 37, Liolių mstl.</w:t>
            </w:r>
            <w:r w:rsidR="00016523">
              <w:rPr>
                <w:b/>
                <w:bCs/>
                <w:kern w:val="2"/>
                <w:szCs w:val="24"/>
              </w:rPr>
              <w:t>,</w:t>
            </w:r>
            <w:r w:rsidR="00016523" w:rsidRPr="00016523">
              <w:rPr>
                <w:b/>
                <w:bCs/>
                <w:kern w:val="2"/>
                <w:szCs w:val="24"/>
              </w:rPr>
              <w:t xml:space="preserve"> Kelmės r., griovimo ir gyvenamosios paskirties</w:t>
            </w:r>
            <w:r w:rsidR="00016523">
              <w:rPr>
                <w:b/>
                <w:bCs/>
                <w:kern w:val="2"/>
                <w:szCs w:val="24"/>
              </w:rPr>
              <w:t xml:space="preserve"> (</w:t>
            </w:r>
            <w:r w:rsidR="00016523" w:rsidRPr="00016523">
              <w:rPr>
                <w:b/>
                <w:bCs/>
                <w:kern w:val="2"/>
                <w:szCs w:val="24"/>
              </w:rPr>
              <w:t>įvairių socialinių grupių asmenims)</w:t>
            </w:r>
            <w:r w:rsidR="00016523">
              <w:rPr>
                <w:kern w:val="2"/>
                <w:szCs w:val="24"/>
              </w:rPr>
              <w:t xml:space="preserve"> </w:t>
            </w:r>
            <w:r w:rsidRPr="001A5B06">
              <w:rPr>
                <w:b/>
                <w:bCs/>
                <w:kern w:val="2"/>
                <w:szCs w:val="24"/>
              </w:rPr>
              <w:t>statybos projekto parengimo</w:t>
            </w:r>
            <w:r w:rsidR="006379D1">
              <w:rPr>
                <w:b/>
                <w:bCs/>
                <w:kern w:val="2"/>
                <w:szCs w:val="24"/>
              </w:rPr>
              <w:t xml:space="preserve"> su statinio projekto vykdymo priežiūra</w:t>
            </w:r>
            <w:r w:rsidRPr="001A5B06">
              <w:rPr>
                <w:b/>
                <w:bCs/>
                <w:kern w:val="2"/>
                <w:szCs w:val="24"/>
              </w:rPr>
              <w:t xml:space="preserve"> paslaugas</w:t>
            </w:r>
            <w:r w:rsidRPr="001A5B06">
              <w:rPr>
                <w:kern w:val="2"/>
                <w:szCs w:val="24"/>
              </w:rPr>
              <w:t xml:space="preserve"> </w:t>
            </w:r>
            <w:r w:rsidRPr="001A5B06">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2AC49A76" w:rsidR="00D612DA" w:rsidRPr="001A5B06" w:rsidRDefault="00D612DA" w:rsidP="009C2F29">
            <w:pPr>
              <w:jc w:val="both"/>
              <w:rPr>
                <w:b/>
                <w:bCs/>
                <w:kern w:val="2"/>
                <w:szCs w:val="24"/>
              </w:rPr>
            </w:pPr>
            <w:r w:rsidRPr="001A5B06">
              <w:rPr>
                <w:b/>
                <w:bCs/>
                <w:kern w:val="2"/>
                <w:szCs w:val="24"/>
              </w:rPr>
              <w:t>„</w:t>
            </w:r>
            <w:r w:rsidR="00016523" w:rsidRPr="00016523">
              <w:rPr>
                <w:b/>
                <w:bCs/>
                <w:kern w:val="2"/>
                <w:szCs w:val="24"/>
              </w:rPr>
              <w:t>Pagalbinio ūkio paskirties pastato Nepriklausomybės g. 37, Liolių mstl. Kelmės r., griovimo ir gyvenamosios paskirties )įvairių socialinių grupių asmenims</w:t>
            </w:r>
            <w:r w:rsidR="00016523">
              <w:rPr>
                <w:kern w:val="2"/>
                <w:szCs w:val="24"/>
              </w:rPr>
              <w:t xml:space="preserve">) </w:t>
            </w:r>
            <w:r w:rsidR="00016523" w:rsidRPr="00016523">
              <w:rPr>
                <w:b/>
                <w:bCs/>
                <w:kern w:val="2"/>
                <w:szCs w:val="24"/>
              </w:rPr>
              <w:t>statybos projekto parengimas</w:t>
            </w:r>
            <w:r w:rsidR="006379D1">
              <w:rPr>
                <w:b/>
                <w:bCs/>
                <w:kern w:val="2"/>
                <w:szCs w:val="24"/>
              </w:rPr>
              <w:t xml:space="preserve"> su statinio projekto vykdymo priežiūra</w:t>
            </w:r>
            <w:r w:rsidR="00016523" w:rsidRPr="00016523">
              <w:rPr>
                <w:b/>
                <w:bCs/>
                <w:kern w:val="2"/>
                <w:szCs w:val="24"/>
              </w:rPr>
              <w:t xml:space="preserve"> </w:t>
            </w:r>
            <w:r w:rsidRPr="001A5B06">
              <w:rPr>
                <w:b/>
                <w:bCs/>
                <w:kern w:val="2"/>
                <w:szCs w:val="24"/>
              </w:rPr>
              <w:t xml:space="preserve">“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67D9DE9B" w:rsidR="00D612DA" w:rsidRPr="001A5B06" w:rsidRDefault="00D612DA" w:rsidP="009C2F29">
            <w:pPr>
              <w:jc w:val="both"/>
              <w:rPr>
                <w:kern w:val="2"/>
                <w:szCs w:val="24"/>
              </w:rPr>
            </w:pPr>
            <w:r w:rsidRPr="001A5B06">
              <w:rPr>
                <w:kern w:val="2"/>
                <w:szCs w:val="24"/>
              </w:rPr>
              <w:t>Europos Sąjungos lėšomis bendrai finansuojamo projekto,</w:t>
            </w:r>
            <w:r w:rsidRPr="001A5B06">
              <w:rPr>
                <w:color w:val="4472C4"/>
                <w:kern w:val="2"/>
                <w:szCs w:val="24"/>
              </w:rPr>
              <w:t xml:space="preserve"> </w:t>
            </w:r>
            <w:r w:rsidRPr="001A5B06">
              <w:rPr>
                <w:kern w:val="2"/>
                <w:szCs w:val="24"/>
              </w:rPr>
              <w:t>pavadinimas „</w:t>
            </w:r>
            <w:r w:rsidR="00016523">
              <w:rPr>
                <w:kern w:val="2"/>
                <w:szCs w:val="24"/>
              </w:rPr>
              <w:t xml:space="preserve">Socialinių paslaugų įstaigų senyvo amžiaus asmenims infrastruktūros modernizavimas ir plėtra </w:t>
            </w:r>
            <w:r w:rsidRPr="001A5B06">
              <w:rPr>
                <w:kern w:val="2"/>
                <w:szCs w:val="24"/>
              </w:rPr>
              <w:t>Kelmės rajone“.</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055DE355" w:rsidR="00D612DA" w:rsidRDefault="00D612DA" w:rsidP="009C2F29">
            <w:pPr>
              <w:jc w:val="both"/>
              <w:rPr>
                <w:szCs w:val="24"/>
              </w:rPr>
            </w:pPr>
            <w:proofErr w:type="spellStart"/>
            <w:r w:rsidRPr="001A5B06">
              <w:rPr>
                <w:szCs w:val="24"/>
                <w:lang w:val="es-ES_tradnl"/>
              </w:rPr>
              <w:t>Projektiniai</w:t>
            </w:r>
            <w:proofErr w:type="spellEnd"/>
            <w:r w:rsidRPr="001A5B06">
              <w:rPr>
                <w:szCs w:val="24"/>
                <w:lang w:val="es-ES_tradnl"/>
              </w:rPr>
              <w:t xml:space="preserve"> </w:t>
            </w:r>
            <w:proofErr w:type="spellStart"/>
            <w:r w:rsidRPr="001A5B06">
              <w:rPr>
                <w:szCs w:val="24"/>
                <w:lang w:val="es-ES_tradnl"/>
              </w:rPr>
              <w:t>pasiūlymai</w:t>
            </w:r>
            <w:proofErr w:type="spellEnd"/>
            <w:r w:rsidRPr="001A5B06">
              <w:rPr>
                <w:szCs w:val="24"/>
                <w:lang w:val="es-ES_tradnl"/>
              </w:rPr>
              <w:t xml:space="preserve"> </w:t>
            </w:r>
            <w:proofErr w:type="spellStart"/>
            <w:r w:rsidRPr="001A5B06">
              <w:rPr>
                <w:szCs w:val="24"/>
                <w:lang w:val="es-ES_tradnl"/>
              </w:rPr>
              <w:t>turi</w:t>
            </w:r>
            <w:proofErr w:type="spellEnd"/>
            <w:r w:rsidRPr="001A5B06">
              <w:rPr>
                <w:szCs w:val="24"/>
                <w:lang w:val="es-ES_tradnl"/>
              </w:rPr>
              <w:t xml:space="preserve"> </w:t>
            </w:r>
            <w:proofErr w:type="spellStart"/>
            <w:r w:rsidRPr="001A5B06">
              <w:rPr>
                <w:szCs w:val="24"/>
                <w:lang w:val="es-ES_tradnl"/>
              </w:rPr>
              <w:t>būti</w:t>
            </w:r>
            <w:proofErr w:type="spellEnd"/>
            <w:r w:rsidRPr="001A5B06">
              <w:rPr>
                <w:szCs w:val="24"/>
                <w:lang w:val="es-ES_tradnl"/>
              </w:rPr>
              <w:t xml:space="preserve"> </w:t>
            </w:r>
            <w:proofErr w:type="spellStart"/>
            <w:r w:rsidRPr="001A5B06">
              <w:rPr>
                <w:szCs w:val="24"/>
                <w:lang w:val="es-ES_tradnl"/>
              </w:rPr>
              <w:t>parengti</w:t>
            </w:r>
            <w:proofErr w:type="spellEnd"/>
            <w:r w:rsidRPr="001A5B06">
              <w:rPr>
                <w:szCs w:val="24"/>
                <w:lang w:val="es-ES_tradnl"/>
              </w:rPr>
              <w:t xml:space="preserve"> ir </w:t>
            </w:r>
            <w:proofErr w:type="spellStart"/>
            <w:r w:rsidRPr="001A5B06">
              <w:rPr>
                <w:szCs w:val="24"/>
                <w:lang w:val="es-ES_tradnl"/>
              </w:rPr>
              <w:t>atliktos</w:t>
            </w:r>
            <w:proofErr w:type="spellEnd"/>
            <w:r w:rsidRPr="001A5B06">
              <w:rPr>
                <w:szCs w:val="24"/>
                <w:lang w:val="es-ES_tradnl"/>
              </w:rPr>
              <w:t xml:space="preserve"> </w:t>
            </w:r>
            <w:proofErr w:type="spellStart"/>
            <w:r w:rsidRPr="001A5B06">
              <w:rPr>
                <w:szCs w:val="24"/>
                <w:lang w:val="es-ES_tradnl"/>
              </w:rPr>
              <w:t>visuomenės</w:t>
            </w:r>
            <w:proofErr w:type="spellEnd"/>
            <w:r w:rsidRPr="001A5B06">
              <w:rPr>
                <w:szCs w:val="24"/>
                <w:lang w:val="es-ES_tradnl"/>
              </w:rPr>
              <w:t xml:space="preserve"> </w:t>
            </w:r>
            <w:proofErr w:type="spellStart"/>
            <w:r w:rsidRPr="001A5B06">
              <w:rPr>
                <w:szCs w:val="24"/>
                <w:lang w:val="es-ES_tradnl"/>
              </w:rPr>
              <w:t>informavimo</w:t>
            </w:r>
            <w:proofErr w:type="spellEnd"/>
            <w:r w:rsidRPr="001A5B06">
              <w:rPr>
                <w:szCs w:val="24"/>
                <w:lang w:val="es-ES_tradnl"/>
              </w:rPr>
              <w:t xml:space="preserve"> </w:t>
            </w:r>
            <w:proofErr w:type="spellStart"/>
            <w:r w:rsidRPr="001A5B06">
              <w:rPr>
                <w:szCs w:val="24"/>
                <w:lang w:val="es-ES_tradnl"/>
              </w:rPr>
              <w:t>apie</w:t>
            </w:r>
            <w:proofErr w:type="spellEnd"/>
            <w:r w:rsidRPr="001A5B06">
              <w:rPr>
                <w:szCs w:val="24"/>
                <w:lang w:val="es-ES_tradnl"/>
              </w:rPr>
              <w:t xml:space="preserve"> </w:t>
            </w:r>
            <w:proofErr w:type="spellStart"/>
            <w:r w:rsidRPr="001A5B06">
              <w:rPr>
                <w:szCs w:val="24"/>
                <w:lang w:val="es-ES_tradnl"/>
              </w:rPr>
              <w:t>juos</w:t>
            </w:r>
            <w:proofErr w:type="spellEnd"/>
            <w:r w:rsidRPr="001A5B06">
              <w:rPr>
                <w:szCs w:val="24"/>
                <w:lang w:val="es-ES_tradnl"/>
              </w:rPr>
              <w:t xml:space="preserve"> </w:t>
            </w:r>
            <w:proofErr w:type="spellStart"/>
            <w:r w:rsidRPr="001A5B06">
              <w:rPr>
                <w:szCs w:val="24"/>
                <w:lang w:val="es-ES_tradnl"/>
              </w:rPr>
              <w:t>procedūros</w:t>
            </w:r>
            <w:proofErr w:type="spellEnd"/>
            <w:r w:rsidRPr="001A5B06">
              <w:rPr>
                <w:szCs w:val="24"/>
                <w:lang w:val="es-ES_tradnl"/>
              </w:rPr>
              <w:t xml:space="preserve"> </w:t>
            </w:r>
            <w:r w:rsidRPr="001A5B06">
              <w:rPr>
                <w:b/>
                <w:bCs/>
                <w:szCs w:val="24"/>
                <w:lang w:val="es-ES_tradnl"/>
              </w:rPr>
              <w:t xml:space="preserve">per 4 </w:t>
            </w:r>
            <w:proofErr w:type="spellStart"/>
            <w:r w:rsidRPr="001A5B06">
              <w:rPr>
                <w:b/>
                <w:bCs/>
                <w:szCs w:val="24"/>
                <w:lang w:val="es-ES_tradnl"/>
              </w:rPr>
              <w:t>mėn</w:t>
            </w:r>
            <w:proofErr w:type="spellEnd"/>
            <w:r w:rsidRPr="001A5B06">
              <w:rPr>
                <w:szCs w:val="24"/>
                <w:lang w:val="es-ES_tradnl"/>
              </w:rPr>
              <w:t xml:space="preserve">. </w:t>
            </w:r>
            <w:proofErr w:type="spellStart"/>
            <w:r w:rsidRPr="001A5B06">
              <w:rPr>
                <w:szCs w:val="24"/>
                <w:lang w:val="es-ES_tradnl"/>
              </w:rPr>
              <w:t>nuo</w:t>
            </w:r>
            <w:proofErr w:type="spellEnd"/>
            <w:r w:rsidRPr="001A5B06">
              <w:rPr>
                <w:szCs w:val="24"/>
                <w:lang w:val="es-ES_tradnl"/>
              </w:rPr>
              <w:t xml:space="preserve"> </w:t>
            </w:r>
            <w:proofErr w:type="spellStart"/>
            <w:r w:rsidRPr="001A5B06">
              <w:rPr>
                <w:szCs w:val="24"/>
                <w:lang w:val="es-ES_tradnl"/>
              </w:rPr>
              <w:t>sutarties</w:t>
            </w:r>
            <w:proofErr w:type="spellEnd"/>
            <w:r w:rsidRPr="001A5B06">
              <w:rPr>
                <w:szCs w:val="24"/>
                <w:lang w:val="es-ES_tradnl"/>
              </w:rPr>
              <w:t xml:space="preserve"> </w:t>
            </w:r>
            <w:proofErr w:type="spellStart"/>
            <w:r w:rsidRPr="001A5B06">
              <w:rPr>
                <w:szCs w:val="24"/>
                <w:lang w:val="es-ES_tradnl"/>
              </w:rPr>
              <w:t>įsigaliojimo</w:t>
            </w:r>
            <w:proofErr w:type="spellEnd"/>
            <w:r w:rsidRPr="001A5B06">
              <w:rPr>
                <w:szCs w:val="24"/>
                <w:lang w:val="es-ES_tradnl"/>
              </w:rPr>
              <w:t xml:space="preserve"> dienos. </w:t>
            </w:r>
            <w:proofErr w:type="spellStart"/>
            <w:r w:rsidRPr="001A5B06">
              <w:rPr>
                <w:szCs w:val="24"/>
                <w:lang w:val="es-ES_tradnl"/>
              </w:rPr>
              <w:t>Techninis</w:t>
            </w:r>
            <w:proofErr w:type="spellEnd"/>
            <w:r w:rsidRPr="001A5B06">
              <w:rPr>
                <w:szCs w:val="24"/>
                <w:lang w:val="es-ES_tradnl"/>
              </w:rPr>
              <w:t xml:space="preserve"> </w:t>
            </w:r>
            <w:proofErr w:type="spellStart"/>
            <w:r w:rsidRPr="001A5B06">
              <w:rPr>
                <w:szCs w:val="24"/>
                <w:lang w:val="es-ES_tradnl"/>
              </w:rPr>
              <w:t>darbo</w:t>
            </w:r>
            <w:proofErr w:type="spellEnd"/>
            <w:r w:rsidRPr="001A5B06">
              <w:rPr>
                <w:szCs w:val="24"/>
                <w:lang w:val="es-ES_tradnl"/>
              </w:rPr>
              <w:t xml:space="preserve"> </w:t>
            </w:r>
            <w:proofErr w:type="spellStart"/>
            <w:r w:rsidRPr="001A5B06">
              <w:rPr>
                <w:szCs w:val="24"/>
                <w:lang w:val="es-ES_tradnl"/>
              </w:rPr>
              <w:t>projektas</w:t>
            </w:r>
            <w:proofErr w:type="spellEnd"/>
            <w:r w:rsidRPr="001A5B06">
              <w:rPr>
                <w:szCs w:val="24"/>
                <w:lang w:val="es-ES_tradnl"/>
              </w:rPr>
              <w:t xml:space="preserve"> </w:t>
            </w:r>
            <w:proofErr w:type="spellStart"/>
            <w:r w:rsidRPr="001A5B06">
              <w:rPr>
                <w:szCs w:val="24"/>
                <w:lang w:val="es-ES_tradnl"/>
              </w:rPr>
              <w:t>turi</w:t>
            </w:r>
            <w:proofErr w:type="spellEnd"/>
            <w:r w:rsidRPr="001A5B06">
              <w:rPr>
                <w:szCs w:val="24"/>
                <w:lang w:val="es-ES_tradnl"/>
              </w:rPr>
              <w:t xml:space="preserve"> b</w:t>
            </w:r>
            <w:r w:rsidRPr="001A5B06">
              <w:rPr>
                <w:szCs w:val="24"/>
              </w:rPr>
              <w:t>ū</w:t>
            </w:r>
            <w:r w:rsidRPr="001A5B06">
              <w:rPr>
                <w:szCs w:val="24"/>
                <w:lang w:val="it-IT"/>
              </w:rPr>
              <w:t xml:space="preserve">ti </w:t>
            </w:r>
            <w:r w:rsidRPr="001A5B06">
              <w:rPr>
                <w:szCs w:val="24"/>
              </w:rPr>
              <w:t xml:space="preserve">parengtas </w:t>
            </w:r>
            <w:r w:rsidRPr="001A5B06">
              <w:rPr>
                <w:b/>
                <w:bCs/>
                <w:szCs w:val="24"/>
              </w:rPr>
              <w:t xml:space="preserve">per </w:t>
            </w:r>
            <w:r w:rsidR="00857640">
              <w:rPr>
                <w:b/>
                <w:bCs/>
                <w:szCs w:val="24"/>
              </w:rPr>
              <w:t>4</w:t>
            </w:r>
            <w:r w:rsidRPr="001A5B06">
              <w:rPr>
                <w:b/>
                <w:bCs/>
                <w:szCs w:val="24"/>
              </w:rPr>
              <w:t xml:space="preserve"> mėn</w:t>
            </w:r>
            <w:r w:rsidRPr="001A5B06">
              <w:rPr>
                <w:szCs w:val="24"/>
              </w:rPr>
              <w:t>.</w:t>
            </w:r>
            <w:r w:rsidRPr="001A5B06">
              <w:rPr>
                <w:szCs w:val="24"/>
                <w:lang w:val="es-ES_tradnl"/>
              </w:rPr>
              <w:t xml:space="preserve"> </w:t>
            </w:r>
            <w:proofErr w:type="spellStart"/>
            <w:r w:rsidRPr="001A5B06">
              <w:rPr>
                <w:szCs w:val="24"/>
                <w:lang w:val="es-ES_tradnl"/>
              </w:rPr>
              <w:t>nuo</w:t>
            </w:r>
            <w:proofErr w:type="spellEnd"/>
            <w:r w:rsidRPr="001A5B06">
              <w:rPr>
                <w:szCs w:val="24"/>
                <w:lang w:val="es-ES_tradnl"/>
              </w:rPr>
              <w:t xml:space="preserve"> </w:t>
            </w:r>
            <w:proofErr w:type="spellStart"/>
            <w:r w:rsidRPr="001A5B06">
              <w:rPr>
                <w:szCs w:val="24"/>
                <w:lang w:val="es-ES_tradnl"/>
              </w:rPr>
              <w:t>visuomenės</w:t>
            </w:r>
            <w:proofErr w:type="spellEnd"/>
            <w:r w:rsidRPr="001A5B06">
              <w:rPr>
                <w:szCs w:val="24"/>
                <w:lang w:val="es-ES_tradnl"/>
              </w:rPr>
              <w:t xml:space="preserve"> </w:t>
            </w:r>
            <w:proofErr w:type="spellStart"/>
            <w:r w:rsidRPr="001A5B06">
              <w:rPr>
                <w:szCs w:val="24"/>
                <w:lang w:val="es-ES_tradnl"/>
              </w:rPr>
              <w:t>informavimo</w:t>
            </w:r>
            <w:proofErr w:type="spellEnd"/>
            <w:r w:rsidRPr="001A5B06">
              <w:rPr>
                <w:szCs w:val="24"/>
                <w:lang w:val="es-ES_tradnl"/>
              </w:rPr>
              <w:t xml:space="preserve"> </w:t>
            </w:r>
            <w:proofErr w:type="spellStart"/>
            <w:r w:rsidRPr="001A5B06">
              <w:rPr>
                <w:szCs w:val="24"/>
                <w:lang w:val="es-ES_tradnl"/>
              </w:rPr>
              <w:t>procedūros</w:t>
            </w:r>
            <w:proofErr w:type="spellEnd"/>
            <w:r w:rsidRPr="001A5B06">
              <w:rPr>
                <w:szCs w:val="24"/>
                <w:lang w:val="es-ES_tradnl"/>
              </w:rPr>
              <w:t xml:space="preserve"> </w:t>
            </w:r>
            <w:proofErr w:type="spellStart"/>
            <w:r w:rsidRPr="001A5B06">
              <w:rPr>
                <w:szCs w:val="24"/>
                <w:lang w:val="es-ES_tradnl"/>
              </w:rPr>
              <w:t>pabaigos</w:t>
            </w:r>
            <w:proofErr w:type="spellEnd"/>
            <w:r w:rsidRPr="001A5B06">
              <w:rPr>
                <w:szCs w:val="24"/>
                <w:lang w:val="es-ES_tradnl"/>
              </w:rPr>
              <w:t xml:space="preserve"> dienos (</w:t>
            </w:r>
            <w:proofErr w:type="spellStart"/>
            <w:r w:rsidRPr="001A5B06">
              <w:rPr>
                <w:szCs w:val="24"/>
                <w:lang w:val="es-ES_tradnl"/>
              </w:rPr>
              <w:t>bendras</w:t>
            </w:r>
            <w:proofErr w:type="spellEnd"/>
            <w:r w:rsidRPr="001A5B06">
              <w:rPr>
                <w:szCs w:val="24"/>
                <w:lang w:val="es-ES_tradnl"/>
              </w:rPr>
              <w:t xml:space="preserve"> </w:t>
            </w:r>
            <w:proofErr w:type="spellStart"/>
            <w:r w:rsidRPr="001A5B06">
              <w:rPr>
                <w:szCs w:val="24"/>
                <w:lang w:val="es-ES_tradnl"/>
              </w:rPr>
              <w:t>sutarties</w:t>
            </w:r>
            <w:proofErr w:type="spellEnd"/>
            <w:r w:rsidRPr="001A5B06">
              <w:rPr>
                <w:szCs w:val="24"/>
                <w:lang w:val="es-ES_tradnl"/>
              </w:rPr>
              <w:t xml:space="preserve"> terminas – </w:t>
            </w:r>
            <w:r w:rsidR="00857640">
              <w:rPr>
                <w:szCs w:val="24"/>
                <w:lang w:val="es-ES_tradnl"/>
              </w:rPr>
              <w:t>8</w:t>
            </w:r>
            <w:r w:rsidRPr="001A5B06">
              <w:rPr>
                <w:b/>
                <w:bCs/>
                <w:szCs w:val="24"/>
                <w:lang w:val="es-ES_tradnl"/>
              </w:rPr>
              <w:t xml:space="preserve"> </w:t>
            </w:r>
            <w:proofErr w:type="spellStart"/>
            <w:r w:rsidRPr="001A5B06">
              <w:rPr>
                <w:b/>
                <w:bCs/>
                <w:szCs w:val="24"/>
                <w:lang w:val="es-ES_tradnl"/>
              </w:rPr>
              <w:t>mėnesiai</w:t>
            </w:r>
            <w:proofErr w:type="spellEnd"/>
            <w:r w:rsidRPr="001A5B06">
              <w:rPr>
                <w:szCs w:val="24"/>
                <w:lang w:val="es-ES_tradnl"/>
              </w:rPr>
              <w:t xml:space="preserve">). </w:t>
            </w:r>
            <w:r w:rsidRPr="001A5B06">
              <w:rPr>
                <w:szCs w:val="24"/>
              </w:rPr>
              <w:t>Į Paslaugų teikimo terminą įeina teigiamos statinio projekto ekspertizės išvados gavimas.</w:t>
            </w:r>
          </w:p>
          <w:p w14:paraId="1A340952" w14:textId="649E2431" w:rsidR="006379D1" w:rsidRPr="001A5B06" w:rsidRDefault="006379D1" w:rsidP="009C2F29">
            <w:pPr>
              <w:jc w:val="both"/>
              <w:rPr>
                <w:szCs w:val="24"/>
              </w:rPr>
            </w:pPr>
            <w:r>
              <w:rPr>
                <w:szCs w:val="24"/>
              </w:rPr>
              <w:t xml:space="preserve"> Projekto vykdymo paslaugos pradedamos teikti pasirašius rangos darbų sutartį ir teikiamos iki jų pabaigos, bet ne ilgiau nei 3 metus nuo Sutarties įsigaliojimo dienos.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w:t>
            </w:r>
            <w:r w:rsidRPr="001A5B06">
              <w:rPr>
                <w:kern w:val="2"/>
                <w:szCs w:val="24"/>
              </w:rPr>
              <w:lastRenderedPageBreak/>
              <w:t xml:space="preserve">pratęsiamas tik minėtų aplinkybių egzistavimo laikotarpiui, bet ne ilgiau nei 2 </w:t>
            </w:r>
            <w:r w:rsidRPr="001A5B06">
              <w:rPr>
                <w:color w:val="212121"/>
                <w:kern w:val="2"/>
                <w:szCs w:val="24"/>
              </w:rPr>
              <w:t>mėnesių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lastRenderedPageBreak/>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14791EB2"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w:t>
            </w:r>
            <w:r w:rsidR="00552694">
              <w:rPr>
                <w:kern w:val="2"/>
                <w:szCs w:val="24"/>
              </w:rPr>
              <w:t xml:space="preserve">11.9 </w:t>
            </w:r>
            <w:r w:rsidRPr="001A5B06">
              <w:rPr>
                <w:kern w:val="2"/>
                <w:szCs w:val="24"/>
              </w:rPr>
              <w:t xml:space="preserve"> p.</w:t>
            </w:r>
            <w:r w:rsidRPr="001A5B06">
              <w:rPr>
                <w:color w:val="212121"/>
                <w:kern w:val="2"/>
                <w:szCs w:val="24"/>
              </w:rPr>
              <w:t xml:space="preserve"> </w:t>
            </w:r>
            <w:r w:rsidR="00552694" w:rsidRPr="001A5B06">
              <w:rPr>
                <w:color w:val="212121"/>
                <w:kern w:val="2"/>
                <w:szCs w:val="24"/>
              </w:rPr>
              <w:t xml:space="preserve">Paslaugų perdavimo–priėmimo aktas ir Sąskaita. </w:t>
            </w:r>
            <w:r w:rsidRPr="001A5B06">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007AB4BE" w14:textId="77777777" w:rsidR="00D23CF3" w:rsidRPr="001A5B06" w:rsidRDefault="00D23CF3" w:rsidP="00D23CF3">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7E7480D6" w14:textId="77777777" w:rsidR="00D23CF3" w:rsidRPr="000E411D" w:rsidRDefault="00D23CF3" w:rsidP="00D23CF3">
            <w:pPr>
              <w:jc w:val="both"/>
              <w:rPr>
                <w:color w:val="212121"/>
                <w:kern w:val="2"/>
                <w:szCs w:val="24"/>
              </w:rPr>
            </w:pPr>
          </w:p>
          <w:p w14:paraId="567F8B33" w14:textId="77777777" w:rsidR="00D23CF3" w:rsidRPr="000E411D" w:rsidRDefault="00D23CF3" w:rsidP="00D23CF3">
            <w:pPr>
              <w:jc w:val="both"/>
              <w:rPr>
                <w:color w:val="212121"/>
                <w:kern w:val="2"/>
                <w:szCs w:val="24"/>
              </w:rPr>
            </w:pPr>
            <w:r w:rsidRPr="000E411D">
              <w:rPr>
                <w:color w:val="212121"/>
                <w:kern w:val="2"/>
                <w:szCs w:val="24"/>
              </w:rPr>
              <w:t xml:space="preserve">5.2.1.1. </w:t>
            </w:r>
            <w:r w:rsidRPr="001A5B06">
              <w:rPr>
                <w:color w:val="212121"/>
                <w:szCs w:val="24"/>
              </w:rPr>
              <w:t>Projektinių pasiūlymų 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760C19D6" w14:textId="77777777" w:rsidR="00D23CF3" w:rsidRDefault="00D23CF3" w:rsidP="00D23CF3">
            <w:pPr>
              <w:jc w:val="both"/>
              <w:rPr>
                <w:color w:val="212121"/>
                <w:kern w:val="2"/>
                <w:szCs w:val="24"/>
              </w:rPr>
            </w:pPr>
            <w:r w:rsidRPr="000E411D">
              <w:rPr>
                <w:color w:val="212121"/>
                <w:kern w:val="2"/>
                <w:szCs w:val="24"/>
              </w:rPr>
              <w:t xml:space="preserve">5.2.1.2. </w:t>
            </w: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r>
              <w:rPr>
                <w:color w:val="212121"/>
                <w:kern w:val="2"/>
                <w:szCs w:val="24"/>
              </w:rPr>
              <w:t>;</w:t>
            </w:r>
          </w:p>
          <w:p w14:paraId="49481FAD" w14:textId="77777777" w:rsidR="00D23CF3" w:rsidRPr="00701D51" w:rsidRDefault="00D23CF3" w:rsidP="00D23CF3">
            <w:pPr>
              <w:jc w:val="both"/>
              <w:rPr>
                <w:color w:val="212121"/>
                <w:kern w:val="2"/>
                <w:szCs w:val="24"/>
              </w:rPr>
            </w:pPr>
            <w:r>
              <w:rPr>
                <w:color w:val="212121"/>
                <w:kern w:val="2"/>
                <w:szCs w:val="24"/>
              </w:rPr>
              <w:t xml:space="preserve">5.2.1.3. Statinio projekto vykdymo priežiūra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24216B3B" w14:textId="77777777" w:rsidR="00D23CF3" w:rsidRPr="000E411D" w:rsidRDefault="00D23CF3" w:rsidP="00D23CF3">
            <w:pPr>
              <w:jc w:val="both"/>
              <w:rPr>
                <w:color w:val="212121"/>
                <w:kern w:val="2"/>
                <w:szCs w:val="24"/>
              </w:rPr>
            </w:pPr>
          </w:p>
          <w:p w14:paraId="311B7E97" w14:textId="77777777" w:rsidR="00D23CF3" w:rsidRPr="000E411D" w:rsidRDefault="00D23CF3" w:rsidP="00D23CF3">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06D43DA0" w14:textId="77777777" w:rsidR="00D23CF3" w:rsidRPr="000E411D" w:rsidRDefault="00D23CF3" w:rsidP="00D23CF3">
            <w:pPr>
              <w:jc w:val="both"/>
              <w:rPr>
                <w:color w:val="212121"/>
                <w:kern w:val="2"/>
                <w:szCs w:val="24"/>
              </w:rPr>
            </w:pPr>
            <w:r w:rsidRPr="000E411D">
              <w:rPr>
                <w:color w:val="212121"/>
                <w:kern w:val="2"/>
                <w:szCs w:val="24"/>
              </w:rPr>
              <w:t xml:space="preserve">5.2.2.1. </w:t>
            </w:r>
            <w:r w:rsidRPr="001A5B06">
              <w:rPr>
                <w:color w:val="212121"/>
                <w:szCs w:val="24"/>
              </w:rPr>
              <w:t>Projektinių pasiūlymų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174CE3A4" w14:textId="77777777" w:rsidR="00D23CF3" w:rsidRDefault="00D23CF3" w:rsidP="00D23CF3">
            <w:pPr>
              <w:jc w:val="both"/>
              <w:rPr>
                <w:color w:val="212121"/>
                <w:kern w:val="2"/>
                <w:szCs w:val="24"/>
              </w:rPr>
            </w:pPr>
            <w:r w:rsidRPr="001A5B06">
              <w:rPr>
                <w:color w:val="212121"/>
                <w:kern w:val="2"/>
                <w:szCs w:val="24"/>
              </w:rPr>
              <w:t xml:space="preserve">5.2.2.2.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r>
              <w:rPr>
                <w:color w:val="212121"/>
                <w:kern w:val="2"/>
                <w:szCs w:val="24"/>
              </w:rPr>
              <w:t>;</w:t>
            </w:r>
          </w:p>
          <w:p w14:paraId="0937BC34" w14:textId="7BC5CD1C" w:rsidR="00D612DA" w:rsidRPr="001A5B06" w:rsidRDefault="00D23CF3" w:rsidP="00D23CF3">
            <w:pPr>
              <w:jc w:val="both"/>
              <w:rPr>
                <w:color w:val="212121"/>
                <w:kern w:val="2"/>
                <w:szCs w:val="24"/>
              </w:rPr>
            </w:pPr>
            <w:r>
              <w:rPr>
                <w:color w:val="212121"/>
                <w:kern w:val="2"/>
                <w:szCs w:val="24"/>
              </w:rPr>
              <w:t xml:space="preserve">5.2.2.3. Statinio projekto vykdymo priežiūra </w:t>
            </w:r>
            <w:r w:rsidRPr="000E411D">
              <w:rPr>
                <w:color w:val="212121"/>
                <w:kern w:val="2"/>
                <w:szCs w:val="24"/>
              </w:rPr>
              <w:t>– _____ (</w:t>
            </w:r>
            <w:r w:rsidRPr="000E411D">
              <w:rPr>
                <w:i/>
                <w:iCs/>
                <w:color w:val="212121"/>
                <w:kern w:val="2"/>
                <w:szCs w:val="24"/>
              </w:rPr>
              <w:t>suma žodžiais</w:t>
            </w:r>
            <w:r w:rsidRPr="000E411D">
              <w:rPr>
                <w:color w:val="212121"/>
                <w:kern w:val="2"/>
                <w:szCs w:val="24"/>
              </w:rPr>
              <w:t xml:space="preserve">) Eur </w:t>
            </w:r>
            <w:r>
              <w:rPr>
                <w:color w:val="212121"/>
                <w:kern w:val="2"/>
                <w:szCs w:val="24"/>
              </w:rPr>
              <w:t>su</w:t>
            </w:r>
            <w:r w:rsidRPr="000E411D">
              <w:rPr>
                <w:color w:val="212121"/>
                <w:kern w:val="2"/>
                <w:szCs w:val="24"/>
              </w:rPr>
              <w:t xml:space="preserve">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lastRenderedPageBreak/>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lastRenderedPageBreak/>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mėn.(dvylika mėnesių).</w:t>
            </w:r>
          </w:p>
          <w:p w14:paraId="5191D595" w14:textId="77777777" w:rsidR="00D612DA" w:rsidRPr="00167A0B" w:rsidRDefault="00D612DA" w:rsidP="009C2F29">
            <w:pPr>
              <w:jc w:val="both"/>
              <w:rPr>
                <w:color w:val="212121"/>
                <w:kern w:val="2"/>
                <w:szCs w:val="24"/>
              </w:rPr>
            </w:pPr>
            <w:r w:rsidRPr="00167A0B">
              <w:rPr>
                <w:color w:val="212121"/>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D23CF3"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naujausias</w:t>
            </w:r>
            <w:proofErr w:type="spellEnd"/>
            <w:r w:rsidRPr="00277478">
              <w:rPr>
                <w:color w:val="212121"/>
                <w:kern w:val="2"/>
                <w:szCs w:val="24"/>
              </w:rPr>
              <w:t xml:space="preserve"> – kreipimosi dėl kainos peržiūros išsiuntimo kitai Šaliai dieną paskelbtas naujausias vartojimo prekių ir paslaugų </w:t>
            </w:r>
            <w:r w:rsidRPr="00277478">
              <w:rPr>
                <w:color w:val="212121"/>
                <w:kern w:val="2"/>
                <w:szCs w:val="24"/>
              </w:rPr>
              <w:lastRenderedPageBreak/>
              <w:t>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pradžia</w:t>
            </w:r>
            <w:proofErr w:type="spellEnd"/>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3153B3B0" w14:textId="77777777" w:rsidR="00D612DA" w:rsidRPr="001A5B06" w:rsidRDefault="00D612DA" w:rsidP="009C2F29">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9C2F29">
            <w:pPr>
              <w:jc w:val="both"/>
              <w:rPr>
                <w:color w:val="000000"/>
                <w:kern w:val="2"/>
                <w:szCs w:val="24"/>
                <w:shd w:val="clear" w:color="auto" w:fill="FFFFFF"/>
              </w:rPr>
            </w:pP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07773C8A" w14:textId="77777777" w:rsidR="00D612DA" w:rsidRPr="00012DF2"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lastRenderedPageBreak/>
              <w:t>5.2.2.2. p. nurodyta kaina apmokama Tiekėjui parengus 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ą ir pateikus Užsakovui Projektavimo darbų užduotyje nurodytos komplektacijos techninį darbo projektą.</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lastRenderedPageBreak/>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77777777" w:rsidR="00D612DA" w:rsidRPr="00317BEE" w:rsidRDefault="00D612DA" w:rsidP="009C2F29">
            <w:pPr>
              <w:pStyle w:val="Sraopastraipa"/>
              <w:widowControl w:val="0"/>
              <w:numPr>
                <w:ilvl w:val="2"/>
                <w:numId w:val="2"/>
              </w:numPr>
              <w:autoSpaceDE w:val="0"/>
              <w:autoSpaceDN w:val="0"/>
              <w:snapToGrid w:val="0"/>
              <w:spacing w:afterLines="20" w:after="48"/>
              <w:rPr>
                <w:rFonts w:ascii="timesoft Sans Serif" w:hAnsi="timesoft Sans Serif"/>
                <w:color w:val="000000" w:themeColor="text1"/>
                <w:sz w:val="24"/>
                <w:szCs w:val="24"/>
              </w:rPr>
            </w:pPr>
            <w:proofErr w:type="spellStart"/>
            <w:r w:rsidRPr="00317BEE">
              <w:rPr>
                <w:rFonts w:ascii="timesoft Sans Serif" w:hAnsi="timesoft Sans Serif"/>
                <w:color w:val="000000" w:themeColor="text1"/>
                <w:sz w:val="24"/>
                <w:szCs w:val="24"/>
              </w:rPr>
              <w:t>Tiekėjas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įsipareigoja</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kad</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sutartį</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vykdys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projekto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vadovas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kuris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buvo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nurodytas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pasiūlyme</w:t>
            </w:r>
            <w:proofErr w:type="spellEnd"/>
            <w:r w:rsidRPr="00317BEE">
              <w:rPr>
                <w:rFonts w:ascii="timesoft Sans Serif" w:hAnsi="timesoft Sans Serif"/>
                <w:color w:val="000000" w:themeColor="text1"/>
                <w:sz w:val="24"/>
                <w:szCs w:val="24"/>
              </w:rPr>
              <w:t xml:space="preserve"> (t. y. </w:t>
            </w:r>
            <w:proofErr w:type="spellStart"/>
            <w:r w:rsidRPr="00317BEE">
              <w:rPr>
                <w:rFonts w:ascii="timesoft Sans Serif" w:hAnsi="timesoft Sans Serif"/>
                <w:color w:val="000000" w:themeColor="text1"/>
                <w:sz w:val="24"/>
                <w:szCs w:val="24"/>
              </w:rPr>
              <w:t>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kurio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kvalifikacija</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ir</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patirtimi</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tiekėjas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grindė</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savo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atitiktį</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nustatytiems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kvalifikacijos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reikalavimams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ir</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eastAsia="Times New Roman" w:hAnsi="timesoft Sans Serif"/>
                <w:color w:val="000000" w:themeColor="text1"/>
                <w:sz w:val="24"/>
                <w:szCs w:val="24"/>
                <w:lang w:eastAsia="lt-LT"/>
              </w:rPr>
              <w:t>ekonomiškai</w:t>
            </w:r>
            <w:proofErr w:type="spellEnd"/>
            <w:r w:rsidRPr="00317BEE">
              <w:rPr>
                <w:rFonts w:ascii="timesoft Sans Serif" w:eastAsia="Times New Roman" w:hAnsi="timesoft Sans Serif"/>
                <w:color w:val="000000" w:themeColor="text1"/>
                <w:sz w:val="24"/>
                <w:szCs w:val="24"/>
                <w:lang w:eastAsia="lt-LT"/>
              </w:rPr>
              <w:t xml:space="preserve"> </w:t>
            </w:r>
            <w:proofErr w:type="spellStart"/>
            <w:r w:rsidRPr="00317BEE">
              <w:rPr>
                <w:rFonts w:ascii="timesoft Sans Serif" w:eastAsia="Times New Roman" w:hAnsi="timesoft Sans Serif"/>
                <w:color w:val="000000" w:themeColor="text1"/>
                <w:sz w:val="24"/>
                <w:szCs w:val="24"/>
                <w:lang w:eastAsia="lt-LT"/>
              </w:rPr>
              <w:t>naudingiausio</w:t>
            </w:r>
            <w:proofErr w:type="spellEnd"/>
            <w:r w:rsidRPr="00317BEE">
              <w:rPr>
                <w:rFonts w:ascii="timesoft Sans Serif" w:eastAsia="Times New Roman" w:hAnsi="timesoft Sans Serif"/>
                <w:color w:val="000000" w:themeColor="text1"/>
                <w:sz w:val="24"/>
                <w:szCs w:val="24"/>
                <w:lang w:eastAsia="lt-LT"/>
              </w:rPr>
              <w:t xml:space="preserve"> </w:t>
            </w:r>
            <w:proofErr w:type="spellStart"/>
            <w:r w:rsidRPr="00317BEE">
              <w:rPr>
                <w:rFonts w:ascii="timesoft Sans Serif" w:eastAsia="Times New Roman" w:hAnsi="timesoft Sans Serif"/>
                <w:color w:val="000000" w:themeColor="text1"/>
                <w:sz w:val="24"/>
                <w:szCs w:val="24"/>
                <w:lang w:eastAsia="lt-LT"/>
              </w:rPr>
              <w:t>pasiūlymo</w:t>
            </w:r>
            <w:proofErr w:type="spellEnd"/>
            <w:r w:rsidRPr="00317BEE">
              <w:rPr>
                <w:rFonts w:ascii="timesoft Sans Serif" w:eastAsia="Times New Roman" w:hAnsi="timesoft Sans Serif"/>
                <w:color w:val="000000" w:themeColor="text1"/>
                <w:sz w:val="24"/>
                <w:szCs w:val="24"/>
                <w:lang w:eastAsia="lt-LT"/>
              </w:rPr>
              <w:t xml:space="preserve"> </w:t>
            </w:r>
            <w:proofErr w:type="spellStart"/>
            <w:r w:rsidRPr="00317BEE">
              <w:rPr>
                <w:rFonts w:ascii="timesoft Sans Serif" w:hAnsi="timesoft Sans Serif"/>
                <w:color w:val="000000" w:themeColor="text1"/>
                <w:sz w:val="24"/>
                <w:szCs w:val="24"/>
              </w:rPr>
              <w:t>vertinimo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kriterijams</w:t>
            </w:r>
            <w:proofErr w:type="spellEnd"/>
            <w:r w:rsidRPr="00317BEE">
              <w:rPr>
                <w:rFonts w:ascii="timesoft Sans Serif" w:hAnsi="timesoft Sans Serif"/>
                <w:color w:val="000000" w:themeColor="text1"/>
                <w:sz w:val="24"/>
                <w:szCs w:val="24"/>
              </w:rPr>
              <w:t xml:space="preserve">). </w:t>
            </w:r>
          </w:p>
          <w:p w14:paraId="51CDF1F0" w14:textId="77777777" w:rsidR="00D612DA" w:rsidRPr="001A5B06" w:rsidRDefault="00D612DA" w:rsidP="009C2F29">
            <w:pPr>
              <w:pStyle w:val="Sraopastraipa"/>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vykdydamas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sutartį</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negali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savo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nurodyto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be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sutikimo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norėdamas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iš</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anksto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vykdytojui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motyvuotą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gauti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sutikimą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raštu</w:t>
            </w:r>
            <w:proofErr w:type="spellEnd"/>
            <w:r w:rsidRPr="001A5B06">
              <w:rPr>
                <w:rFonts w:ascii="Times New Roman" w:hAnsi="Times New Roman" w:cs="Times New Roman"/>
                <w:color w:val="000000" w:themeColor="text1"/>
                <w:sz w:val="24"/>
                <w:szCs w:val="24"/>
              </w:rPr>
              <w:t xml:space="preserve">. Kartu </w:t>
            </w:r>
            <w:proofErr w:type="spellStart"/>
            <w:r w:rsidRPr="001A5B06">
              <w:rPr>
                <w:rFonts w:ascii="Times New Roman" w:hAnsi="Times New Roman" w:cs="Times New Roman"/>
                <w:color w:val="000000" w:themeColor="text1"/>
                <w:sz w:val="24"/>
                <w:szCs w:val="24"/>
              </w:rPr>
              <w:t>su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pagrindžiančius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
          <w:p w14:paraId="64C77747"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6.3.2.1</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atitinka</w:t>
            </w:r>
            <w:proofErr w:type="spellEnd"/>
            <w:r w:rsidRPr="001A5B06">
              <w:rPr>
                <w:rFonts w:ascii="Times New Roman" w:hAnsi="Times New Roman" w:cs="Times New Roman"/>
                <w:color w:val="000000" w:themeColor="text1"/>
                <w:sz w:val="24"/>
                <w:szCs w:val="24"/>
              </w:rPr>
              <w:t xml:space="preserve"> jam </w:t>
            </w:r>
            <w:proofErr w:type="spellStart"/>
            <w:r w:rsidRPr="001A5B06">
              <w:rPr>
                <w:rFonts w:ascii="Times New Roman" w:hAnsi="Times New Roman" w:cs="Times New Roman"/>
                <w:color w:val="000000" w:themeColor="text1"/>
                <w:sz w:val="24"/>
                <w:szCs w:val="24"/>
              </w:rPr>
              <w:t>taikytinus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keitimo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metu</w:t>
            </w:r>
            <w:proofErr w:type="spellEnd"/>
            <w:r w:rsidRPr="001A5B06">
              <w:rPr>
                <w:rFonts w:ascii="Times New Roman" w:hAnsi="Times New Roman" w:cs="Times New Roman"/>
                <w:color w:val="000000" w:themeColor="text1"/>
                <w:sz w:val="24"/>
                <w:szCs w:val="24"/>
              </w:rPr>
              <w:t xml:space="preserve"> jo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tokie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
          <w:p w14:paraId="5337B8A2"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egzistuoja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objektyvios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priežastys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kurių</w:t>
            </w:r>
            <w:proofErr w:type="spellEnd"/>
            <w:r w:rsidRPr="001A5B06">
              <w:rPr>
                <w:rFonts w:ascii="Times New Roman" w:hAnsi="Times New Roman" w:cs="Times New Roman"/>
                <w:color w:val="000000" w:themeColor="text1"/>
                <w:sz w:val="24"/>
                <w:szCs w:val="24"/>
              </w:rPr>
              <w:t xml:space="preserve"> kilo </w:t>
            </w:r>
            <w:proofErr w:type="spellStart"/>
            <w:r w:rsidRPr="001A5B06">
              <w:rPr>
                <w:rFonts w:ascii="Times New Roman" w:hAnsi="Times New Roman" w:cs="Times New Roman"/>
                <w:color w:val="000000" w:themeColor="text1"/>
                <w:sz w:val="24"/>
                <w:szCs w:val="24"/>
              </w:rPr>
              <w:t>būtinybė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r w:rsidRPr="00F1420D">
              <w:rPr>
                <w:rFonts w:ascii="Times New Roman" w:hAnsi="Times New Roman" w:cs="Times New Roman"/>
                <w:b/>
                <w:bCs/>
                <w:color w:val="000000" w:themeColor="text1"/>
                <w:sz w:val="24"/>
                <w:szCs w:val="24"/>
              </w:rPr>
              <w:t xml:space="preserve">per 30 </w:t>
            </w:r>
            <w:proofErr w:type="spellStart"/>
            <w:r w:rsidRPr="00F1420D">
              <w:rPr>
                <w:rFonts w:ascii="Times New Roman" w:hAnsi="Times New Roman" w:cs="Times New Roman"/>
                <w:b/>
                <w:bCs/>
                <w:color w:val="000000" w:themeColor="text1"/>
                <w:sz w:val="24"/>
                <w:szCs w:val="24"/>
              </w:rPr>
              <w:t>kalendorinių</w:t>
            </w:r>
            <w:proofErr w:type="spellEnd"/>
            <w:r w:rsidRPr="00F1420D">
              <w:rPr>
                <w:rFonts w:ascii="Times New Roman" w:hAnsi="Times New Roman" w:cs="Times New Roman"/>
                <w:b/>
                <w:bCs/>
                <w:color w:val="000000" w:themeColor="text1"/>
                <w:sz w:val="24"/>
                <w:szCs w:val="24"/>
              </w:rPr>
              <w:t xml:space="preserve"> </w:t>
            </w:r>
            <w:proofErr w:type="spellStart"/>
            <w:r w:rsidRPr="00F1420D">
              <w:rPr>
                <w:rFonts w:ascii="Times New Roman" w:hAnsi="Times New Roman" w:cs="Times New Roman"/>
                <w:b/>
                <w:bCs/>
                <w:color w:val="000000" w:themeColor="text1"/>
                <w:sz w:val="24"/>
                <w:szCs w:val="24"/>
              </w:rPr>
              <w:t>dienų</w:t>
            </w:r>
            <w:proofErr w:type="spellEnd"/>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kitu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paskirti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naują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paslaugoms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reikalavimai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gali</w:t>
            </w:r>
            <w:proofErr w:type="spellEnd"/>
            <w:r w:rsidRPr="001A5B06">
              <w:rPr>
                <w:rFonts w:ascii="Times New Roman" w:hAnsi="Times New Roman" w:cs="Times New Roman"/>
                <w:color w:val="000000" w:themeColor="text1"/>
                <w:sz w:val="24"/>
                <w:szCs w:val="24"/>
              </w:rPr>
              <w:t xml:space="preserve"> tik </w:t>
            </w:r>
            <w:proofErr w:type="spellStart"/>
            <w:r w:rsidRPr="001A5B06">
              <w:rPr>
                <w:rFonts w:ascii="Times New Roman" w:hAnsi="Times New Roman" w:cs="Times New Roman"/>
                <w:color w:val="000000" w:themeColor="text1"/>
                <w:sz w:val="24"/>
                <w:szCs w:val="24"/>
              </w:rPr>
              <w:t>tada</w:t>
            </w:r>
            <w:proofErr w:type="spellEnd"/>
            <w:r w:rsidRPr="001A5B06">
              <w:rPr>
                <w:rFonts w:ascii="Times New Roman" w:hAnsi="Times New Roman" w:cs="Times New Roman"/>
                <w:color w:val="000000" w:themeColor="text1"/>
                <w:sz w:val="24"/>
                <w:szCs w:val="24"/>
              </w:rPr>
              <w:t xml:space="preserve">, kai to </w:t>
            </w:r>
            <w:proofErr w:type="spellStart"/>
            <w:r w:rsidRPr="001A5B06">
              <w:rPr>
                <w:rFonts w:ascii="Times New Roman" w:hAnsi="Times New Roman" w:cs="Times New Roman"/>
                <w:color w:val="000000" w:themeColor="text1"/>
                <w:sz w:val="24"/>
                <w:szCs w:val="24"/>
              </w:rPr>
              <w:t>reikia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r w:rsidRPr="00B562C0">
              <w:rPr>
                <w:rFonts w:ascii="Times New Roman" w:hAnsi="Times New Roman" w:cs="Times New Roman"/>
                <w:color w:val="000000" w:themeColor="text1"/>
                <w:sz w:val="24"/>
                <w:szCs w:val="24"/>
                <w:lang w:val="lt-LT"/>
              </w:rPr>
              <w:t xml:space="preserve">objektyvių priežasčių, tokių kaip: ligos atvejais, nelaimingo atsitikimo atvejais, nutrūkus darbo santykiams su tiekėju; atsisakius vykdyti projekto vadovo įsipareigojimus arba netinkamai juos vykdant, kai sukeliama pagrįsta grėsmė pažeisti sutarties reikalavimus </w:t>
            </w:r>
            <w:r w:rsidRPr="00B562C0">
              <w:rPr>
                <w:rFonts w:ascii="Times New Roman" w:hAnsi="Times New Roman" w:cs="Times New Roman"/>
                <w:color w:val="000000" w:themeColor="text1"/>
                <w:sz w:val="24"/>
                <w:szCs w:val="24"/>
                <w:lang w:val="lt-LT"/>
              </w:rPr>
              <w:lastRenderedPageBreak/>
              <w:t>dėl paslaugų kokybės ir (ar) atlikimo terminų ir dėl kitų priežasčių, kurių objektyviai šalys negalėjo numatyti 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Sraopastraipa"/>
              <w:widowControl w:val="0"/>
              <w:numPr>
                <w:ilvl w:val="2"/>
                <w:numId w:val="2"/>
              </w:numPr>
              <w:autoSpaceDE w:val="0"/>
              <w:autoSpaceDN w:val="0"/>
              <w:snapToGrid w:val="0"/>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teisę</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netenkinti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nustatoma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patirties</w:t>
            </w:r>
            <w:proofErr w:type="spellEnd"/>
            <w:r w:rsidRPr="001A5B06">
              <w:rPr>
                <w:rFonts w:ascii="Times New Roman" w:hAnsi="Times New Roman" w:cs="Times New Roman"/>
                <w:color w:val="000000" w:themeColor="text1"/>
                <w:sz w:val="24"/>
                <w:szCs w:val="24"/>
              </w:rPr>
              <w:t>.</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lastRenderedPageBreak/>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77777777" w:rsidR="00D612DA" w:rsidRPr="00F02FCC" w:rsidRDefault="00D612DA" w:rsidP="009C2F29">
            <w:pPr>
              <w:jc w:val="both"/>
              <w:rPr>
                <w:kern w:val="2"/>
                <w:szCs w:val="24"/>
              </w:rPr>
            </w:pPr>
            <w:r w:rsidRPr="00F02FCC">
              <w:rPr>
                <w:kern w:val="2"/>
                <w:szCs w:val="24"/>
              </w:rPr>
              <w:t>Netesybomis (delspinigiais, bauda);</w:t>
            </w:r>
          </w:p>
          <w:p w14:paraId="3D9E080C" w14:textId="77777777" w:rsidR="00D612DA" w:rsidRPr="00C86378" w:rsidRDefault="00D612DA" w:rsidP="009C2F29">
            <w:pPr>
              <w:jc w:val="both"/>
              <w:rPr>
                <w:color w:val="171717" w:themeColor="background2" w:themeShade="1A"/>
                <w:kern w:val="2"/>
                <w:szCs w:val="24"/>
              </w:rPr>
            </w:pPr>
            <w:r w:rsidRPr="00F02FCC">
              <w:rPr>
                <w:color w:val="171717" w:themeColor="background2" w:themeShade="1A"/>
                <w:kern w:val="2"/>
                <w:szCs w:val="24"/>
              </w:rPr>
              <w:t>Pirmo pareikalavimo banko garantija</w:t>
            </w:r>
            <w:r>
              <w:rPr>
                <w:color w:val="171717" w:themeColor="background2" w:themeShade="1A"/>
                <w:kern w:val="2"/>
                <w:szCs w:val="24"/>
              </w:rPr>
              <w:t xml:space="preserve"> arba </w:t>
            </w:r>
            <w:r w:rsidRPr="00F02FCC">
              <w:rPr>
                <w:color w:val="171717" w:themeColor="background2" w:themeShade="1A"/>
                <w:kern w:val="2"/>
                <w:szCs w:val="24"/>
              </w:rPr>
              <w:t>Draudimo bendrovės laidavimo draudimu.</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65594ADA" w14:textId="77777777" w:rsidR="00D612DA" w:rsidRPr="00AA5EA9" w:rsidRDefault="00D612DA" w:rsidP="009C2F29">
            <w:pPr>
              <w:jc w:val="both"/>
              <w:rPr>
                <w:kern w:val="2"/>
                <w:szCs w:val="24"/>
              </w:rPr>
            </w:pPr>
            <w:r w:rsidRPr="00AA5EA9">
              <w:rPr>
                <w:bCs/>
                <w:kern w:val="2"/>
                <w:szCs w:val="24"/>
              </w:rPr>
              <w:t xml:space="preserve">Sutarties įvykdymo užtikrinimo galiojimo terminas turi būti ne trumpesnis nei </w:t>
            </w:r>
            <w:r w:rsidRPr="00AA5EA9">
              <w:rPr>
                <w:kern w:val="2"/>
                <w:szCs w:val="24"/>
              </w:rPr>
              <w:t>Sutarties galiojimo terminas.</w:t>
            </w:r>
          </w:p>
          <w:p w14:paraId="2D997400" w14:textId="77777777" w:rsidR="00D612DA" w:rsidRPr="001A5B06" w:rsidRDefault="00D612DA" w:rsidP="009C2F29">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25A87A0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 xml:space="preserve">Tiekėjas ne vėliau kaip per </w:t>
            </w:r>
            <w:r w:rsidRPr="001A5B06">
              <w:rPr>
                <w:color w:val="212121"/>
                <w:kern w:val="2"/>
                <w:szCs w:val="24"/>
                <w:shd w:val="clear" w:color="auto" w:fill="FFFFFF"/>
              </w:rPr>
              <w:t xml:space="preserve">10 (dešimt) darbo dienų nuo </w:t>
            </w:r>
            <w:r w:rsidRPr="001A5B06">
              <w:rPr>
                <w:color w:val="000000"/>
                <w:kern w:val="2"/>
                <w:szCs w:val="24"/>
                <w:shd w:val="clear" w:color="auto" w:fill="FFFFFF"/>
              </w:rPr>
              <w:t>Sutarties pasirašymo dienos turi pateikti Pirkėjui 10 proc.</w:t>
            </w:r>
            <w:r w:rsidRPr="001A5B06">
              <w:rPr>
                <w:color w:val="212121"/>
                <w:kern w:val="2"/>
                <w:szCs w:val="24"/>
                <w:shd w:val="clear" w:color="auto" w:fill="FFFFFF"/>
              </w:rPr>
              <w:t xml:space="preserve"> nuo Pradinės Sutarties vertės,</w:t>
            </w:r>
            <w:r w:rsidRPr="001A5B06">
              <w:rPr>
                <w:color w:val="212121"/>
                <w:kern w:val="2"/>
                <w:szCs w:val="24"/>
              </w:rPr>
              <w:t xml:space="preserve"> </w:t>
            </w:r>
            <w:r w:rsidRPr="001A5B06">
              <w:rPr>
                <w:color w:val="212121"/>
                <w:kern w:val="2"/>
                <w:szCs w:val="24"/>
                <w:shd w:val="clear" w:color="auto" w:fill="FFFFFF"/>
              </w:rPr>
              <w:t xml:space="preserve">nurodytos </w:t>
            </w:r>
            <w:r w:rsidRPr="001A5B06">
              <w:rPr>
                <w:color w:val="212121"/>
                <w:kern w:val="2"/>
                <w:szCs w:val="24"/>
              </w:rPr>
              <w:t xml:space="preserve">Specialiųjų sąlygų </w:t>
            </w:r>
            <w:r w:rsidRPr="001A5B06">
              <w:rPr>
                <w:color w:val="212121"/>
                <w:kern w:val="2"/>
                <w:szCs w:val="24"/>
                <w:shd w:val="clear" w:color="auto" w:fill="FFFFFF"/>
              </w:rPr>
              <w:t>5.2 punkte</w:t>
            </w:r>
            <w:r w:rsidRPr="00C80273">
              <w:rPr>
                <w:color w:val="212121"/>
                <w:kern w:val="2"/>
                <w:szCs w:val="24"/>
                <w:shd w:val="clear" w:color="auto" w:fill="FFFFFF"/>
              </w:rPr>
              <w:t xml:space="preserve">, </w:t>
            </w:r>
            <w:r w:rsidRPr="00B0526C">
              <w:rPr>
                <w:kern w:val="2"/>
                <w:szCs w:val="24"/>
                <w:shd w:val="clear" w:color="auto" w:fill="FFFFFF"/>
              </w:rPr>
              <w:t>pirmo pareikalavimo banko garantiją arba draudimo bendrovės laidavimo draudimo raštą,</w:t>
            </w:r>
            <w:r>
              <w:rPr>
                <w:kern w:val="2"/>
                <w:szCs w:val="24"/>
                <w:shd w:val="clear" w:color="auto" w:fill="FFFFFF"/>
              </w:rPr>
              <w:t xml:space="preserve"> arba </w:t>
            </w:r>
            <w:r w:rsidRPr="001875F4">
              <w:t>kredito unijos garantiją</w:t>
            </w:r>
            <w:r>
              <w:t>,</w:t>
            </w:r>
            <w:r w:rsidRPr="00B0526C">
              <w:rPr>
                <w:kern w:val="2"/>
                <w:szCs w:val="24"/>
                <w:shd w:val="clear" w:color="auto" w:fill="FFFFFF"/>
              </w:rPr>
              <w:t xml:space="preserve"> </w:t>
            </w:r>
            <w:r w:rsidRPr="001A5B06">
              <w:rPr>
                <w:color w:val="000000"/>
                <w:kern w:val="2"/>
                <w:szCs w:val="24"/>
                <w:shd w:val="clear" w:color="auto" w:fill="FFFFFF"/>
              </w:rPr>
              <w:t>atitinkančius Bendrųjų sąlygų 10 skyriaus reikalavimus. Esant poreikiui, gavus Tiekėjo prašymą, šis terminas gali būti pratęstas Šalių suderintam terminui.</w:t>
            </w:r>
          </w:p>
          <w:p w14:paraId="4B5D56B3" w14:textId="77777777" w:rsidR="00D612DA" w:rsidRPr="001A5B06" w:rsidRDefault="00D612DA" w:rsidP="009C2F29">
            <w:pPr>
              <w:jc w:val="both"/>
              <w:rPr>
                <w:szCs w:val="24"/>
              </w:rPr>
            </w:pP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shd w:val="clear" w:color="auto" w:fill="auto"/>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 xml:space="preserve">9.9. Tiekėjui taikoma bauda dėl Pirkėjo simbolių, pavadinimo ir ženklo reklamoje ar rinkodaroje naudojimo reikalavimų nesilaikymo bei draudimo </w:t>
            </w:r>
            <w:r w:rsidRPr="001A5B06">
              <w:rPr>
                <w:b/>
                <w:bCs/>
                <w:szCs w:val="24"/>
              </w:rPr>
              <w:lastRenderedPageBreak/>
              <w:t>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lastRenderedPageBreak/>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77777777" w:rsidR="00D612DA" w:rsidRPr="001A5B06" w:rsidRDefault="00D612DA" w:rsidP="009C2F29">
            <w:pPr>
              <w:jc w:val="both"/>
              <w:rPr>
                <w:kern w:val="2"/>
                <w:szCs w:val="24"/>
              </w:rPr>
            </w:pPr>
            <w:r w:rsidRPr="001A5B06">
              <w:rPr>
                <w:kern w:val="2"/>
                <w:szCs w:val="24"/>
              </w:rPr>
              <w:t>Ši Sutartis laikoma sudaryta, kai (pirma) ją pasirašo abi Šalys, ir (antra) pateikiamas sutarties įvykdymo užtikrinimas.</w:t>
            </w:r>
          </w:p>
          <w:p w14:paraId="4178FF99" w14:textId="660C0BC3"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4619B0">
              <w:rPr>
                <w:kern w:val="2"/>
                <w:szCs w:val="24"/>
              </w:rPr>
              <w:t>10</w:t>
            </w:r>
            <w:r>
              <w:rPr>
                <w:kern w:val="2"/>
                <w:szCs w:val="24"/>
              </w:rPr>
              <w:t xml:space="preserve"> (de</w:t>
            </w:r>
            <w:r w:rsidR="0035362F">
              <w:rPr>
                <w:kern w:val="2"/>
                <w:szCs w:val="24"/>
              </w:rPr>
              <w:t>šimt</w:t>
            </w:r>
            <w:r>
              <w:rPr>
                <w:kern w:val="2"/>
                <w:szCs w:val="24"/>
              </w:rPr>
              <w:t>) mėnesi</w:t>
            </w:r>
            <w:r w:rsidR="0035362F">
              <w:rPr>
                <w:kern w:val="2"/>
                <w:szCs w:val="24"/>
              </w:rPr>
              <w:t>ų</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77777777"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gali būti ne ilgesniam kaip 2 (dviejų) mėnesių laikotarpiui, jeigu yra išlikęs poreikis ir esant šiai (šioms) aplinkybėms:</w:t>
            </w:r>
          </w:p>
          <w:p w14:paraId="523ED626" w14:textId="77777777" w:rsidR="00D612DA" w:rsidRPr="00C61394" w:rsidRDefault="00D612DA" w:rsidP="009C2F29">
            <w:pPr>
              <w:jc w:val="both"/>
              <w:rPr>
                <w:rFonts w:eastAsia="Arial"/>
                <w:color w:val="212121"/>
                <w:szCs w:val="24"/>
              </w:rPr>
            </w:pPr>
            <w:r w:rsidRPr="00C61394">
              <w:rPr>
                <w:rFonts w:eastAsia="Calibri"/>
                <w:color w:val="212121"/>
                <w:szCs w:val="24"/>
              </w:rPr>
              <w:t>11.2.1 Teikėjas Pasaugas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52AFD26C" w14:textId="77777777" w:rsidR="00D612DA" w:rsidRPr="00C61394" w:rsidRDefault="00D612DA" w:rsidP="009C2F29">
            <w:pPr>
              <w:jc w:val="both"/>
              <w:rPr>
                <w:rFonts w:eastAsia="Calibri"/>
                <w:color w:val="212121"/>
                <w:szCs w:val="24"/>
              </w:rPr>
            </w:pPr>
            <w:r w:rsidRPr="00C61394">
              <w:rPr>
                <w:rFonts w:eastAsia="Calibri"/>
                <w:color w:val="212121"/>
                <w:szCs w:val="24"/>
              </w:rPr>
              <w:t>11.2.3. Tiekėjas visą Sutarties vykdymo laikotarpį laikėsi Tiekėjo pasiūlyme nurodytų įsipareigojimų dėl kokybinių kriterijų;</w:t>
            </w:r>
          </w:p>
          <w:p w14:paraId="3E2865F5" w14:textId="77777777" w:rsidR="00D612DA" w:rsidRPr="00C61394" w:rsidRDefault="00D612DA" w:rsidP="009C2F29">
            <w:pPr>
              <w:jc w:val="both"/>
              <w:rPr>
                <w:kern w:val="2"/>
                <w:szCs w:val="24"/>
              </w:rPr>
            </w:pPr>
            <w:r w:rsidRPr="00C61394">
              <w:rPr>
                <w:rFonts w:eastAsia="Calibri"/>
                <w:color w:val="212121"/>
                <w:szCs w:val="24"/>
              </w:rPr>
              <w:t xml:space="preserve">11.2.4.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0FB11456" w14:textId="77777777" w:rsidR="00D612DA" w:rsidRPr="00044DEC" w:rsidRDefault="00D612DA" w:rsidP="009C2F29">
            <w:pPr>
              <w:jc w:val="both"/>
              <w:rPr>
                <w:szCs w:val="24"/>
              </w:rPr>
            </w:pPr>
            <w:r w:rsidRPr="00044DEC">
              <w:rPr>
                <w:szCs w:val="24"/>
              </w:rPr>
              <w:lastRenderedPageBreak/>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765EE0D" w14:textId="77777777" w:rsidR="00D612DA" w:rsidRPr="00DF3E59" w:rsidRDefault="00D612DA" w:rsidP="009C2F29">
            <w:pPr>
              <w:jc w:val="both"/>
              <w:rPr>
                <w:kern w:val="2"/>
                <w:szCs w:val="24"/>
              </w:rPr>
            </w:pPr>
            <w:r w:rsidRPr="00044DEC">
              <w:rPr>
                <w:kern w:val="2"/>
                <w:szCs w:val="24"/>
              </w:rPr>
              <w:t>12.2.3. jeigu paaiškėja, kad Tiekėjas nevykdo įsipareigojimų, kurie pasiūlymų vertinimo metu pirkimo dokumentuose buvo nustatyti kaip pasiūlymų vertinimo kriterijai ir už kuriuos Tiekėjui buvo skiriamos reikšmės, kai pasiūlyma</w:t>
            </w:r>
            <w:r w:rsidRPr="00FC64AC">
              <w:rPr>
                <w:kern w:val="2"/>
                <w:szCs w:val="24"/>
              </w:rPr>
              <w:t xml:space="preserve">s vertintas pagal kainos / sąnaudų ir kokybės santykį ir Tiekėjas </w:t>
            </w:r>
            <w:r w:rsidRPr="00044347">
              <w:rPr>
                <w:kern w:val="2"/>
                <w:szCs w:val="24"/>
              </w:rPr>
              <w:t>per</w:t>
            </w:r>
            <w:r>
              <w:rPr>
                <w:kern w:val="2"/>
                <w:szCs w:val="24"/>
              </w:rPr>
              <w:t xml:space="preserve"> 30 kalendorinių d</w:t>
            </w:r>
            <w:r w:rsidRPr="00044347">
              <w:rPr>
                <w:kern w:val="2"/>
                <w:szCs w:val="24"/>
              </w:rPr>
              <w:t xml:space="preserve">ienų </w:t>
            </w:r>
            <w:r w:rsidRPr="00DF3E59">
              <w:rPr>
                <w:kern w:val="2"/>
                <w:szCs w:val="24"/>
              </w:rPr>
              <w:t>neištaiso pažeidimų;</w:t>
            </w:r>
          </w:p>
          <w:p w14:paraId="3C6A3526" w14:textId="77777777"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t>12.2.</w:t>
            </w:r>
            <w:r>
              <w:rPr>
                <w:rFonts w:eastAsia="Arial"/>
                <w:kern w:val="2"/>
                <w:szCs w:val="24"/>
                <w:lang w:val="lt"/>
              </w:rPr>
              <w:t>4</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5</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12.2.6. Tiekėjas pažeidžia Paslaugų suteikimo terminus ir dėl Paslaugų suteikimo vėlavimo Paslaugos tampa nebereikalingos;</w:t>
            </w:r>
          </w:p>
          <w:p w14:paraId="5694F41E"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12.2.7. Tiekėjas daugiau kaip 2 (du) kartus suteikia Paslaugas, kurios neatitinka Sutartyje ir (ar) įstatymuose nustatytų reikalavimų Paslaugoms;</w:t>
            </w:r>
          </w:p>
          <w:p w14:paraId="2B65FF36"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77777777"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9</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77777777"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12.2.11.</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77777777"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12.2.12.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 xml:space="preserve">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w:t>
            </w:r>
            <w:r w:rsidRPr="00DC3972">
              <w:rPr>
                <w:szCs w:val="24"/>
              </w:rPr>
              <w:lastRenderedPageBreak/>
              <w:t>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lastRenderedPageBreak/>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92EF" w14:textId="77777777" w:rsidR="00A145F1" w:rsidRDefault="00A145F1">
      <w:pPr>
        <w:rPr>
          <w:sz w:val="20"/>
        </w:rPr>
      </w:pPr>
      <w:r>
        <w:rPr>
          <w:sz w:val="20"/>
        </w:rPr>
        <w:separator/>
      </w:r>
    </w:p>
  </w:endnote>
  <w:endnote w:type="continuationSeparator" w:id="0">
    <w:p w14:paraId="35DF3C4F" w14:textId="77777777" w:rsidR="00A145F1" w:rsidRDefault="00A145F1">
      <w:pPr>
        <w:rPr>
          <w:sz w:val="20"/>
        </w:rPr>
      </w:pPr>
      <w:r>
        <w:rPr>
          <w:sz w:val="20"/>
        </w:rPr>
        <w:continuationSeparator/>
      </w:r>
    </w:p>
  </w:endnote>
  <w:endnote w:type="continuationNotice" w:id="1">
    <w:p w14:paraId="7892BC6E" w14:textId="77777777" w:rsidR="00A145F1" w:rsidRDefault="00A14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0913" w14:textId="77777777" w:rsidR="00A145F1" w:rsidRDefault="00A145F1">
      <w:pPr>
        <w:rPr>
          <w:sz w:val="20"/>
        </w:rPr>
      </w:pPr>
      <w:r>
        <w:rPr>
          <w:sz w:val="20"/>
        </w:rPr>
        <w:separator/>
      </w:r>
    </w:p>
  </w:footnote>
  <w:footnote w:type="continuationSeparator" w:id="0">
    <w:p w14:paraId="7B000DDB" w14:textId="77777777" w:rsidR="00A145F1" w:rsidRDefault="00A145F1">
      <w:pPr>
        <w:rPr>
          <w:sz w:val="20"/>
        </w:rPr>
      </w:pPr>
      <w:r>
        <w:rPr>
          <w:sz w:val="20"/>
        </w:rPr>
        <w:continuationSeparator/>
      </w:r>
    </w:p>
  </w:footnote>
  <w:footnote w:type="continuationNotice" w:id="1">
    <w:p w14:paraId="1938986A" w14:textId="77777777" w:rsidR="00A145F1" w:rsidRDefault="00A14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16523"/>
    <w:rsid w:val="00027B83"/>
    <w:rsid w:val="00035098"/>
    <w:rsid w:val="00044347"/>
    <w:rsid w:val="00044DEC"/>
    <w:rsid w:val="00075E22"/>
    <w:rsid w:val="000976D1"/>
    <w:rsid w:val="000A1AF8"/>
    <w:rsid w:val="000B0897"/>
    <w:rsid w:val="000B3E38"/>
    <w:rsid w:val="000C249C"/>
    <w:rsid w:val="000D2286"/>
    <w:rsid w:val="000E411D"/>
    <w:rsid w:val="000F6825"/>
    <w:rsid w:val="00122AA0"/>
    <w:rsid w:val="0014238E"/>
    <w:rsid w:val="001555FC"/>
    <w:rsid w:val="00160728"/>
    <w:rsid w:val="00167A0B"/>
    <w:rsid w:val="00184321"/>
    <w:rsid w:val="001A5B06"/>
    <w:rsid w:val="001A6811"/>
    <w:rsid w:val="001C2921"/>
    <w:rsid w:val="001C7E87"/>
    <w:rsid w:val="001F7248"/>
    <w:rsid w:val="00206EBA"/>
    <w:rsid w:val="00277219"/>
    <w:rsid w:val="00277478"/>
    <w:rsid w:val="002A0AF3"/>
    <w:rsid w:val="002D301C"/>
    <w:rsid w:val="002F73EB"/>
    <w:rsid w:val="00300EB2"/>
    <w:rsid w:val="00317BEE"/>
    <w:rsid w:val="00330501"/>
    <w:rsid w:val="003468E2"/>
    <w:rsid w:val="0035344C"/>
    <w:rsid w:val="0035362F"/>
    <w:rsid w:val="0039482B"/>
    <w:rsid w:val="003948F0"/>
    <w:rsid w:val="003C2C3D"/>
    <w:rsid w:val="003D72D7"/>
    <w:rsid w:val="003D794A"/>
    <w:rsid w:val="00416A02"/>
    <w:rsid w:val="004268F5"/>
    <w:rsid w:val="004316DE"/>
    <w:rsid w:val="004429B2"/>
    <w:rsid w:val="004619B0"/>
    <w:rsid w:val="004D02D7"/>
    <w:rsid w:val="004F7AD4"/>
    <w:rsid w:val="00505A16"/>
    <w:rsid w:val="0051455C"/>
    <w:rsid w:val="005158EF"/>
    <w:rsid w:val="00516897"/>
    <w:rsid w:val="00552694"/>
    <w:rsid w:val="005714AF"/>
    <w:rsid w:val="00574973"/>
    <w:rsid w:val="00580227"/>
    <w:rsid w:val="005F43A3"/>
    <w:rsid w:val="0062167D"/>
    <w:rsid w:val="006379D1"/>
    <w:rsid w:val="006649FB"/>
    <w:rsid w:val="0068055C"/>
    <w:rsid w:val="006B73EB"/>
    <w:rsid w:val="006C4838"/>
    <w:rsid w:val="006E7D38"/>
    <w:rsid w:val="006F0608"/>
    <w:rsid w:val="0071164A"/>
    <w:rsid w:val="00721DC2"/>
    <w:rsid w:val="007325F2"/>
    <w:rsid w:val="00793AA7"/>
    <w:rsid w:val="007D1BFE"/>
    <w:rsid w:val="007D60FE"/>
    <w:rsid w:val="007F4F69"/>
    <w:rsid w:val="007F75C3"/>
    <w:rsid w:val="0082165D"/>
    <w:rsid w:val="00835140"/>
    <w:rsid w:val="00857640"/>
    <w:rsid w:val="00863D04"/>
    <w:rsid w:val="00895D43"/>
    <w:rsid w:val="008C0FB4"/>
    <w:rsid w:val="008C14D5"/>
    <w:rsid w:val="008D7510"/>
    <w:rsid w:val="008F4EEE"/>
    <w:rsid w:val="009235F6"/>
    <w:rsid w:val="00931905"/>
    <w:rsid w:val="00933682"/>
    <w:rsid w:val="00961843"/>
    <w:rsid w:val="009728BC"/>
    <w:rsid w:val="0098460F"/>
    <w:rsid w:val="00990285"/>
    <w:rsid w:val="009A5DAA"/>
    <w:rsid w:val="009B39F4"/>
    <w:rsid w:val="009E3F98"/>
    <w:rsid w:val="009F16CC"/>
    <w:rsid w:val="00A04E79"/>
    <w:rsid w:val="00A145F1"/>
    <w:rsid w:val="00A440E5"/>
    <w:rsid w:val="00A51A2F"/>
    <w:rsid w:val="00A55DD4"/>
    <w:rsid w:val="00A57625"/>
    <w:rsid w:val="00A72765"/>
    <w:rsid w:val="00A84C0C"/>
    <w:rsid w:val="00A9432D"/>
    <w:rsid w:val="00AA5EA9"/>
    <w:rsid w:val="00AB0A19"/>
    <w:rsid w:val="00AD7C3A"/>
    <w:rsid w:val="00AF538F"/>
    <w:rsid w:val="00B03B1A"/>
    <w:rsid w:val="00B0526C"/>
    <w:rsid w:val="00B134B1"/>
    <w:rsid w:val="00B2405A"/>
    <w:rsid w:val="00B5130D"/>
    <w:rsid w:val="00B562C0"/>
    <w:rsid w:val="00B61054"/>
    <w:rsid w:val="00B86C30"/>
    <w:rsid w:val="00BA2181"/>
    <w:rsid w:val="00C01511"/>
    <w:rsid w:val="00C22532"/>
    <w:rsid w:val="00C4245E"/>
    <w:rsid w:val="00C45528"/>
    <w:rsid w:val="00C61394"/>
    <w:rsid w:val="00C66036"/>
    <w:rsid w:val="00C67932"/>
    <w:rsid w:val="00C722DE"/>
    <w:rsid w:val="00C80273"/>
    <w:rsid w:val="00C96F4C"/>
    <w:rsid w:val="00CA0238"/>
    <w:rsid w:val="00CE3D82"/>
    <w:rsid w:val="00CE4544"/>
    <w:rsid w:val="00CE6B23"/>
    <w:rsid w:val="00CF3399"/>
    <w:rsid w:val="00D1235D"/>
    <w:rsid w:val="00D23CF3"/>
    <w:rsid w:val="00D34A64"/>
    <w:rsid w:val="00D4448B"/>
    <w:rsid w:val="00D46272"/>
    <w:rsid w:val="00D612DA"/>
    <w:rsid w:val="00D82743"/>
    <w:rsid w:val="00D87320"/>
    <w:rsid w:val="00DA4E0C"/>
    <w:rsid w:val="00DA63CA"/>
    <w:rsid w:val="00DC2448"/>
    <w:rsid w:val="00DC3972"/>
    <w:rsid w:val="00DD09CC"/>
    <w:rsid w:val="00DE0682"/>
    <w:rsid w:val="00DE46F7"/>
    <w:rsid w:val="00DE6A8F"/>
    <w:rsid w:val="00DF3E59"/>
    <w:rsid w:val="00E02CA1"/>
    <w:rsid w:val="00E157A6"/>
    <w:rsid w:val="00E33DA1"/>
    <w:rsid w:val="00E541E8"/>
    <w:rsid w:val="00E64038"/>
    <w:rsid w:val="00E702CE"/>
    <w:rsid w:val="00E7646D"/>
    <w:rsid w:val="00EC01F1"/>
    <w:rsid w:val="00EE5075"/>
    <w:rsid w:val="00F02FCC"/>
    <w:rsid w:val="00F03ABD"/>
    <w:rsid w:val="00F1420D"/>
    <w:rsid w:val="00F37448"/>
    <w:rsid w:val="00F37673"/>
    <w:rsid w:val="00F50EFE"/>
    <w:rsid w:val="00F527E4"/>
    <w:rsid w:val="00F60BD9"/>
    <w:rsid w:val="00F77C9E"/>
    <w:rsid w:val="00F82041"/>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mantas.kaspara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39</Pages>
  <Words>71450</Words>
  <Characters>40727</Characters>
  <Application>Microsoft Office Word</Application>
  <DocSecurity>0</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Ralytė</cp:lastModifiedBy>
  <cp:revision>24</cp:revision>
  <cp:lastPrinted>2025-03-18T12:17:00Z</cp:lastPrinted>
  <dcterms:created xsi:type="dcterms:W3CDTF">2025-03-18T12:17:00Z</dcterms:created>
  <dcterms:modified xsi:type="dcterms:W3CDTF">2025-06-02T08:57:00Z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