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C719C" w14:textId="485B45F6" w:rsidR="00215ED9" w:rsidRPr="00414B48" w:rsidRDefault="00215ED9" w:rsidP="00215ED9">
      <w:pPr>
        <w:tabs>
          <w:tab w:val="left" w:pos="851"/>
          <w:tab w:val="left" w:pos="993"/>
          <w:tab w:val="num" w:pos="1276"/>
          <w:tab w:val="left" w:pos="5647"/>
        </w:tabs>
        <w:spacing w:after="0" w:line="240" w:lineRule="auto"/>
        <w:contextualSpacing/>
        <w:jc w:val="right"/>
        <w:rPr>
          <w:rFonts w:eastAsia="Times New Roman" w:cstheme="minorHAnsi"/>
          <w:sz w:val="24"/>
          <w:szCs w:val="24"/>
          <w:lang w:eastAsia="en-US"/>
        </w:rPr>
      </w:pPr>
      <w:r w:rsidRPr="00414B48">
        <w:rPr>
          <w:rFonts w:eastAsia="Times New Roman" w:cstheme="minorHAnsi"/>
          <w:sz w:val="24"/>
          <w:szCs w:val="24"/>
          <w:lang w:eastAsia="en-US"/>
        </w:rPr>
        <w:t>2 priedas</w:t>
      </w:r>
    </w:p>
    <w:p w14:paraId="41E24B42" w14:textId="69B211A9" w:rsidR="008B0015" w:rsidRPr="00414B48" w:rsidRDefault="008B0015" w:rsidP="008B0015">
      <w:pPr>
        <w:tabs>
          <w:tab w:val="left" w:pos="851"/>
          <w:tab w:val="left" w:pos="993"/>
          <w:tab w:val="num" w:pos="1276"/>
          <w:tab w:val="left" w:pos="5647"/>
        </w:tabs>
        <w:spacing w:after="0" w:line="240" w:lineRule="auto"/>
        <w:contextualSpacing/>
        <w:jc w:val="center"/>
        <w:rPr>
          <w:rFonts w:eastAsia="Times New Roman" w:cstheme="minorHAnsi"/>
          <w:b/>
          <w:sz w:val="24"/>
          <w:szCs w:val="24"/>
          <w:lang w:eastAsia="en-US"/>
        </w:rPr>
      </w:pPr>
      <w:r w:rsidRPr="00414B48">
        <w:rPr>
          <w:rFonts w:eastAsia="Times New Roman" w:cstheme="minorHAnsi"/>
          <w:b/>
          <w:sz w:val="24"/>
          <w:szCs w:val="24"/>
          <w:lang w:eastAsia="en-US"/>
        </w:rPr>
        <w:t>Kvalifikacijos reikalavimai</w:t>
      </w:r>
    </w:p>
    <w:p w14:paraId="15155DC1" w14:textId="77777777" w:rsidR="008B0015" w:rsidRPr="00414B48" w:rsidRDefault="008B0015" w:rsidP="00596235">
      <w:pPr>
        <w:tabs>
          <w:tab w:val="left" w:pos="851"/>
          <w:tab w:val="left" w:pos="993"/>
          <w:tab w:val="num" w:pos="1276"/>
          <w:tab w:val="left" w:pos="5647"/>
        </w:tabs>
        <w:spacing w:after="0" w:line="240" w:lineRule="auto"/>
        <w:contextualSpacing/>
        <w:jc w:val="both"/>
        <w:rPr>
          <w:rFonts w:eastAsia="Times New Roman" w:cstheme="minorHAnsi"/>
          <w:b/>
          <w:sz w:val="22"/>
          <w:szCs w:val="22"/>
          <w:lang w:eastAsia="en-US"/>
        </w:rPr>
      </w:pPr>
    </w:p>
    <w:tbl>
      <w:tblPr>
        <w:tblW w:w="5709"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6"/>
        <w:gridCol w:w="2411"/>
        <w:gridCol w:w="3792"/>
        <w:gridCol w:w="3395"/>
      </w:tblGrid>
      <w:tr w:rsidR="00D44E62" w:rsidRPr="00414B48" w14:paraId="57172B2E" w14:textId="77777777" w:rsidTr="00E53737">
        <w:trPr>
          <w:trHeight w:val="232"/>
        </w:trPr>
        <w:tc>
          <w:tcPr>
            <w:tcW w:w="338" w:type="pct"/>
            <w:shd w:val="clear" w:color="auto" w:fill="F2F2F2" w:themeFill="background1" w:themeFillShade="F2"/>
            <w:vAlign w:val="center"/>
          </w:tcPr>
          <w:p w14:paraId="669C38FF" w14:textId="77777777" w:rsidR="00D44E62" w:rsidRPr="00414B48" w:rsidRDefault="00D44E62" w:rsidP="006D72A6">
            <w:pPr>
              <w:spacing w:after="0" w:line="240" w:lineRule="auto"/>
              <w:jc w:val="both"/>
              <w:rPr>
                <w:rFonts w:eastAsia="Calibri" w:cstheme="minorHAnsi"/>
                <w:b/>
                <w:color w:val="000000" w:themeColor="text1"/>
                <w:spacing w:val="-8"/>
                <w:sz w:val="22"/>
                <w:szCs w:val="22"/>
                <w:lang w:eastAsia="en-US"/>
              </w:rPr>
            </w:pPr>
            <w:r w:rsidRPr="00414B48">
              <w:rPr>
                <w:rFonts w:eastAsia="Calibri" w:cstheme="minorHAnsi"/>
                <w:b/>
                <w:color w:val="000000" w:themeColor="text1"/>
                <w:spacing w:val="-8"/>
                <w:sz w:val="22"/>
                <w:szCs w:val="22"/>
                <w:lang w:eastAsia="en-US"/>
              </w:rPr>
              <w:t>Eil. Nr.</w:t>
            </w:r>
          </w:p>
        </w:tc>
        <w:tc>
          <w:tcPr>
            <w:tcW w:w="1171" w:type="pct"/>
            <w:shd w:val="clear" w:color="auto" w:fill="F2F2F2" w:themeFill="background1" w:themeFillShade="F2"/>
            <w:vAlign w:val="center"/>
          </w:tcPr>
          <w:p w14:paraId="12437B23" w14:textId="77777777" w:rsidR="00D44E62" w:rsidRPr="00414B48" w:rsidRDefault="00D44E62" w:rsidP="006D72A6">
            <w:pPr>
              <w:spacing w:after="0" w:line="240" w:lineRule="auto"/>
              <w:jc w:val="center"/>
              <w:rPr>
                <w:rFonts w:eastAsia="Calibri" w:cstheme="minorHAnsi"/>
                <w:b/>
                <w:color w:val="000000" w:themeColor="text1"/>
                <w:spacing w:val="-8"/>
                <w:sz w:val="22"/>
                <w:szCs w:val="22"/>
                <w:lang w:eastAsia="en-US"/>
              </w:rPr>
            </w:pPr>
            <w:r w:rsidRPr="00414B48">
              <w:rPr>
                <w:rFonts w:eastAsia="Calibri" w:cstheme="minorHAnsi"/>
                <w:b/>
                <w:color w:val="000000" w:themeColor="text1"/>
                <w:spacing w:val="-8"/>
                <w:sz w:val="22"/>
                <w:szCs w:val="22"/>
                <w:lang w:eastAsia="en-US"/>
              </w:rPr>
              <w:t>Kvalifikacijos reikalavimai</w:t>
            </w:r>
          </w:p>
        </w:tc>
        <w:tc>
          <w:tcPr>
            <w:tcW w:w="1842" w:type="pct"/>
            <w:shd w:val="clear" w:color="auto" w:fill="F2F2F2" w:themeFill="background1" w:themeFillShade="F2"/>
            <w:vAlign w:val="center"/>
          </w:tcPr>
          <w:p w14:paraId="41D7A1CA" w14:textId="77777777" w:rsidR="00D44E62" w:rsidRPr="00414B48" w:rsidRDefault="00D44E62" w:rsidP="006D72A6">
            <w:pPr>
              <w:spacing w:after="0" w:line="240" w:lineRule="auto"/>
              <w:jc w:val="center"/>
              <w:rPr>
                <w:rFonts w:eastAsia="Calibri" w:cstheme="minorHAnsi"/>
                <w:b/>
                <w:color w:val="000000" w:themeColor="text1"/>
                <w:spacing w:val="-8"/>
                <w:sz w:val="22"/>
                <w:szCs w:val="22"/>
                <w:lang w:eastAsia="en-US"/>
              </w:rPr>
            </w:pPr>
            <w:r w:rsidRPr="00414B48">
              <w:rPr>
                <w:rFonts w:eastAsia="Calibri" w:cstheme="minorHAnsi"/>
                <w:b/>
                <w:color w:val="000000" w:themeColor="text1"/>
                <w:spacing w:val="-8"/>
                <w:sz w:val="22"/>
                <w:szCs w:val="22"/>
                <w:lang w:eastAsia="en-US"/>
              </w:rPr>
              <w:t>Atitiktį įrodantys dokumentai</w:t>
            </w:r>
          </w:p>
          <w:p w14:paraId="0866A571" w14:textId="77777777" w:rsidR="00D44E62" w:rsidRPr="00414B48" w:rsidRDefault="00D44E62" w:rsidP="006D72A6">
            <w:pPr>
              <w:spacing w:after="0" w:line="240" w:lineRule="auto"/>
              <w:jc w:val="center"/>
              <w:rPr>
                <w:rFonts w:eastAsia="Calibri" w:cstheme="minorHAnsi"/>
                <w:color w:val="000000" w:themeColor="text1"/>
                <w:spacing w:val="-8"/>
                <w:sz w:val="22"/>
                <w:szCs w:val="22"/>
                <w:lang w:eastAsia="en-US"/>
              </w:rPr>
            </w:pPr>
            <w:r w:rsidRPr="00414B48">
              <w:rPr>
                <w:rFonts w:eastAsia="Calibri" w:cstheme="minorHAnsi"/>
                <w:color w:val="000000" w:themeColor="text1"/>
                <w:spacing w:val="-8"/>
                <w:sz w:val="22"/>
                <w:szCs w:val="22"/>
                <w:lang w:eastAsia="en-US"/>
              </w:rPr>
              <w:t>(teikiami perkančiajai organizacijai paprašius)</w:t>
            </w:r>
          </w:p>
        </w:tc>
        <w:tc>
          <w:tcPr>
            <w:tcW w:w="1649" w:type="pct"/>
            <w:shd w:val="clear" w:color="auto" w:fill="F2F2F2" w:themeFill="background1" w:themeFillShade="F2"/>
          </w:tcPr>
          <w:p w14:paraId="64E59878" w14:textId="77777777" w:rsidR="00D44E62" w:rsidRPr="00414B48" w:rsidRDefault="00D44E62" w:rsidP="006D72A6">
            <w:pPr>
              <w:spacing w:after="0" w:line="240" w:lineRule="auto"/>
              <w:jc w:val="center"/>
              <w:rPr>
                <w:rFonts w:eastAsia="Calibri" w:cstheme="minorHAnsi"/>
                <w:b/>
                <w:color w:val="000000" w:themeColor="text1"/>
                <w:spacing w:val="-8"/>
                <w:sz w:val="22"/>
                <w:szCs w:val="22"/>
                <w:highlight w:val="yellow"/>
                <w:lang w:eastAsia="en-US"/>
              </w:rPr>
            </w:pPr>
            <w:r w:rsidRPr="00414B48">
              <w:rPr>
                <w:rFonts w:eastAsia="Calibri" w:cstheme="minorHAnsi"/>
                <w:b/>
                <w:color w:val="000000" w:themeColor="text1"/>
                <w:spacing w:val="-8"/>
                <w:sz w:val="22"/>
                <w:szCs w:val="22"/>
                <w:lang w:eastAsia="en-US"/>
              </w:rPr>
              <w:t>Subjektas, kuris turi atitiktį kvalifikacijos reikalavimą</w:t>
            </w:r>
          </w:p>
        </w:tc>
      </w:tr>
      <w:tr w:rsidR="00FF66A0" w:rsidRPr="00414B48" w14:paraId="1E40AE96" w14:textId="77777777" w:rsidTr="00E53737">
        <w:trPr>
          <w:trHeight w:val="248"/>
        </w:trPr>
        <w:tc>
          <w:tcPr>
            <w:tcW w:w="338" w:type="pct"/>
            <w:shd w:val="clear" w:color="auto" w:fill="F2F2F2" w:themeFill="background1" w:themeFillShade="F2"/>
            <w:vAlign w:val="center"/>
          </w:tcPr>
          <w:p w14:paraId="2EE059A8" w14:textId="77777777" w:rsidR="00FF66A0" w:rsidRPr="00414B48" w:rsidRDefault="00FF66A0" w:rsidP="00FF66A0">
            <w:pPr>
              <w:numPr>
                <w:ilvl w:val="0"/>
                <w:numId w:val="4"/>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171" w:type="pct"/>
            <w:shd w:val="clear" w:color="auto" w:fill="auto"/>
          </w:tcPr>
          <w:p w14:paraId="77AE7C67" w14:textId="501F6080" w:rsidR="00131E33" w:rsidRPr="00131E33" w:rsidRDefault="00BA6CD1" w:rsidP="268161FE">
            <w:pPr>
              <w:widowControl w:val="0"/>
              <w:tabs>
                <w:tab w:val="left" w:pos="1276"/>
              </w:tabs>
              <w:spacing w:after="0" w:line="240" w:lineRule="auto"/>
              <w:jc w:val="both"/>
              <w:outlineLvl w:val="1"/>
              <w:rPr>
                <w:rFonts w:eastAsia="Calibri"/>
                <w:sz w:val="22"/>
                <w:szCs w:val="22"/>
                <w:lang w:eastAsia="en-US"/>
              </w:rPr>
            </w:pPr>
            <w:r w:rsidRPr="268161FE">
              <w:rPr>
                <w:rFonts w:eastAsia="Calibri"/>
                <w:spacing w:val="-8"/>
                <w:sz w:val="22"/>
                <w:szCs w:val="22"/>
                <w:lang w:eastAsia="en-US"/>
              </w:rPr>
              <w:t xml:space="preserve">Tiekėjas per pastaruosius 3 metus arba per laiką nuo Tiekėjo įregistravimo dienos (jeigu Tiekėjas vykdė veiklą mažiau nei 3 metus) </w:t>
            </w:r>
            <w:r w:rsidR="00344FCD" w:rsidRPr="268161FE">
              <w:rPr>
                <w:rFonts w:eastAsia="Calibri"/>
                <w:spacing w:val="-8"/>
                <w:sz w:val="22"/>
                <w:szCs w:val="22"/>
                <w:lang w:eastAsia="en-US"/>
              </w:rPr>
              <w:t xml:space="preserve">iki pasiūlymų pateikimo termino </w:t>
            </w:r>
            <w:r w:rsidR="00344FCD" w:rsidRPr="00D80617">
              <w:rPr>
                <w:rFonts w:eastAsia="Calibri"/>
                <w:spacing w:val="-8"/>
                <w:sz w:val="22"/>
                <w:szCs w:val="22"/>
                <w:lang w:eastAsia="en-US"/>
              </w:rPr>
              <w:t xml:space="preserve">pabaigos </w:t>
            </w:r>
            <w:r w:rsidR="009935A9" w:rsidRPr="00D80617">
              <w:rPr>
                <w:rFonts w:eastAsia="Calibri"/>
                <w:spacing w:val="-8"/>
                <w:sz w:val="22"/>
                <w:szCs w:val="22"/>
                <w:lang w:eastAsia="en-US"/>
              </w:rPr>
              <w:t>privalo būti</w:t>
            </w:r>
            <w:r w:rsidR="00DF7453" w:rsidRPr="00D80617">
              <w:rPr>
                <w:rFonts w:eastAsia="Calibri"/>
                <w:spacing w:val="-8"/>
                <w:sz w:val="22"/>
                <w:szCs w:val="22"/>
                <w:lang w:eastAsia="en-US"/>
              </w:rPr>
              <w:t xml:space="preserve"> tinkamai </w:t>
            </w:r>
            <w:r w:rsidR="009935A9" w:rsidRPr="00D80617">
              <w:rPr>
                <w:rFonts w:eastAsia="Calibri"/>
                <w:spacing w:val="-8"/>
                <w:sz w:val="22"/>
                <w:szCs w:val="22"/>
                <w:lang w:eastAsia="en-US"/>
              </w:rPr>
              <w:t xml:space="preserve">įvykdęs ar tinkamai vykdo bent 1 (vieną) kontaktinio (skambučių) centro įrengimo, konfigūravimo </w:t>
            </w:r>
            <w:r w:rsidR="00344FCD" w:rsidRPr="00D80617">
              <w:rPr>
                <w:rFonts w:eastAsia="Calibri"/>
                <w:spacing w:val="-8"/>
                <w:sz w:val="22"/>
                <w:szCs w:val="22"/>
                <w:lang w:eastAsia="en-US"/>
              </w:rPr>
              <w:t xml:space="preserve">ir </w:t>
            </w:r>
            <w:r w:rsidR="009935A9" w:rsidRPr="00D80617">
              <w:rPr>
                <w:rFonts w:eastAsia="Calibri"/>
                <w:spacing w:val="-8"/>
                <w:sz w:val="22"/>
                <w:szCs w:val="22"/>
                <w:lang w:eastAsia="en-US"/>
              </w:rPr>
              <w:t>paleidimo sutartį</w:t>
            </w:r>
            <w:r w:rsidR="00131E33" w:rsidRPr="00D80617">
              <w:rPr>
                <w:rFonts w:eastAsia="Calibri"/>
                <w:spacing w:val="-8"/>
                <w:sz w:val="22"/>
                <w:szCs w:val="22"/>
                <w:lang w:eastAsia="en-US"/>
              </w:rPr>
              <w:t>, už</w:t>
            </w:r>
            <w:r w:rsidR="00131E33" w:rsidRPr="268161FE">
              <w:rPr>
                <w:rFonts w:eastAsia="Calibri"/>
                <w:spacing w:val="-8"/>
                <w:sz w:val="22"/>
                <w:szCs w:val="22"/>
                <w:lang w:eastAsia="en-US"/>
              </w:rPr>
              <w:t xml:space="preserve"> ne </w:t>
            </w:r>
            <w:r w:rsidR="00131E33" w:rsidRPr="00DF7504">
              <w:rPr>
                <w:rFonts w:eastAsia="Calibri"/>
                <w:spacing w:val="-8"/>
                <w:sz w:val="22"/>
                <w:szCs w:val="22"/>
                <w:lang w:eastAsia="en-US"/>
              </w:rPr>
              <w:t xml:space="preserve">mažesnę nei </w:t>
            </w:r>
            <w:r w:rsidR="0050426D" w:rsidRPr="00DF7504">
              <w:rPr>
                <w:rFonts w:eastAsia="Calibri"/>
                <w:spacing w:val="-8"/>
                <w:sz w:val="22"/>
                <w:szCs w:val="22"/>
                <w:lang w:eastAsia="en-US"/>
              </w:rPr>
              <w:t>6</w:t>
            </w:r>
            <w:r w:rsidR="00131E33" w:rsidRPr="00DF7504">
              <w:rPr>
                <w:rFonts w:eastAsia="Calibri"/>
                <w:spacing w:val="-8"/>
                <w:sz w:val="22"/>
                <w:szCs w:val="22"/>
                <w:lang w:eastAsia="en-US"/>
              </w:rPr>
              <w:t>0 000,00 Eur</w:t>
            </w:r>
            <w:r w:rsidR="00131E33" w:rsidRPr="268161FE">
              <w:rPr>
                <w:rFonts w:eastAsia="Calibri"/>
                <w:spacing w:val="-8"/>
                <w:sz w:val="22"/>
                <w:szCs w:val="22"/>
                <w:lang w:eastAsia="en-US"/>
              </w:rPr>
              <w:t xml:space="preserve"> be PVM bendrą vertę (vykdomų sutarčių – įvykdyta dalis). </w:t>
            </w:r>
          </w:p>
          <w:p w14:paraId="6C96C263" w14:textId="7BE77DE7" w:rsidR="00131E33" w:rsidRDefault="00131E33" w:rsidP="268161FE">
            <w:pPr>
              <w:widowControl w:val="0"/>
              <w:tabs>
                <w:tab w:val="left" w:pos="1276"/>
              </w:tabs>
              <w:spacing w:after="0" w:line="240" w:lineRule="auto"/>
              <w:jc w:val="both"/>
              <w:outlineLvl w:val="1"/>
              <w:rPr>
                <w:rFonts w:eastAsia="Calibri"/>
                <w:sz w:val="22"/>
                <w:szCs w:val="22"/>
                <w:lang w:eastAsia="en-US"/>
              </w:rPr>
            </w:pPr>
          </w:p>
          <w:p w14:paraId="4855726F" w14:textId="77777777" w:rsidR="00A47F50" w:rsidRPr="00A47F50" w:rsidRDefault="00A47F50" w:rsidP="00A47F50">
            <w:pPr>
              <w:widowControl w:val="0"/>
              <w:tabs>
                <w:tab w:val="left" w:pos="1276"/>
              </w:tabs>
              <w:spacing w:after="0" w:line="240" w:lineRule="auto"/>
              <w:jc w:val="both"/>
              <w:outlineLvl w:val="1"/>
              <w:rPr>
                <w:rFonts w:eastAsia="Calibri"/>
                <w:sz w:val="22"/>
                <w:szCs w:val="22"/>
                <w:lang w:eastAsia="en-US"/>
              </w:rPr>
            </w:pPr>
            <w:r w:rsidRPr="00A47F50">
              <w:rPr>
                <w:rFonts w:eastAsia="Calibri"/>
                <w:sz w:val="22"/>
                <w:szCs w:val="22"/>
                <w:lang w:eastAsia="en-US"/>
              </w:rPr>
              <w:t>Pardavimas yra suprantamas kaip vienos šalies (pardavėjo) sutartinių įsipareigojimų pagal pirkimo – pardavimo sutartį, kaip ji apibrėžiama Lietuvos Respublikos civilinio kodekso (CK) 6.305</w:t>
            </w:r>
            <w:r w:rsidRPr="00A47F50">
              <w:rPr>
                <w:rFonts w:eastAsia="Calibri"/>
                <w:sz w:val="22"/>
                <w:szCs w:val="22"/>
                <w:vertAlign w:val="superscript"/>
                <w:lang w:eastAsia="en-US"/>
              </w:rPr>
              <w:footnoteReference w:id="2"/>
            </w:r>
            <w:r w:rsidRPr="00A47F50">
              <w:rPr>
                <w:rFonts w:eastAsia="Calibri"/>
                <w:sz w:val="22"/>
                <w:szCs w:val="22"/>
                <w:lang w:eastAsia="en-US"/>
              </w:rPr>
              <w:t xml:space="preserve"> straipsnio 1 dalyje,  vykdymas.  Jei pagal konkrečią pirkimo-pardavimo sutartį į pardavėjo pareigas įeina ir prekių pristatymas ar/ir sumontavimas, šių paslaugų vertė  įtraukiama į bendrą vertę. </w:t>
            </w:r>
          </w:p>
          <w:p w14:paraId="61F9E579" w14:textId="77777777" w:rsidR="00131E33" w:rsidRDefault="00131E33" w:rsidP="268161FE">
            <w:pPr>
              <w:widowControl w:val="0"/>
              <w:tabs>
                <w:tab w:val="left" w:pos="1276"/>
              </w:tabs>
              <w:spacing w:after="0" w:line="240" w:lineRule="auto"/>
              <w:jc w:val="both"/>
              <w:outlineLvl w:val="1"/>
              <w:rPr>
                <w:rFonts w:eastAsia="Calibri"/>
                <w:sz w:val="22"/>
                <w:szCs w:val="22"/>
                <w:lang w:eastAsia="en-US"/>
              </w:rPr>
            </w:pPr>
          </w:p>
          <w:p w14:paraId="241FCF2B" w14:textId="5C36570E" w:rsidR="00FF66A0" w:rsidRPr="00BA6CD1" w:rsidRDefault="00FF66A0" w:rsidP="268161FE">
            <w:pPr>
              <w:widowControl w:val="0"/>
              <w:tabs>
                <w:tab w:val="left" w:pos="1276"/>
              </w:tabs>
              <w:spacing w:after="0" w:line="240" w:lineRule="auto"/>
              <w:jc w:val="both"/>
              <w:outlineLvl w:val="1"/>
              <w:rPr>
                <w:rFonts w:eastAsia="Calibri"/>
                <w:sz w:val="22"/>
                <w:szCs w:val="22"/>
                <w:lang w:eastAsia="en-US"/>
              </w:rPr>
            </w:pPr>
          </w:p>
        </w:tc>
        <w:tc>
          <w:tcPr>
            <w:tcW w:w="1842" w:type="pct"/>
            <w:shd w:val="clear" w:color="auto" w:fill="auto"/>
          </w:tcPr>
          <w:p w14:paraId="6CD89218" w14:textId="2F2BBFC0" w:rsidR="00A47F50" w:rsidRPr="00A47F50" w:rsidRDefault="00A47F50" w:rsidP="00A47F50">
            <w:pPr>
              <w:spacing w:after="0" w:line="240" w:lineRule="auto"/>
              <w:jc w:val="both"/>
              <w:rPr>
                <w:rFonts w:ascii="Calibri" w:eastAsia="Calibri" w:hAnsi="Calibri" w:cs="Calibri"/>
                <w:b/>
                <w:bCs/>
                <w:color w:val="000000"/>
                <w:spacing w:val="-8"/>
                <w:sz w:val="22"/>
                <w:szCs w:val="22"/>
                <w:lang w:eastAsia="en-US"/>
              </w:rPr>
            </w:pPr>
            <w:r w:rsidRPr="00A47F50">
              <w:rPr>
                <w:rFonts w:ascii="Calibri" w:eastAsia="Calibri" w:hAnsi="Calibri" w:cs="Calibri"/>
                <w:b/>
                <w:bCs/>
                <w:color w:val="000000"/>
                <w:spacing w:val="-8"/>
                <w:sz w:val="22"/>
                <w:szCs w:val="22"/>
                <w:lang w:eastAsia="en-US"/>
              </w:rPr>
              <w:t>Tiekėjas, kuris pagal vertinimo rezultatus galės būti pripažintas laimėjusiu Perkančiajai organizacijai pareikalavus, turės pateikti:</w:t>
            </w:r>
          </w:p>
          <w:p w14:paraId="4B6983FA" w14:textId="6D34B9C3" w:rsidR="00A47F50" w:rsidRPr="00A47F50" w:rsidRDefault="00A47F50" w:rsidP="00A47F50">
            <w:pPr>
              <w:spacing w:after="0" w:line="240" w:lineRule="auto"/>
              <w:jc w:val="both"/>
              <w:rPr>
                <w:rFonts w:ascii="Calibri" w:eastAsia="Calibri" w:hAnsi="Calibri" w:cs="Calibri"/>
                <w:color w:val="000000"/>
                <w:spacing w:val="-8"/>
                <w:sz w:val="22"/>
                <w:szCs w:val="22"/>
                <w:lang w:eastAsia="en-US"/>
              </w:rPr>
            </w:pPr>
            <w:r w:rsidRPr="00A47F50">
              <w:rPr>
                <w:rFonts w:ascii="Calibri" w:eastAsia="Calibri" w:hAnsi="Calibri" w:cs="Calibri"/>
                <w:color w:val="000000"/>
                <w:spacing w:val="-8"/>
                <w:sz w:val="22"/>
                <w:szCs w:val="22"/>
                <w:lang w:eastAsia="en-US"/>
              </w:rPr>
              <w:t xml:space="preserve">1)Tiekėjo per paskutinius 3  metus ar laikotarpiu nuo tiekėjo registracijos datos (jeigu tiekėjas veiklą vykdė mažiau nei 3 (tris) metus) pagamintų ar/ir parduotų prekių sąrašas pagal </w:t>
            </w:r>
            <w:r w:rsidRPr="00A47F50">
              <w:rPr>
                <w:rFonts w:ascii="Calibri" w:eastAsia="Calibri" w:hAnsi="Calibri" w:cs="Calibri"/>
                <w:iCs/>
                <w:color w:val="000000"/>
                <w:spacing w:val="-8"/>
                <w:sz w:val="22"/>
                <w:szCs w:val="22"/>
                <w:lang w:eastAsia="en-US"/>
              </w:rPr>
              <w:t> pirkimo sąlygų</w:t>
            </w:r>
            <w:r w:rsidRPr="00A47F50">
              <w:rPr>
                <w:rFonts w:ascii="Calibri" w:eastAsia="Calibri" w:hAnsi="Calibri" w:cs="Calibri"/>
                <w:color w:val="000000"/>
                <w:spacing w:val="-8"/>
                <w:sz w:val="22"/>
                <w:szCs w:val="22"/>
                <w:lang w:eastAsia="en-US"/>
              </w:rPr>
              <w:t xml:space="preserve"> 6</w:t>
            </w:r>
            <w:r w:rsidRPr="00A47F50">
              <w:rPr>
                <w:rFonts w:ascii="Calibri" w:eastAsia="Calibri" w:hAnsi="Calibri" w:cs="Calibri"/>
                <w:iCs/>
                <w:color w:val="000000"/>
                <w:spacing w:val="-8"/>
                <w:sz w:val="22"/>
                <w:szCs w:val="22"/>
                <w:lang w:eastAsia="en-US"/>
              </w:rPr>
              <w:t xml:space="preserve"> priede  </w:t>
            </w:r>
            <w:r w:rsidRPr="00A47F50">
              <w:rPr>
                <w:rFonts w:ascii="Calibri" w:eastAsia="Calibri" w:hAnsi="Calibri" w:cs="Calibri"/>
                <w:i/>
                <w:iCs/>
                <w:color w:val="000000"/>
                <w:spacing w:val="-8"/>
                <w:sz w:val="22"/>
                <w:szCs w:val="22"/>
                <w:lang w:eastAsia="en-US"/>
              </w:rPr>
              <w:t>„Tiekėjo prekių sąrašas“</w:t>
            </w:r>
            <w:r w:rsidRPr="00A47F50">
              <w:rPr>
                <w:rFonts w:ascii="Calibri" w:eastAsia="Calibri" w:hAnsi="Calibri" w:cs="Calibri"/>
                <w:color w:val="000000"/>
                <w:spacing w:val="-8"/>
                <w:sz w:val="22"/>
                <w:szCs w:val="22"/>
                <w:lang w:eastAsia="en-US"/>
              </w:rPr>
              <w:t> pateiktą formą.</w:t>
            </w:r>
          </w:p>
          <w:p w14:paraId="29F8DEF8" w14:textId="77777777" w:rsidR="00A47F50" w:rsidRPr="00A47F50" w:rsidRDefault="00A47F50" w:rsidP="00A47F50">
            <w:pPr>
              <w:spacing w:after="0" w:line="240" w:lineRule="auto"/>
              <w:jc w:val="both"/>
              <w:rPr>
                <w:rFonts w:ascii="Calibri" w:eastAsia="Calibri" w:hAnsi="Calibri" w:cs="Calibri"/>
                <w:color w:val="000000"/>
                <w:spacing w:val="-8"/>
                <w:sz w:val="22"/>
                <w:szCs w:val="22"/>
                <w:lang w:eastAsia="en-US"/>
              </w:rPr>
            </w:pPr>
            <w:r w:rsidRPr="00A47F50">
              <w:rPr>
                <w:rFonts w:ascii="Calibri" w:eastAsia="Calibri" w:hAnsi="Calibri" w:cs="Calibri"/>
                <w:color w:val="000000"/>
                <w:spacing w:val="-8"/>
                <w:sz w:val="22"/>
                <w:szCs w:val="22"/>
                <w:lang w:eastAsia="en-US"/>
              </w:rPr>
              <w:t xml:space="preserve">2) Tiekėjo sąraše nurodytų sutarčių užsakovų pažymas apie </w:t>
            </w:r>
            <w:r w:rsidRPr="00A47F50">
              <w:rPr>
                <w:rFonts w:ascii="Calibri" w:eastAsia="Calibri" w:hAnsi="Calibri" w:cs="Calibri"/>
                <w:b/>
                <w:bCs/>
                <w:color w:val="000000"/>
                <w:spacing w:val="-8"/>
                <w:sz w:val="22"/>
                <w:szCs w:val="22"/>
                <w:lang w:eastAsia="en-US"/>
              </w:rPr>
              <w:t>tinkamą</w:t>
            </w:r>
            <w:r w:rsidRPr="00A47F50">
              <w:rPr>
                <w:rFonts w:ascii="Calibri" w:eastAsia="Calibri" w:hAnsi="Calibri" w:cs="Calibri"/>
                <w:color w:val="000000"/>
                <w:spacing w:val="-8"/>
                <w:sz w:val="22"/>
                <w:szCs w:val="22"/>
                <w:lang w:eastAsia="en-US"/>
              </w:rPr>
              <w:t xml:space="preserve"> sutarties įvykdymą ar kitus užsakovo ir/ar tiekėjo dokumentus, įrodančius </w:t>
            </w:r>
            <w:r w:rsidRPr="00A47F50">
              <w:rPr>
                <w:rFonts w:ascii="Calibri" w:eastAsia="Calibri" w:hAnsi="Calibri" w:cs="Calibri"/>
                <w:b/>
                <w:bCs/>
                <w:color w:val="000000"/>
                <w:spacing w:val="-8"/>
                <w:sz w:val="22"/>
                <w:szCs w:val="22"/>
                <w:lang w:eastAsia="en-US"/>
              </w:rPr>
              <w:t>tinkamą</w:t>
            </w:r>
            <w:r w:rsidRPr="00A47F50">
              <w:rPr>
                <w:rFonts w:ascii="Calibri" w:eastAsia="Calibri" w:hAnsi="Calibri" w:cs="Calibri"/>
                <w:color w:val="000000"/>
                <w:spacing w:val="-8"/>
                <w:sz w:val="22"/>
                <w:szCs w:val="22"/>
                <w:lang w:eastAsia="en-US"/>
              </w:rPr>
              <w:t xml:space="preserve"> sutarties įvykdymą. Tuo atveju, jei tinkamam sutarties įvykdymui pagrįsti tiekėjas pateikia ne užsakovo  dokumentus, jis kartu turi pateikti paaiškinimą, kaip tie dokumentai įrodo </w:t>
            </w:r>
            <w:r w:rsidRPr="00A47F50">
              <w:rPr>
                <w:rFonts w:ascii="Calibri" w:eastAsia="Calibri" w:hAnsi="Calibri" w:cs="Calibri"/>
                <w:b/>
                <w:bCs/>
                <w:color w:val="000000"/>
                <w:spacing w:val="-8"/>
                <w:sz w:val="22"/>
                <w:szCs w:val="22"/>
                <w:lang w:eastAsia="en-US"/>
              </w:rPr>
              <w:t>tinkamą</w:t>
            </w:r>
            <w:r w:rsidRPr="00A47F50">
              <w:rPr>
                <w:rFonts w:ascii="Calibri" w:eastAsia="Calibri" w:hAnsi="Calibri" w:cs="Calibri"/>
                <w:color w:val="000000"/>
                <w:spacing w:val="-8"/>
                <w:sz w:val="22"/>
                <w:szCs w:val="22"/>
                <w:lang w:eastAsia="en-US"/>
              </w:rPr>
              <w:t xml:space="preserve"> sutarties įvykdymą. </w:t>
            </w:r>
          </w:p>
          <w:p w14:paraId="4B8E9F11" w14:textId="77777777" w:rsidR="00A47F50" w:rsidRPr="00A47F50" w:rsidRDefault="00A47F50" w:rsidP="00A47F50">
            <w:pPr>
              <w:spacing w:after="0" w:line="240" w:lineRule="auto"/>
              <w:jc w:val="both"/>
              <w:rPr>
                <w:rFonts w:ascii="Calibri" w:eastAsia="Calibri" w:hAnsi="Calibri" w:cs="Calibri"/>
                <w:color w:val="000000"/>
                <w:spacing w:val="-8"/>
                <w:sz w:val="22"/>
                <w:szCs w:val="22"/>
                <w:lang w:eastAsia="en-US"/>
              </w:rPr>
            </w:pPr>
            <w:r w:rsidRPr="00A47F50">
              <w:rPr>
                <w:rFonts w:ascii="Calibri" w:eastAsia="Calibri" w:hAnsi="Calibri" w:cs="Calibri"/>
                <w:color w:val="000000"/>
                <w:spacing w:val="-8"/>
                <w:sz w:val="22"/>
                <w:szCs w:val="22"/>
                <w:lang w:eastAsia="en-US"/>
              </w:rPr>
              <w:t xml:space="preserve">Laikoma, kad tinkamas sutarties įvykdymas yra pagrindžiamas, jei  įrodančiuose dokumentuose (pažymose ar kt.) patvirtinama, kad tiekėjo sutartiniai įsipareigojimai buvo įvykdyti   tinkamai .   </w:t>
            </w:r>
          </w:p>
          <w:p w14:paraId="39793A40" w14:textId="77777777" w:rsidR="00A47F50" w:rsidRPr="00A47F50" w:rsidRDefault="00A47F50" w:rsidP="00A47F50">
            <w:pPr>
              <w:widowControl w:val="0"/>
              <w:tabs>
                <w:tab w:val="left" w:pos="1276"/>
              </w:tabs>
              <w:spacing w:after="0" w:line="240" w:lineRule="auto"/>
              <w:jc w:val="both"/>
              <w:outlineLvl w:val="1"/>
              <w:rPr>
                <w:rFonts w:ascii="Calibri" w:eastAsia="Calibri" w:hAnsi="Calibri" w:cs="Calibri"/>
                <w:spacing w:val="-8"/>
                <w:sz w:val="22"/>
                <w:szCs w:val="22"/>
                <w:lang w:eastAsia="en-US"/>
              </w:rPr>
            </w:pPr>
          </w:p>
          <w:p w14:paraId="7ABC7260" w14:textId="77777777" w:rsidR="00A47F50" w:rsidRPr="00A47F50" w:rsidRDefault="00A47F50" w:rsidP="00A47F50">
            <w:pPr>
              <w:widowControl w:val="0"/>
              <w:tabs>
                <w:tab w:val="left" w:pos="1276"/>
              </w:tabs>
              <w:spacing w:after="0" w:line="240" w:lineRule="auto"/>
              <w:jc w:val="both"/>
              <w:outlineLvl w:val="1"/>
              <w:rPr>
                <w:rFonts w:ascii="Calibri" w:eastAsia="Calibri" w:hAnsi="Calibri" w:cs="Calibri"/>
                <w:spacing w:val="-8"/>
                <w:sz w:val="22"/>
                <w:szCs w:val="22"/>
                <w:lang w:eastAsia="en-US"/>
              </w:rPr>
            </w:pPr>
            <w:r w:rsidRPr="00A47F50">
              <w:rPr>
                <w:rFonts w:ascii="Calibri" w:eastAsia="Calibri" w:hAnsi="Calibri" w:cs="Calibr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2A7CD7DE" w14:textId="77777777" w:rsidR="00A47F50" w:rsidRPr="00A47F50" w:rsidRDefault="00A47F50" w:rsidP="00A47F50">
            <w:pPr>
              <w:widowControl w:val="0"/>
              <w:tabs>
                <w:tab w:val="left" w:pos="1276"/>
              </w:tabs>
              <w:spacing w:after="0" w:line="240" w:lineRule="auto"/>
              <w:jc w:val="both"/>
              <w:outlineLvl w:val="1"/>
              <w:rPr>
                <w:rFonts w:ascii="Calibri" w:eastAsia="Calibri" w:hAnsi="Calibri" w:cs="Calibri"/>
                <w:spacing w:val="-8"/>
                <w:sz w:val="22"/>
                <w:szCs w:val="22"/>
                <w:lang w:eastAsia="en-US"/>
              </w:rPr>
            </w:pPr>
            <w:r w:rsidRPr="00A47F50">
              <w:rPr>
                <w:rFonts w:ascii="Calibri" w:eastAsia="Calibri" w:hAnsi="Calibri" w:cs="Calibri"/>
                <w:spacing w:val="-8"/>
                <w:sz w:val="22"/>
                <w:szCs w:val="22"/>
                <w:lang w:eastAsia="en-US"/>
              </w:rPr>
              <w:t>Perkančioji organizacija, siekdama patikslinti informaciją apie pagamintas ar/ir parduotas prekes, pasilieka teisę be išankstinio įspėjimo susisiekti su tiekėjo nurodytu užsakovo kontaktiniu asmeniu.</w:t>
            </w:r>
          </w:p>
          <w:p w14:paraId="12723764" w14:textId="77777777" w:rsidR="00A47F50" w:rsidRPr="00A47F50" w:rsidRDefault="00A47F50" w:rsidP="00A47F50">
            <w:pPr>
              <w:widowControl w:val="0"/>
              <w:tabs>
                <w:tab w:val="left" w:pos="1276"/>
              </w:tabs>
              <w:spacing w:after="0" w:line="240" w:lineRule="auto"/>
              <w:jc w:val="both"/>
              <w:outlineLvl w:val="1"/>
              <w:rPr>
                <w:rFonts w:ascii="Calibri" w:eastAsia="Calibri" w:hAnsi="Calibri" w:cs="Calibri"/>
                <w:spacing w:val="-8"/>
                <w:sz w:val="22"/>
                <w:szCs w:val="22"/>
                <w:lang w:eastAsia="en-US"/>
              </w:rPr>
            </w:pPr>
          </w:p>
          <w:p w14:paraId="08AE9D90" w14:textId="42C3C5B4" w:rsidR="00FF66A0" w:rsidRPr="00414B48" w:rsidRDefault="00A47F50" w:rsidP="00A47F50">
            <w:pPr>
              <w:spacing w:after="0" w:line="240" w:lineRule="auto"/>
              <w:jc w:val="both"/>
              <w:rPr>
                <w:rFonts w:eastAsia="Calibri"/>
                <w:color w:val="000000" w:themeColor="text1"/>
                <w:sz w:val="22"/>
                <w:szCs w:val="22"/>
                <w:u w:val="single"/>
                <w:lang w:eastAsia="en-US"/>
              </w:rPr>
            </w:pPr>
            <w:r w:rsidRPr="00A47F50">
              <w:rPr>
                <w:rFonts w:ascii="Calibri" w:eastAsia="Calibri" w:hAnsi="Calibri" w:cs="Calibri"/>
                <w:spacing w:val="-8"/>
                <w:sz w:val="22"/>
                <w:szCs w:val="22"/>
                <w:lang w:eastAsia="en-US"/>
              </w:rPr>
              <w:t>Pateikiamos tiekėjo skaitmeninės dokumentų kopijos.</w:t>
            </w:r>
          </w:p>
        </w:tc>
        <w:tc>
          <w:tcPr>
            <w:tcW w:w="1649" w:type="pct"/>
          </w:tcPr>
          <w:p w14:paraId="695A7A8B" w14:textId="77777777" w:rsidR="00A47F50" w:rsidRPr="00A47F50" w:rsidRDefault="00A47F50" w:rsidP="00A47F50">
            <w:pPr>
              <w:widowControl w:val="0"/>
              <w:tabs>
                <w:tab w:val="left" w:pos="1276"/>
              </w:tabs>
              <w:spacing w:after="0" w:line="240" w:lineRule="auto"/>
              <w:jc w:val="both"/>
              <w:outlineLvl w:val="1"/>
              <w:rPr>
                <w:rFonts w:eastAsia="Calibri" w:cstheme="minorHAnsi"/>
                <w:spacing w:val="-8"/>
                <w:sz w:val="22"/>
                <w:szCs w:val="22"/>
                <w:lang w:eastAsia="en-US"/>
              </w:rPr>
            </w:pPr>
            <w:r w:rsidRPr="00A47F50">
              <w:rPr>
                <w:rFonts w:eastAsia="Calibri" w:cstheme="minorHAnsi"/>
                <w:spacing w:val="-8"/>
                <w:sz w:val="22"/>
                <w:szCs w:val="22"/>
                <w:lang w:eastAsia="en-US"/>
              </w:rPr>
              <w:t xml:space="preserve">Jeigu pasiūlymą teikia tiekėjų  grupė – reikalavimą turi atitikti visi ūkio subjektų grupės nariai kartu (tiekėjų  grupės narių turima patirtis sumuojama), atsižvelgiant į jų prisiimamus įsipareigojimus. </w:t>
            </w:r>
          </w:p>
          <w:p w14:paraId="4F1C0E45" w14:textId="77777777" w:rsidR="00A47F50" w:rsidRPr="00A47F50" w:rsidRDefault="00A47F50" w:rsidP="00A47F50">
            <w:pPr>
              <w:widowControl w:val="0"/>
              <w:tabs>
                <w:tab w:val="left" w:pos="1276"/>
              </w:tabs>
              <w:spacing w:after="0" w:line="240" w:lineRule="auto"/>
              <w:jc w:val="both"/>
              <w:outlineLvl w:val="1"/>
              <w:rPr>
                <w:rFonts w:eastAsia="Calibri" w:cstheme="minorHAnsi"/>
                <w:spacing w:val="-8"/>
                <w:sz w:val="22"/>
                <w:szCs w:val="22"/>
                <w:lang w:eastAsia="en-US"/>
              </w:rPr>
            </w:pPr>
            <w:r w:rsidRPr="00A47F50">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025C5CDD" w14:textId="77777777" w:rsidR="00A47F50" w:rsidRPr="00A47F50" w:rsidRDefault="00A47F50" w:rsidP="00A47F50">
            <w:pPr>
              <w:widowControl w:val="0"/>
              <w:tabs>
                <w:tab w:val="left" w:pos="1276"/>
              </w:tabs>
              <w:spacing w:after="0" w:line="240" w:lineRule="auto"/>
              <w:jc w:val="both"/>
              <w:outlineLvl w:val="1"/>
              <w:rPr>
                <w:rFonts w:eastAsia="Calibri" w:cstheme="minorHAnsi"/>
                <w:spacing w:val="-8"/>
                <w:sz w:val="22"/>
                <w:szCs w:val="22"/>
                <w:lang w:eastAsia="en-US"/>
              </w:rPr>
            </w:pPr>
            <w:r w:rsidRPr="00A47F50">
              <w:rPr>
                <w:rFonts w:eastAsia="Calibri" w:cstheme="minorHAnsi"/>
                <w:spacing w:val="-8"/>
                <w:sz w:val="22"/>
                <w:szCs w:val="22"/>
                <w:lang w:eastAsia="en-US"/>
              </w:rPr>
              <w:t>Subtiekėjams šis reikalavimas nekeliamas.</w:t>
            </w:r>
          </w:p>
          <w:p w14:paraId="2C633E10" w14:textId="77777777" w:rsidR="00A47F50" w:rsidRPr="00A47F50" w:rsidRDefault="00A47F50" w:rsidP="00A47F50">
            <w:pPr>
              <w:widowControl w:val="0"/>
              <w:tabs>
                <w:tab w:val="left" w:pos="1276"/>
              </w:tabs>
              <w:spacing w:after="0" w:line="240" w:lineRule="auto"/>
              <w:jc w:val="both"/>
              <w:outlineLvl w:val="1"/>
              <w:rPr>
                <w:rFonts w:eastAsia="Calibri" w:cstheme="minorHAnsi"/>
                <w:spacing w:val="-8"/>
                <w:sz w:val="22"/>
                <w:szCs w:val="22"/>
                <w:lang w:eastAsia="en-US"/>
              </w:rPr>
            </w:pPr>
            <w:r w:rsidRPr="00A47F50">
              <w:rPr>
                <w:rFonts w:eastAsia="Calibri" w:cstheme="minorHAnsi"/>
                <w:spacing w:val="-8"/>
                <w:sz w:val="22"/>
                <w:szCs w:val="22"/>
                <w:lang w:eastAsia="en-US"/>
              </w:rPr>
              <w:t>Tiekėjui nedraudžiama remtis sutartimi, kurią tiekėjas vykdė ne vienas, bet kartu su kitais ūkio subjektais. Tačiau tokiu atveju vertinami būtent konkretaus tiekėjo, dalyvaujančio viešajame pirkime, pagamintos ir/ar parduotos prekės, jų apimtis, vertė, o ne visas vykdytos sutarties objektas.</w:t>
            </w:r>
          </w:p>
          <w:p w14:paraId="7650B2FE" w14:textId="77777777" w:rsidR="00A47F50" w:rsidRPr="00A47F50" w:rsidRDefault="00A47F50" w:rsidP="00A47F50">
            <w:pPr>
              <w:widowControl w:val="0"/>
              <w:tabs>
                <w:tab w:val="left" w:pos="1276"/>
              </w:tabs>
              <w:spacing w:after="0" w:line="240" w:lineRule="auto"/>
              <w:jc w:val="both"/>
              <w:outlineLvl w:val="1"/>
              <w:rPr>
                <w:rFonts w:eastAsia="Calibri" w:cstheme="minorHAnsi"/>
                <w:spacing w:val="-8"/>
                <w:sz w:val="22"/>
                <w:szCs w:val="22"/>
                <w:lang w:eastAsia="en-US"/>
              </w:rPr>
            </w:pPr>
          </w:p>
          <w:p w14:paraId="10EFC08C" w14:textId="77777777" w:rsidR="00A47F50" w:rsidRPr="00A47F50" w:rsidRDefault="00A47F50" w:rsidP="00A47F50">
            <w:pPr>
              <w:widowControl w:val="0"/>
              <w:tabs>
                <w:tab w:val="left" w:pos="1276"/>
              </w:tabs>
              <w:spacing w:after="0" w:line="240" w:lineRule="auto"/>
              <w:jc w:val="both"/>
              <w:outlineLvl w:val="1"/>
              <w:rPr>
                <w:rFonts w:eastAsia="Calibri" w:cstheme="minorHAnsi"/>
                <w:spacing w:val="-8"/>
                <w:sz w:val="22"/>
                <w:szCs w:val="22"/>
                <w:lang w:eastAsia="en-US"/>
              </w:rPr>
            </w:pPr>
          </w:p>
          <w:p w14:paraId="05B224F6" w14:textId="21BCE61E" w:rsidR="00FF66A0" w:rsidRPr="00414B48" w:rsidRDefault="00A47F50" w:rsidP="00FF66A0">
            <w:pPr>
              <w:spacing w:after="0" w:line="240" w:lineRule="auto"/>
              <w:jc w:val="both"/>
              <w:rPr>
                <w:rFonts w:eastAsia="Calibri" w:cstheme="minorHAnsi"/>
                <w:color w:val="000000" w:themeColor="text1"/>
                <w:spacing w:val="-8"/>
                <w:sz w:val="22"/>
                <w:szCs w:val="22"/>
                <w:lang w:eastAsia="en-US"/>
              </w:rPr>
            </w:pPr>
            <w:r w:rsidRPr="00A47F50">
              <w:rPr>
                <w:rFonts w:eastAsia="Calibri" w:cstheme="minorHAnsi"/>
                <w:spacing w:val="-8"/>
                <w:sz w:val="22"/>
                <w:szCs w:val="22"/>
                <w:lang w:eastAsia="en-US"/>
              </w:rPr>
              <w:t>Atkreipiame dėmesį, jog tiekėjas gali remtis kitų ūkio subjektų pajėgumais, kad atitiktų nustatytą kvalifikacijos reikalavimą, kaip tai numatyta Pirkimo sąlygų Bendrosios dalies 9 skyriuje.</w:t>
            </w:r>
          </w:p>
        </w:tc>
      </w:tr>
    </w:tbl>
    <w:p w14:paraId="65FEA749" w14:textId="7097C9DA" w:rsidR="00841D81" w:rsidRPr="00010869" w:rsidRDefault="00841D81">
      <w:pPr>
        <w:rPr>
          <w:rFonts w:cstheme="minorHAnsi"/>
        </w:rPr>
      </w:pPr>
    </w:p>
    <w:sectPr w:rsidR="00841D81" w:rsidRPr="00010869" w:rsidSect="00414B48">
      <w:pgSz w:w="11906" w:h="16838"/>
      <w:pgMar w:top="1440" w:right="144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467E1" w14:textId="77777777" w:rsidR="009903DF" w:rsidRDefault="009903DF" w:rsidP="00FF66A0">
      <w:pPr>
        <w:spacing w:after="0" w:line="240" w:lineRule="auto"/>
      </w:pPr>
      <w:r>
        <w:separator/>
      </w:r>
    </w:p>
  </w:endnote>
  <w:endnote w:type="continuationSeparator" w:id="0">
    <w:p w14:paraId="08C6670F" w14:textId="77777777" w:rsidR="009903DF" w:rsidRDefault="009903DF" w:rsidP="00FF66A0">
      <w:pPr>
        <w:spacing w:after="0" w:line="240" w:lineRule="auto"/>
      </w:pPr>
      <w:r>
        <w:continuationSeparator/>
      </w:r>
    </w:p>
  </w:endnote>
  <w:endnote w:type="continuationNotice" w:id="1">
    <w:p w14:paraId="4E89EE65" w14:textId="77777777" w:rsidR="00241E1D" w:rsidRDefault="00241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46355" w14:textId="77777777" w:rsidR="009903DF" w:rsidRDefault="009903DF" w:rsidP="00FF66A0">
      <w:pPr>
        <w:spacing w:after="0" w:line="240" w:lineRule="auto"/>
      </w:pPr>
      <w:r>
        <w:separator/>
      </w:r>
    </w:p>
  </w:footnote>
  <w:footnote w:type="continuationSeparator" w:id="0">
    <w:p w14:paraId="7D2A7646" w14:textId="77777777" w:rsidR="009903DF" w:rsidRDefault="009903DF" w:rsidP="00FF66A0">
      <w:pPr>
        <w:spacing w:after="0" w:line="240" w:lineRule="auto"/>
      </w:pPr>
      <w:r>
        <w:continuationSeparator/>
      </w:r>
    </w:p>
  </w:footnote>
  <w:footnote w:type="continuationNotice" w:id="1">
    <w:p w14:paraId="114D2F26" w14:textId="77777777" w:rsidR="00241E1D" w:rsidRDefault="00241E1D">
      <w:pPr>
        <w:spacing w:after="0" w:line="240" w:lineRule="auto"/>
      </w:pPr>
    </w:p>
  </w:footnote>
  <w:footnote w:id="2">
    <w:p w14:paraId="1113E172" w14:textId="77777777" w:rsidR="00A47F50" w:rsidRDefault="00A47F50" w:rsidP="00A47F50">
      <w:pPr>
        <w:pStyle w:val="FootnoteText"/>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 w15:restartNumberingAfterBreak="0">
    <w:nsid w:val="73B254CF"/>
    <w:multiLevelType w:val="hybridMultilevel"/>
    <w:tmpl w:val="580E8078"/>
    <w:lvl w:ilvl="0" w:tplc="150A7D80">
      <w:start w:val="1"/>
      <w:numFmt w:val="bullet"/>
      <w:lvlText w:val=""/>
      <w:lvlJc w:val="left"/>
      <w:pPr>
        <w:ind w:left="720" w:hanging="36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8545616">
    <w:abstractNumId w:val="5"/>
  </w:num>
  <w:num w:numId="2" w16cid:durableId="2044936281">
    <w:abstractNumId w:val="3"/>
  </w:num>
  <w:num w:numId="3" w16cid:durableId="190151705">
    <w:abstractNumId w:val="2"/>
  </w:num>
  <w:num w:numId="4" w16cid:durableId="1979408208">
    <w:abstractNumId w:val="0"/>
  </w:num>
  <w:num w:numId="5" w16cid:durableId="1728140288">
    <w:abstractNumId w:val="1"/>
  </w:num>
  <w:num w:numId="6" w16cid:durableId="2080901513">
    <w:abstractNumId w:val="6"/>
  </w:num>
  <w:num w:numId="7" w16cid:durableId="78624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35"/>
    <w:rsid w:val="00010869"/>
    <w:rsid w:val="000404A8"/>
    <w:rsid w:val="000D2E10"/>
    <w:rsid w:val="00131E33"/>
    <w:rsid w:val="00160A34"/>
    <w:rsid w:val="001A20EC"/>
    <w:rsid w:val="001A33B3"/>
    <w:rsid w:val="00215ED9"/>
    <w:rsid w:val="00241E1D"/>
    <w:rsid w:val="002477D0"/>
    <w:rsid w:val="00276A91"/>
    <w:rsid w:val="0028681A"/>
    <w:rsid w:val="002E3306"/>
    <w:rsid w:val="002E44C1"/>
    <w:rsid w:val="00344FCD"/>
    <w:rsid w:val="00370DE8"/>
    <w:rsid w:val="003A12D4"/>
    <w:rsid w:val="003E64E7"/>
    <w:rsid w:val="00414B48"/>
    <w:rsid w:val="00432E8F"/>
    <w:rsid w:val="004D611F"/>
    <w:rsid w:val="004E61D6"/>
    <w:rsid w:val="0050426D"/>
    <w:rsid w:val="00596235"/>
    <w:rsid w:val="00617D51"/>
    <w:rsid w:val="006A0779"/>
    <w:rsid w:val="006E56E8"/>
    <w:rsid w:val="00726916"/>
    <w:rsid w:val="007965EB"/>
    <w:rsid w:val="007A689E"/>
    <w:rsid w:val="00820796"/>
    <w:rsid w:val="00841D81"/>
    <w:rsid w:val="00852C36"/>
    <w:rsid w:val="00890A62"/>
    <w:rsid w:val="008B0015"/>
    <w:rsid w:val="00924586"/>
    <w:rsid w:val="00987F4A"/>
    <w:rsid w:val="009903DF"/>
    <w:rsid w:val="009935A9"/>
    <w:rsid w:val="00A47F50"/>
    <w:rsid w:val="00A567FB"/>
    <w:rsid w:val="00A751E4"/>
    <w:rsid w:val="00B50609"/>
    <w:rsid w:val="00B62F86"/>
    <w:rsid w:val="00B64B42"/>
    <w:rsid w:val="00BA6CD1"/>
    <w:rsid w:val="00BC4236"/>
    <w:rsid w:val="00BE2F44"/>
    <w:rsid w:val="00C0423B"/>
    <w:rsid w:val="00C10253"/>
    <w:rsid w:val="00CC6E55"/>
    <w:rsid w:val="00CD7561"/>
    <w:rsid w:val="00D2263A"/>
    <w:rsid w:val="00D2464A"/>
    <w:rsid w:val="00D44B4C"/>
    <w:rsid w:val="00D44E62"/>
    <w:rsid w:val="00D55870"/>
    <w:rsid w:val="00D80617"/>
    <w:rsid w:val="00DF5A51"/>
    <w:rsid w:val="00DF7453"/>
    <w:rsid w:val="00DF7504"/>
    <w:rsid w:val="00E22EDC"/>
    <w:rsid w:val="00E53737"/>
    <w:rsid w:val="00E6164E"/>
    <w:rsid w:val="00EE0F96"/>
    <w:rsid w:val="00F75FFB"/>
    <w:rsid w:val="00F920CC"/>
    <w:rsid w:val="00FF66A0"/>
    <w:rsid w:val="26816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nhideWhenUsed/>
    <w:rsid w:val="00EE0F96"/>
    <w:rPr>
      <w:sz w:val="16"/>
      <w:szCs w:val="16"/>
    </w:rPr>
  </w:style>
  <w:style w:type="paragraph" w:styleId="CommentText">
    <w:name w:val="annotation text"/>
    <w:basedOn w:val="Normal"/>
    <w:link w:val="CommentTextChar"/>
    <w:uiPriority w:val="99"/>
    <w:unhideWhenUsed/>
    <w:rsid w:val="00EE0F96"/>
    <w:pPr>
      <w:spacing w:line="240" w:lineRule="auto"/>
    </w:pPr>
    <w:rPr>
      <w:sz w:val="20"/>
      <w:szCs w:val="20"/>
    </w:rPr>
  </w:style>
  <w:style w:type="character" w:customStyle="1" w:styleId="CommentTextChar">
    <w:name w:val="Comment Text Char"/>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Revision">
    <w:name w:val="Revision"/>
    <w:hidden/>
    <w:uiPriority w:val="99"/>
    <w:semiHidden/>
    <w:rsid w:val="00010869"/>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FF66A0"/>
    <w:rPr>
      <w:sz w:val="20"/>
      <w:szCs w:val="20"/>
    </w:rPr>
  </w:style>
  <w:style w:type="character" w:customStyle="1" w:styleId="FootnoteTextChar">
    <w:name w:val="Footnote Text Char"/>
    <w:basedOn w:val="DefaultParagraphFont"/>
    <w:link w:val="FootnoteText"/>
    <w:uiPriority w:val="99"/>
    <w:rsid w:val="00FF66A0"/>
    <w:rPr>
      <w:rFonts w:eastAsiaTheme="minorEastAsia"/>
      <w:sz w:val="20"/>
      <w:szCs w:val="20"/>
      <w:lang w:eastAsia="lt-LT"/>
    </w:rPr>
  </w:style>
  <w:style w:type="character" w:styleId="FootnoteReference">
    <w:name w:val="footnote reference"/>
    <w:basedOn w:val="DefaultParagraphFont"/>
    <w:uiPriority w:val="99"/>
    <w:unhideWhenUsed/>
    <w:rsid w:val="00FF66A0"/>
    <w:rPr>
      <w:vertAlign w:val="superscript"/>
    </w:rPr>
  </w:style>
  <w:style w:type="paragraph" w:styleId="Header">
    <w:name w:val="header"/>
    <w:basedOn w:val="Normal"/>
    <w:link w:val="HeaderChar"/>
    <w:uiPriority w:val="99"/>
    <w:semiHidden/>
    <w:unhideWhenUsed/>
    <w:rsid w:val="00241E1D"/>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41E1D"/>
    <w:rPr>
      <w:rFonts w:eastAsiaTheme="minorEastAsia"/>
      <w:sz w:val="21"/>
      <w:szCs w:val="21"/>
      <w:lang w:eastAsia="lt-LT"/>
    </w:rPr>
  </w:style>
  <w:style w:type="paragraph" w:styleId="Footer">
    <w:name w:val="footer"/>
    <w:basedOn w:val="Normal"/>
    <w:link w:val="FooterChar"/>
    <w:uiPriority w:val="99"/>
    <w:semiHidden/>
    <w:unhideWhenUsed/>
    <w:rsid w:val="00241E1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41E1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7414C-5B6B-4028-889F-FAA6DA7BC269}"/>
</file>

<file path=customXml/itemProps2.xml><?xml version="1.0" encoding="utf-8"?>
<ds:datastoreItem xmlns:ds="http://schemas.openxmlformats.org/officeDocument/2006/customXml" ds:itemID="{DEC14A68-357A-4635-849E-ED11B958E05F}"/>
</file>

<file path=customXml/itemProps3.xml><?xml version="1.0" encoding="utf-8"?>
<ds:datastoreItem xmlns:ds="http://schemas.openxmlformats.org/officeDocument/2006/customXml" ds:itemID="{1655F98D-E768-4B8C-A70A-0DF229592056}"/>
</file>

<file path=docProps/app.xml><?xml version="1.0" encoding="utf-8"?>
<Properties xmlns="http://schemas.openxmlformats.org/officeDocument/2006/extended-properties" xmlns:vt="http://schemas.openxmlformats.org/officeDocument/2006/docPropsVTypes">
  <Template>Normal</Template>
  <TotalTime>14</TotalTime>
  <Pages>1</Pages>
  <Words>2147</Words>
  <Characters>1225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[LT] 2 priedas_Kvalifikacijos reikalavimai</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2 priedas_Kvalifikacijos reikalavimai</dc:title>
  <dc:subject/>
  <dc:creator>Erika Simaitė</dc:creator>
  <cp:keywords/>
  <dc:description/>
  <cp:lastModifiedBy>Erika Simaitė</cp:lastModifiedBy>
  <cp:revision>11</cp:revision>
  <dcterms:created xsi:type="dcterms:W3CDTF">2023-07-24T10:21:00Z</dcterms:created>
  <dcterms:modified xsi:type="dcterms:W3CDTF">2024-12-05T13:35:00Z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skyrius|72419e98-9ffe-4573-a524-85d9b5806ebb;#4344;#Skaitmeninių sprendimų projektų skyrius|78470913-a55f-4d57-8683-90e0e7ae2c9d;#3174;#Tarptautinių vystomojo bendradarbiavimo projektų skyrius|6147cdd9-1227-4384-bc5f-05bff22a22b1</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Simaitė;#393;#Justas Šakočius;#93;#Viktor Jurkianec;#1197;#Agnė Juršėnaitė-Skovorodko</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