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444334"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Pr>
          <w:rFonts w:ascii="Arial" w:hAnsi="Arial" w:cs="Arial"/>
          <w:b/>
          <w:sz w:val="20"/>
          <w:szCs w:val="20"/>
          <w:lang w:val="lt-LT"/>
        </w:rPr>
        <w:tab/>
      </w:r>
      <w:r>
        <w:rPr>
          <w:rFonts w:ascii="Arial" w:hAnsi="Arial" w:cs="Arial"/>
          <w:b/>
          <w:sz w:val="20"/>
          <w:szCs w:val="20"/>
          <w:lang w:val="lt-LT"/>
        </w:rPr>
        <w:tab/>
      </w:r>
      <w:r>
        <w:rPr>
          <w:rFonts w:ascii="Arial" w:hAnsi="Arial" w:cs="Arial"/>
          <w:b/>
          <w:sz w:val="20"/>
          <w:szCs w:val="20"/>
          <w:lang w:val="lt-LT"/>
        </w:rPr>
        <w:tab/>
      </w:r>
      <w:r w:rsidR="00AC0F73" w:rsidRPr="00444334">
        <w:rPr>
          <w:rFonts w:ascii="Arial" w:hAnsi="Arial" w:cs="Arial"/>
          <w:b/>
          <w:sz w:val="20"/>
          <w:szCs w:val="20"/>
          <w:lang w:val="lt-LT"/>
        </w:rPr>
        <w:t xml:space="preserve">PASIŪLYMAS </w:t>
      </w:r>
      <w:r>
        <w:rPr>
          <w:rFonts w:ascii="Arial" w:hAnsi="Arial" w:cs="Arial"/>
          <w:b/>
          <w:sz w:val="20"/>
          <w:szCs w:val="20"/>
          <w:lang w:val="lt-LT"/>
        </w:rPr>
        <w:tab/>
      </w:r>
      <w:r>
        <w:rPr>
          <w:rFonts w:ascii="Arial" w:hAnsi="Arial" w:cs="Arial"/>
          <w:b/>
          <w:sz w:val="20"/>
          <w:szCs w:val="20"/>
          <w:lang w:val="lt-LT"/>
        </w:rPr>
        <w:tab/>
      </w:r>
    </w:p>
    <w:p w14:paraId="534169DD" w14:textId="3230B3EC" w:rsidR="00AC0F73" w:rsidRPr="00444334" w:rsidRDefault="00AC0F73" w:rsidP="00AC0F73">
      <w:pPr>
        <w:ind w:left="120" w:right="99"/>
        <w:contextualSpacing/>
        <w:jc w:val="center"/>
        <w:rPr>
          <w:rFonts w:ascii="Arial" w:hAnsi="Arial" w:cs="Arial"/>
          <w:b/>
          <w:caps/>
          <w:sz w:val="20"/>
          <w:szCs w:val="20"/>
          <w:lang w:val="lt-LT"/>
        </w:rPr>
      </w:pPr>
      <w:r w:rsidRPr="00444334">
        <w:rPr>
          <w:rFonts w:ascii="Arial" w:hAnsi="Arial" w:cs="Arial"/>
          <w:b/>
          <w:sz w:val="20"/>
          <w:szCs w:val="20"/>
          <w:lang w:val="lt-LT" w:eastAsia="lt-LT"/>
        </w:rPr>
        <w:t xml:space="preserve">DĖL </w:t>
      </w:r>
      <w:r w:rsidR="00937232" w:rsidRPr="00937232">
        <w:rPr>
          <w:rFonts w:ascii="Arial" w:hAnsi="Arial" w:cs="Arial"/>
          <w:b/>
          <w:caps/>
          <w:sz w:val="20"/>
          <w:szCs w:val="20"/>
          <w:lang w:val="lt-LT" w:eastAsia="lt-LT"/>
        </w:rPr>
        <w:t>Š</w:t>
      </w:r>
      <w:r w:rsidR="00956EAB">
        <w:rPr>
          <w:rFonts w:ascii="Arial" w:hAnsi="Arial" w:cs="Arial"/>
          <w:b/>
          <w:caps/>
          <w:sz w:val="20"/>
          <w:szCs w:val="20"/>
          <w:lang w:val="lt-LT" w:eastAsia="lt-LT"/>
        </w:rPr>
        <w:t>ILUMOS APSKAITOS PRIETAISŲ REMONTO PASLAUGŲ</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16ADD1AB"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937232">
        <w:rPr>
          <w:rFonts w:ascii="Arial" w:hAnsi="Arial" w:cs="Arial"/>
          <w:sz w:val="20"/>
          <w:szCs w:val="20"/>
          <w:lang w:val="lt-LT"/>
        </w:rPr>
        <w:t xml:space="preserve">os </w:t>
      </w:r>
      <w:r w:rsidR="00956EAB">
        <w:rPr>
          <w:rFonts w:ascii="Arial" w:hAnsi="Arial" w:cs="Arial"/>
          <w:sz w:val="20"/>
          <w:szCs w:val="20"/>
          <w:lang w:val="lt-LT"/>
        </w:rPr>
        <w:t>šilumos apskaitos prietaisų remonto paslaugos (toliau – Paslaugos)</w:t>
      </w:r>
      <w:r w:rsidRPr="00444334">
        <w:rPr>
          <w:rFonts w:ascii="Arial" w:hAnsi="Arial" w:cs="Arial"/>
          <w:sz w:val="20"/>
          <w:szCs w:val="20"/>
          <w:lang w:val="lt-LT"/>
        </w:rPr>
        <w:t xml:space="preserve"> visiškai atitinka pirkimo dokumentuose nurodytus reikalavimus.</w:t>
      </w:r>
    </w:p>
    <w:p w14:paraId="68CD9E52" w14:textId="7D03DE25"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3AF666B4" w14:textId="22C72641" w:rsidR="00AC0F73"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t xml:space="preserve">Mes siūlome </w:t>
      </w:r>
      <w:r w:rsidR="00937232">
        <w:rPr>
          <w:rFonts w:ascii="Arial" w:hAnsi="Arial" w:cs="Arial"/>
          <w:bCs/>
          <w:sz w:val="20"/>
          <w:szCs w:val="20"/>
          <w:lang w:val="lt-LT"/>
        </w:rPr>
        <w:t xml:space="preserve">suteikti </w:t>
      </w:r>
      <w:r w:rsidR="00956EAB">
        <w:rPr>
          <w:rFonts w:ascii="Arial" w:hAnsi="Arial" w:cs="Arial"/>
          <w:bCs/>
          <w:sz w:val="20"/>
          <w:szCs w:val="20"/>
          <w:lang w:val="lt-LT"/>
        </w:rPr>
        <w:t>Paslaugas</w:t>
      </w:r>
      <w:r w:rsidRPr="00444334">
        <w:rPr>
          <w:rFonts w:ascii="Arial" w:hAnsi="Arial" w:cs="Arial"/>
          <w:bCs/>
          <w:sz w:val="20"/>
          <w:szCs w:val="20"/>
          <w:lang w:val="lt-LT"/>
        </w:rPr>
        <w:t>, kuri</w:t>
      </w:r>
      <w:r w:rsidR="00937232">
        <w:rPr>
          <w:rFonts w:ascii="Arial" w:hAnsi="Arial" w:cs="Arial"/>
          <w:bCs/>
          <w:sz w:val="20"/>
          <w:szCs w:val="20"/>
          <w:lang w:val="lt-LT"/>
        </w:rPr>
        <w:t>os</w:t>
      </w:r>
      <w:r w:rsidRPr="00444334">
        <w:rPr>
          <w:rFonts w:ascii="Arial" w:hAnsi="Arial" w:cs="Arial"/>
          <w:bCs/>
          <w:sz w:val="20"/>
          <w:szCs w:val="20"/>
          <w:lang w:val="lt-LT"/>
        </w:rPr>
        <w:t xml:space="preserve"> visiškai </w:t>
      </w:r>
      <w:r w:rsidR="00956EAB">
        <w:rPr>
          <w:rFonts w:ascii="Arial" w:hAnsi="Arial" w:cs="Arial"/>
          <w:bCs/>
          <w:sz w:val="20"/>
          <w:szCs w:val="20"/>
          <w:lang w:val="lt-LT"/>
        </w:rPr>
        <w:t xml:space="preserve">Šilumos apskaitos prietaisų remonto paslaugų </w:t>
      </w:r>
      <w:r w:rsidRPr="00444334">
        <w:rPr>
          <w:rFonts w:ascii="Arial" w:hAnsi="Arial" w:cs="Arial"/>
          <w:bCs/>
          <w:sz w:val="20"/>
          <w:szCs w:val="20"/>
          <w:lang w:val="lt-LT"/>
        </w:rPr>
        <w:t>techninės specifikacijos (Sąlygų 1 priedas) reikalavimus:</w:t>
      </w:r>
    </w:p>
    <w:p w14:paraId="1C1FE56D" w14:textId="0EB1411F" w:rsidR="00CD577A" w:rsidRDefault="00CD577A" w:rsidP="00AC0F73">
      <w:pPr>
        <w:contextualSpacing/>
        <w:jc w:val="both"/>
        <w:rPr>
          <w:rFonts w:ascii="Arial" w:hAnsi="Arial" w:cs="Arial"/>
          <w:bCs/>
          <w:sz w:val="20"/>
          <w:szCs w:val="20"/>
          <w:lang w:val="lt-LT"/>
        </w:rPr>
      </w:pPr>
    </w:p>
    <w:p w14:paraId="411BF06B" w14:textId="67E30E83" w:rsidR="00CD577A" w:rsidRDefault="00CD577A" w:rsidP="00AC0F73">
      <w:pPr>
        <w:contextualSpacing/>
        <w:jc w:val="both"/>
        <w:rPr>
          <w:rFonts w:ascii="Arial" w:hAnsi="Arial" w:cs="Arial"/>
          <w:bCs/>
          <w:sz w:val="20"/>
          <w:szCs w:val="20"/>
          <w:lang w:val="lt-LT"/>
        </w:rPr>
      </w:pPr>
    </w:p>
    <w:p w14:paraId="0CB0A909" w14:textId="705171E4" w:rsidR="00CD577A" w:rsidRDefault="00CD577A" w:rsidP="00AC0F73">
      <w:pPr>
        <w:contextualSpacing/>
        <w:jc w:val="both"/>
        <w:rPr>
          <w:rFonts w:ascii="Arial" w:hAnsi="Arial" w:cs="Arial"/>
          <w:bCs/>
          <w:sz w:val="20"/>
          <w:szCs w:val="20"/>
          <w:lang w:val="lt-LT"/>
        </w:rPr>
      </w:pPr>
    </w:p>
    <w:p w14:paraId="7F8B3DCC" w14:textId="1BCEB29F" w:rsidR="00CD577A" w:rsidRDefault="00CD577A" w:rsidP="00AC0F73">
      <w:pPr>
        <w:contextualSpacing/>
        <w:jc w:val="both"/>
        <w:rPr>
          <w:rFonts w:ascii="Arial" w:hAnsi="Arial" w:cs="Arial"/>
          <w:bCs/>
          <w:sz w:val="20"/>
          <w:szCs w:val="20"/>
          <w:lang w:val="lt-LT"/>
        </w:rPr>
      </w:pPr>
    </w:p>
    <w:p w14:paraId="63A74CCF" w14:textId="77777777" w:rsidR="00CD577A" w:rsidRDefault="00CD577A" w:rsidP="00AC0F73">
      <w:pPr>
        <w:contextualSpacing/>
        <w:jc w:val="both"/>
        <w:rPr>
          <w:rFonts w:ascii="Arial" w:hAnsi="Arial" w:cs="Arial"/>
          <w:bCs/>
          <w:sz w:val="20"/>
          <w:szCs w:val="20"/>
          <w:lang w:val="lt-LT"/>
        </w:rPr>
      </w:pPr>
    </w:p>
    <w:p w14:paraId="7229CE15" w14:textId="77777777" w:rsidR="00937232" w:rsidRPr="00444334" w:rsidRDefault="00937232" w:rsidP="00AC0F73">
      <w:pPr>
        <w:contextualSpacing/>
        <w:jc w:val="both"/>
        <w:rPr>
          <w:rFonts w:ascii="Arial" w:hAnsi="Arial" w:cs="Arial"/>
          <w:sz w:val="20"/>
          <w:szCs w:val="20"/>
          <w:lang w:val="lt-LT"/>
        </w:rPr>
      </w:pPr>
    </w:p>
    <w:p w14:paraId="5029D9C4" w14:textId="77777777" w:rsidR="00CD577A" w:rsidRDefault="00CD577A" w:rsidP="000C4C55">
      <w:pPr>
        <w:contextualSpacing/>
        <w:jc w:val="right"/>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tbl>
      <w:tblPr>
        <w:tblStyle w:val="TableGrid"/>
        <w:tblW w:w="0" w:type="auto"/>
        <w:tblLook w:val="04A0" w:firstRow="1" w:lastRow="0" w:firstColumn="1" w:lastColumn="0" w:noHBand="0" w:noVBand="1"/>
      </w:tblPr>
      <w:tblGrid>
        <w:gridCol w:w="593"/>
        <w:gridCol w:w="3088"/>
        <w:gridCol w:w="1559"/>
        <w:gridCol w:w="1469"/>
        <w:gridCol w:w="1508"/>
        <w:gridCol w:w="1412"/>
      </w:tblGrid>
      <w:tr w:rsidR="00CD577A" w14:paraId="517DBA04" w14:textId="61BB6F69" w:rsidTr="00CD577A">
        <w:tc>
          <w:tcPr>
            <w:tcW w:w="593" w:type="dxa"/>
          </w:tcPr>
          <w:p w14:paraId="07469F07" w14:textId="69B381C9"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lastRenderedPageBreak/>
              <w:t>Eil. Nr.</w:t>
            </w:r>
          </w:p>
        </w:tc>
        <w:tc>
          <w:tcPr>
            <w:tcW w:w="3088" w:type="dxa"/>
          </w:tcPr>
          <w:p w14:paraId="3A4A822D" w14:textId="77777777" w:rsidR="00CD577A" w:rsidRDefault="00CD577A" w:rsidP="00F03339">
            <w:pPr>
              <w:contextualSpacing/>
              <w:jc w:val="center"/>
              <w:rPr>
                <w:rFonts w:ascii="Arial" w:hAnsi="Arial" w:cs="Arial"/>
                <w:sz w:val="20"/>
                <w:szCs w:val="20"/>
                <w:lang w:val="lt-LT"/>
              </w:rPr>
            </w:pPr>
          </w:p>
          <w:p w14:paraId="3B4F8BA3" w14:textId="78CF0D9F"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Paslaugų pavadinimas</w:t>
            </w:r>
          </w:p>
        </w:tc>
        <w:tc>
          <w:tcPr>
            <w:tcW w:w="1559" w:type="dxa"/>
          </w:tcPr>
          <w:p w14:paraId="117A9379" w14:textId="4B65EE23"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Maksimalus paslaug</w:t>
            </w:r>
            <w:r w:rsidR="00956EAB">
              <w:rPr>
                <w:rFonts w:ascii="Arial" w:hAnsi="Arial" w:cs="Arial"/>
                <w:sz w:val="20"/>
                <w:szCs w:val="20"/>
                <w:lang w:val="lt-LT"/>
              </w:rPr>
              <w:t>os</w:t>
            </w:r>
            <w:r>
              <w:rPr>
                <w:rFonts w:ascii="Arial" w:hAnsi="Arial" w:cs="Arial"/>
                <w:sz w:val="20"/>
                <w:szCs w:val="20"/>
                <w:lang w:val="lt-LT"/>
              </w:rPr>
              <w:t xml:space="preserve"> įkainis </w:t>
            </w:r>
            <w:r w:rsidR="00956EAB">
              <w:rPr>
                <w:rFonts w:ascii="Arial" w:hAnsi="Arial" w:cs="Arial"/>
                <w:sz w:val="20"/>
                <w:szCs w:val="20"/>
                <w:lang w:val="lt-LT"/>
              </w:rPr>
              <w:t>už 1 vnt. ŠAP</w:t>
            </w:r>
          </w:p>
          <w:p w14:paraId="75ACB99D" w14:textId="227E553C"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 xml:space="preserve">Eur be PVM </w:t>
            </w:r>
          </w:p>
        </w:tc>
        <w:tc>
          <w:tcPr>
            <w:tcW w:w="1469" w:type="dxa"/>
          </w:tcPr>
          <w:p w14:paraId="6DD2DE92" w14:textId="5FBC857A"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Tiekėjo siūlomas paslaug</w:t>
            </w:r>
            <w:r w:rsidR="00956EAB">
              <w:rPr>
                <w:rFonts w:ascii="Arial" w:hAnsi="Arial" w:cs="Arial"/>
                <w:sz w:val="20"/>
                <w:szCs w:val="20"/>
                <w:lang w:val="lt-LT"/>
              </w:rPr>
              <w:t>os</w:t>
            </w:r>
            <w:r>
              <w:rPr>
                <w:rFonts w:ascii="Arial" w:hAnsi="Arial" w:cs="Arial"/>
                <w:sz w:val="20"/>
                <w:szCs w:val="20"/>
                <w:lang w:val="lt-LT"/>
              </w:rPr>
              <w:t xml:space="preserve"> įkainis</w:t>
            </w:r>
            <w:r w:rsidR="00956EAB">
              <w:rPr>
                <w:rFonts w:ascii="Arial" w:hAnsi="Arial" w:cs="Arial"/>
                <w:sz w:val="20"/>
                <w:szCs w:val="20"/>
                <w:lang w:val="lt-LT"/>
              </w:rPr>
              <w:t xml:space="preserve"> už 1 vnt. ŠAP</w:t>
            </w:r>
            <w:r>
              <w:rPr>
                <w:rFonts w:ascii="Arial" w:hAnsi="Arial" w:cs="Arial"/>
                <w:sz w:val="20"/>
                <w:szCs w:val="20"/>
                <w:lang w:val="lt-LT"/>
              </w:rPr>
              <w:t>*</w:t>
            </w:r>
          </w:p>
          <w:p w14:paraId="7E59AE39" w14:textId="5E303B08"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 xml:space="preserve"> Eur be PVM </w:t>
            </w:r>
          </w:p>
        </w:tc>
        <w:tc>
          <w:tcPr>
            <w:tcW w:w="1508" w:type="dxa"/>
          </w:tcPr>
          <w:p w14:paraId="388285B5" w14:textId="77777777" w:rsidR="00956EAB" w:rsidRDefault="00956EAB" w:rsidP="00956EAB">
            <w:pPr>
              <w:contextualSpacing/>
              <w:jc w:val="center"/>
              <w:rPr>
                <w:rFonts w:ascii="Arial" w:hAnsi="Arial" w:cs="Arial"/>
                <w:sz w:val="20"/>
                <w:szCs w:val="20"/>
                <w:lang w:val="lt-LT"/>
              </w:rPr>
            </w:pPr>
          </w:p>
          <w:p w14:paraId="3F177D47" w14:textId="1ADA01C4" w:rsidR="00CD577A" w:rsidRDefault="00CD577A" w:rsidP="00956EAB">
            <w:pPr>
              <w:contextualSpacing/>
              <w:jc w:val="center"/>
              <w:rPr>
                <w:rFonts w:ascii="Arial" w:hAnsi="Arial" w:cs="Arial"/>
                <w:sz w:val="20"/>
                <w:szCs w:val="20"/>
                <w:lang w:val="lt-LT"/>
              </w:rPr>
            </w:pPr>
            <w:r w:rsidRPr="00CD577A">
              <w:rPr>
                <w:rFonts w:ascii="Arial" w:hAnsi="Arial" w:cs="Arial"/>
                <w:sz w:val="20"/>
                <w:szCs w:val="20"/>
                <w:lang w:val="lt-LT"/>
              </w:rPr>
              <w:t xml:space="preserve">Preliminarus </w:t>
            </w:r>
            <w:r w:rsidR="00956EAB">
              <w:rPr>
                <w:rFonts w:ascii="Arial" w:hAnsi="Arial" w:cs="Arial"/>
                <w:sz w:val="20"/>
                <w:szCs w:val="20"/>
                <w:lang w:val="lt-LT"/>
              </w:rPr>
              <w:t>ŠAP kiekis vnt.</w:t>
            </w:r>
          </w:p>
        </w:tc>
        <w:tc>
          <w:tcPr>
            <w:tcW w:w="1412" w:type="dxa"/>
          </w:tcPr>
          <w:p w14:paraId="4ACAF2C6" w14:textId="77777777" w:rsidR="00CD577A" w:rsidRDefault="00CD577A" w:rsidP="00F03339">
            <w:pPr>
              <w:contextualSpacing/>
              <w:jc w:val="center"/>
              <w:rPr>
                <w:rFonts w:ascii="Arial" w:hAnsi="Arial" w:cs="Arial"/>
                <w:sz w:val="20"/>
                <w:szCs w:val="20"/>
                <w:lang w:val="lt-LT"/>
              </w:rPr>
            </w:pPr>
            <w:r>
              <w:rPr>
                <w:rFonts w:ascii="Arial" w:hAnsi="Arial" w:cs="Arial"/>
                <w:sz w:val="20"/>
                <w:szCs w:val="20"/>
                <w:lang w:val="lt-LT"/>
              </w:rPr>
              <w:t>Paslaugų kaina Eur be PVM</w:t>
            </w:r>
          </w:p>
          <w:p w14:paraId="6EAE0B99" w14:textId="417A28A5" w:rsidR="00CD577A" w:rsidRPr="00CD577A" w:rsidRDefault="00CD577A" w:rsidP="00F03339">
            <w:pPr>
              <w:contextualSpacing/>
              <w:jc w:val="center"/>
              <w:rPr>
                <w:rFonts w:ascii="Arial" w:hAnsi="Arial" w:cs="Arial"/>
                <w:i/>
                <w:iCs/>
                <w:sz w:val="16"/>
                <w:szCs w:val="16"/>
                <w:lang w:val="lt-LT"/>
              </w:rPr>
            </w:pPr>
            <w:r w:rsidRPr="00CD577A">
              <w:rPr>
                <w:rFonts w:ascii="Arial" w:hAnsi="Arial" w:cs="Arial"/>
                <w:i/>
                <w:iCs/>
                <w:sz w:val="16"/>
                <w:szCs w:val="16"/>
                <w:lang w:val="lt-LT"/>
              </w:rPr>
              <w:t>(4</w:t>
            </w:r>
            <w:r w:rsidR="002C6C85">
              <w:rPr>
                <w:rFonts w:ascii="Arial" w:hAnsi="Arial" w:cs="Arial"/>
                <w:i/>
                <w:iCs/>
                <w:sz w:val="16"/>
                <w:szCs w:val="16"/>
                <w:lang w:val="lt-LT"/>
              </w:rPr>
              <w:t xml:space="preserve"> stulpelis </w:t>
            </w:r>
            <w:r>
              <w:rPr>
                <w:rFonts w:ascii="Arial" w:hAnsi="Arial" w:cs="Arial"/>
                <w:i/>
                <w:iCs/>
                <w:sz w:val="16"/>
                <w:szCs w:val="16"/>
                <w:lang w:val="lt-LT"/>
              </w:rPr>
              <w:t>x</w:t>
            </w:r>
            <w:r w:rsidRPr="00CD577A">
              <w:rPr>
                <w:rFonts w:ascii="Arial" w:hAnsi="Arial" w:cs="Arial"/>
                <w:i/>
                <w:iCs/>
                <w:sz w:val="16"/>
                <w:szCs w:val="16"/>
                <w:lang w:val="lt-LT"/>
              </w:rPr>
              <w:t>5 stulpelis)</w:t>
            </w:r>
          </w:p>
        </w:tc>
      </w:tr>
      <w:tr w:rsidR="00CD577A" w14:paraId="0842D97B" w14:textId="77777777" w:rsidTr="00CD577A">
        <w:tc>
          <w:tcPr>
            <w:tcW w:w="593" w:type="dxa"/>
          </w:tcPr>
          <w:p w14:paraId="5C203980" w14:textId="079E09AC"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1</w:t>
            </w:r>
          </w:p>
        </w:tc>
        <w:tc>
          <w:tcPr>
            <w:tcW w:w="3088" w:type="dxa"/>
          </w:tcPr>
          <w:p w14:paraId="5B4AC701" w14:textId="54E5B19F"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2</w:t>
            </w:r>
          </w:p>
        </w:tc>
        <w:tc>
          <w:tcPr>
            <w:tcW w:w="1559" w:type="dxa"/>
          </w:tcPr>
          <w:p w14:paraId="5EC15398" w14:textId="0ADC0C10"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3</w:t>
            </w:r>
          </w:p>
        </w:tc>
        <w:tc>
          <w:tcPr>
            <w:tcW w:w="1469" w:type="dxa"/>
          </w:tcPr>
          <w:p w14:paraId="39B0CD14" w14:textId="36C7797C"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4</w:t>
            </w:r>
          </w:p>
        </w:tc>
        <w:tc>
          <w:tcPr>
            <w:tcW w:w="1508" w:type="dxa"/>
          </w:tcPr>
          <w:p w14:paraId="4EB85075" w14:textId="1D8C6251"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5</w:t>
            </w:r>
          </w:p>
        </w:tc>
        <w:tc>
          <w:tcPr>
            <w:tcW w:w="1412" w:type="dxa"/>
          </w:tcPr>
          <w:p w14:paraId="0FF36A54" w14:textId="2DA46FDB" w:rsidR="00CD577A" w:rsidRPr="00CD577A" w:rsidRDefault="00CD577A" w:rsidP="00CD577A">
            <w:pPr>
              <w:contextualSpacing/>
              <w:jc w:val="center"/>
              <w:rPr>
                <w:rFonts w:ascii="Arial" w:hAnsi="Arial" w:cs="Arial"/>
                <w:i/>
                <w:iCs/>
                <w:sz w:val="16"/>
                <w:szCs w:val="16"/>
                <w:lang w:val="lt-LT"/>
              </w:rPr>
            </w:pPr>
            <w:r w:rsidRPr="00CD577A">
              <w:rPr>
                <w:rFonts w:ascii="Arial" w:hAnsi="Arial" w:cs="Arial"/>
                <w:i/>
                <w:iCs/>
                <w:sz w:val="16"/>
                <w:szCs w:val="16"/>
                <w:lang w:val="lt-LT"/>
              </w:rPr>
              <w:t>6</w:t>
            </w:r>
          </w:p>
        </w:tc>
      </w:tr>
      <w:tr w:rsidR="00CD577A" w14:paraId="71B18BB0" w14:textId="25FFE179" w:rsidTr="00CD577A">
        <w:tc>
          <w:tcPr>
            <w:tcW w:w="593" w:type="dxa"/>
          </w:tcPr>
          <w:p w14:paraId="5F56084A" w14:textId="401689F7"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1.</w:t>
            </w:r>
          </w:p>
        </w:tc>
        <w:tc>
          <w:tcPr>
            <w:tcW w:w="3088" w:type="dxa"/>
          </w:tcPr>
          <w:p w14:paraId="0288DAC0" w14:textId="161A8D2B" w:rsidR="00CD577A" w:rsidRDefault="00956EAB" w:rsidP="00F03339">
            <w:pPr>
              <w:contextualSpacing/>
              <w:rPr>
                <w:rFonts w:ascii="Arial" w:hAnsi="Arial" w:cs="Arial"/>
                <w:sz w:val="20"/>
                <w:szCs w:val="20"/>
                <w:lang w:val="lt-LT"/>
              </w:rPr>
            </w:pPr>
            <w:r>
              <w:rPr>
                <w:rFonts w:ascii="Arial" w:hAnsi="Arial" w:cs="Arial"/>
                <w:sz w:val="20"/>
                <w:szCs w:val="20"/>
                <w:lang w:val="lt-LT"/>
              </w:rPr>
              <w:t>Šilumos apskaitos prietaisų (toliau – ŠAP) remontas</w:t>
            </w:r>
          </w:p>
        </w:tc>
        <w:tc>
          <w:tcPr>
            <w:tcW w:w="1559" w:type="dxa"/>
          </w:tcPr>
          <w:p w14:paraId="4979CCC6" w14:textId="77777777" w:rsidR="00CD577A" w:rsidRDefault="00CD577A" w:rsidP="00F03339">
            <w:pPr>
              <w:contextualSpacing/>
              <w:jc w:val="center"/>
              <w:rPr>
                <w:rFonts w:ascii="Arial" w:hAnsi="Arial" w:cs="Arial"/>
                <w:sz w:val="20"/>
                <w:szCs w:val="20"/>
                <w:lang w:val="lt-LT"/>
              </w:rPr>
            </w:pPr>
          </w:p>
          <w:p w14:paraId="573C9F63" w14:textId="56888053" w:rsidR="00CD577A" w:rsidRDefault="00956EAB" w:rsidP="00F03339">
            <w:pPr>
              <w:contextualSpacing/>
              <w:jc w:val="center"/>
              <w:rPr>
                <w:rFonts w:ascii="Arial" w:hAnsi="Arial" w:cs="Arial"/>
                <w:sz w:val="20"/>
                <w:szCs w:val="20"/>
                <w:lang w:val="lt-LT"/>
              </w:rPr>
            </w:pPr>
            <w:r>
              <w:rPr>
                <w:rFonts w:ascii="Arial" w:hAnsi="Arial" w:cs="Arial"/>
                <w:sz w:val="20"/>
                <w:szCs w:val="20"/>
                <w:lang w:val="lt-LT"/>
              </w:rPr>
              <w:t>32,00</w:t>
            </w:r>
          </w:p>
        </w:tc>
        <w:tc>
          <w:tcPr>
            <w:tcW w:w="1469" w:type="dxa"/>
          </w:tcPr>
          <w:p w14:paraId="4BBB762D" w14:textId="77777777" w:rsidR="00CD577A" w:rsidRDefault="00CD577A" w:rsidP="000C4C55">
            <w:pPr>
              <w:contextualSpacing/>
              <w:jc w:val="right"/>
              <w:rPr>
                <w:rFonts w:ascii="Arial" w:hAnsi="Arial" w:cs="Arial"/>
                <w:sz w:val="20"/>
                <w:szCs w:val="20"/>
                <w:lang w:val="lt-LT"/>
              </w:rPr>
            </w:pPr>
          </w:p>
        </w:tc>
        <w:tc>
          <w:tcPr>
            <w:tcW w:w="1508" w:type="dxa"/>
          </w:tcPr>
          <w:p w14:paraId="6F090FE1" w14:textId="77777777" w:rsidR="00CD577A" w:rsidRDefault="00CD577A" w:rsidP="000C4C55">
            <w:pPr>
              <w:contextualSpacing/>
              <w:jc w:val="right"/>
              <w:rPr>
                <w:rFonts w:ascii="Arial" w:hAnsi="Arial" w:cs="Arial"/>
                <w:sz w:val="20"/>
                <w:szCs w:val="20"/>
                <w:lang w:val="lt-LT"/>
              </w:rPr>
            </w:pPr>
          </w:p>
          <w:p w14:paraId="102426FD" w14:textId="34F44A7A" w:rsidR="00CD577A" w:rsidRDefault="00956EAB" w:rsidP="005A42CC">
            <w:pPr>
              <w:contextualSpacing/>
              <w:jc w:val="center"/>
              <w:rPr>
                <w:rFonts w:ascii="Arial" w:hAnsi="Arial" w:cs="Arial"/>
                <w:sz w:val="20"/>
                <w:szCs w:val="20"/>
                <w:lang w:val="lt-LT"/>
              </w:rPr>
            </w:pPr>
            <w:r>
              <w:rPr>
                <w:rFonts w:ascii="Arial" w:hAnsi="Arial" w:cs="Arial"/>
                <w:sz w:val="20"/>
                <w:szCs w:val="20"/>
                <w:lang w:val="lt-LT"/>
              </w:rPr>
              <w:t>1000</w:t>
            </w:r>
          </w:p>
        </w:tc>
        <w:tc>
          <w:tcPr>
            <w:tcW w:w="1412" w:type="dxa"/>
          </w:tcPr>
          <w:p w14:paraId="6479A038" w14:textId="636B0D9C" w:rsidR="00CD577A" w:rsidRDefault="00CD577A" w:rsidP="000C4C55">
            <w:pPr>
              <w:contextualSpacing/>
              <w:jc w:val="right"/>
              <w:rPr>
                <w:rFonts w:ascii="Arial" w:hAnsi="Arial" w:cs="Arial"/>
                <w:sz w:val="20"/>
                <w:szCs w:val="20"/>
                <w:lang w:val="lt-LT"/>
              </w:rPr>
            </w:pPr>
          </w:p>
        </w:tc>
      </w:tr>
      <w:tr w:rsidR="00CD577A" w14:paraId="2402F1CC" w14:textId="29046634" w:rsidTr="00CD577A">
        <w:tc>
          <w:tcPr>
            <w:tcW w:w="8217" w:type="dxa"/>
            <w:gridSpan w:val="5"/>
          </w:tcPr>
          <w:p w14:paraId="35F4C0E0" w14:textId="544B16F5"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......proc. PVM*</w:t>
            </w:r>
            <w:r w:rsidR="005C1DE4">
              <w:rPr>
                <w:rFonts w:ascii="Arial" w:hAnsi="Arial" w:cs="Arial"/>
                <w:sz w:val="20"/>
                <w:szCs w:val="20"/>
                <w:lang w:val="lt-LT"/>
              </w:rPr>
              <w:t>*</w:t>
            </w:r>
          </w:p>
        </w:tc>
        <w:tc>
          <w:tcPr>
            <w:tcW w:w="1412" w:type="dxa"/>
            <w:vAlign w:val="center"/>
          </w:tcPr>
          <w:p w14:paraId="28D194E9" w14:textId="55F86984" w:rsidR="00CD577A" w:rsidRDefault="00CD577A" w:rsidP="000C4C55">
            <w:pPr>
              <w:contextualSpacing/>
              <w:jc w:val="right"/>
              <w:rPr>
                <w:rFonts w:ascii="Arial" w:hAnsi="Arial" w:cs="Arial"/>
                <w:sz w:val="20"/>
                <w:szCs w:val="20"/>
                <w:lang w:val="lt-LT"/>
              </w:rPr>
            </w:pPr>
          </w:p>
        </w:tc>
      </w:tr>
      <w:tr w:rsidR="00CD577A" w:rsidRPr="00F24154" w14:paraId="790A0315" w14:textId="0B4A7515" w:rsidTr="00CD577A">
        <w:tc>
          <w:tcPr>
            <w:tcW w:w="8217" w:type="dxa"/>
            <w:gridSpan w:val="5"/>
          </w:tcPr>
          <w:p w14:paraId="2A82D3E6" w14:textId="2447A652"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 xml:space="preserve">Paslaugų kaina Eur su PVM </w:t>
            </w:r>
          </w:p>
        </w:tc>
        <w:tc>
          <w:tcPr>
            <w:tcW w:w="1412" w:type="dxa"/>
          </w:tcPr>
          <w:p w14:paraId="427A5037" w14:textId="099815A3" w:rsidR="00CD577A" w:rsidRDefault="00CD577A" w:rsidP="000C4C55">
            <w:pPr>
              <w:contextualSpacing/>
              <w:jc w:val="right"/>
              <w:rPr>
                <w:rFonts w:ascii="Arial" w:hAnsi="Arial" w:cs="Arial"/>
                <w:sz w:val="20"/>
                <w:szCs w:val="20"/>
                <w:lang w:val="lt-LT"/>
              </w:rPr>
            </w:pPr>
          </w:p>
        </w:tc>
      </w:tr>
    </w:tbl>
    <w:p w14:paraId="4FB1BC9D" w14:textId="6D53A936" w:rsidR="005C1DE4" w:rsidRDefault="005C1DE4" w:rsidP="00990483">
      <w:pPr>
        <w:contextualSpacing/>
        <w:jc w:val="both"/>
        <w:rPr>
          <w:rFonts w:ascii="Arial" w:hAnsi="Arial" w:cs="Arial"/>
          <w:b/>
          <w:bCs/>
          <w:i/>
          <w:iCs/>
          <w:sz w:val="16"/>
          <w:szCs w:val="16"/>
          <w:lang w:val="it-IT"/>
        </w:rPr>
      </w:pPr>
      <w:r>
        <w:rPr>
          <w:rFonts w:ascii="Arial" w:hAnsi="Arial" w:cs="Arial"/>
          <w:b/>
          <w:bCs/>
          <w:i/>
          <w:iCs/>
          <w:sz w:val="16"/>
          <w:szCs w:val="16"/>
          <w:lang w:val="it-IT"/>
        </w:rPr>
        <w:t>*</w:t>
      </w:r>
      <w:r w:rsidRPr="005C1DE4">
        <w:rPr>
          <w:rFonts w:ascii="Arial" w:hAnsi="Arial" w:cs="Arial"/>
          <w:b/>
          <w:bCs/>
          <w:i/>
          <w:iCs/>
          <w:sz w:val="16"/>
          <w:szCs w:val="16"/>
          <w:lang w:val="it-IT"/>
        </w:rPr>
        <w:t>Tiekėjui nurodžius didesnį Paslaugos  įkainį, nei Perkančiojo subjekto Sąlygų  2 priede (pasiūlymo forma) pateiktas maksimalus įkainis (</w:t>
      </w:r>
      <w:r w:rsidR="00956EAB">
        <w:rPr>
          <w:rFonts w:ascii="Arial" w:hAnsi="Arial" w:cs="Arial"/>
          <w:b/>
          <w:bCs/>
          <w:i/>
          <w:iCs/>
          <w:sz w:val="16"/>
          <w:szCs w:val="16"/>
          <w:lang w:val="it-IT"/>
        </w:rPr>
        <w:t>32</w:t>
      </w:r>
      <w:r w:rsidRPr="005C1DE4">
        <w:rPr>
          <w:rFonts w:ascii="Arial" w:hAnsi="Arial" w:cs="Arial"/>
          <w:b/>
          <w:bCs/>
          <w:i/>
          <w:iCs/>
          <w:sz w:val="16"/>
          <w:szCs w:val="16"/>
          <w:lang w:val="it-IT"/>
        </w:rPr>
        <w:t xml:space="preserve">,00 Eur be PVM už 1 </w:t>
      </w:r>
      <w:r w:rsidR="00956EAB">
        <w:rPr>
          <w:rFonts w:ascii="Arial" w:hAnsi="Arial" w:cs="Arial"/>
          <w:b/>
          <w:bCs/>
          <w:i/>
          <w:iCs/>
          <w:sz w:val="16"/>
          <w:szCs w:val="16"/>
          <w:lang w:val="it-IT"/>
        </w:rPr>
        <w:t>vnt. ŠAP</w:t>
      </w:r>
      <w:r w:rsidRPr="005C1DE4">
        <w:rPr>
          <w:rFonts w:ascii="Arial" w:hAnsi="Arial" w:cs="Arial"/>
          <w:b/>
          <w:bCs/>
          <w:i/>
          <w:iCs/>
          <w:sz w:val="16"/>
          <w:szCs w:val="16"/>
          <w:lang w:val="it-IT"/>
        </w:rPr>
        <w:t>), jis bus atmestas kaip nepriimtinas</w:t>
      </w:r>
    </w:p>
    <w:p w14:paraId="460EC01C" w14:textId="3D8F6B96" w:rsidR="00990483" w:rsidRDefault="00990483" w:rsidP="00990483">
      <w:pPr>
        <w:contextualSpacing/>
        <w:jc w:val="both"/>
        <w:rPr>
          <w:rFonts w:ascii="Arial" w:hAnsi="Arial" w:cs="Arial"/>
          <w:b/>
          <w:bCs/>
          <w:i/>
          <w:iCs/>
          <w:sz w:val="16"/>
          <w:szCs w:val="16"/>
          <w:lang w:val="lt-LT"/>
        </w:rPr>
      </w:pPr>
      <w:r w:rsidRPr="00F03339">
        <w:rPr>
          <w:rFonts w:ascii="Arial" w:hAnsi="Arial" w:cs="Arial"/>
          <w:b/>
          <w:bCs/>
          <w:i/>
          <w:iCs/>
          <w:sz w:val="16"/>
          <w:szCs w:val="16"/>
          <w:lang w:val="lt-LT"/>
        </w:rPr>
        <w:t xml:space="preserve">Pateikiama </w:t>
      </w:r>
      <w:r w:rsidR="00F03339" w:rsidRPr="00F03339">
        <w:rPr>
          <w:rFonts w:ascii="Arial" w:hAnsi="Arial" w:cs="Arial"/>
          <w:b/>
          <w:bCs/>
          <w:i/>
          <w:iCs/>
          <w:sz w:val="16"/>
          <w:szCs w:val="16"/>
          <w:lang w:val="lt-LT"/>
        </w:rPr>
        <w:t>dviejų</w:t>
      </w:r>
      <w:r w:rsidRPr="00F03339">
        <w:rPr>
          <w:rFonts w:ascii="Arial" w:hAnsi="Arial" w:cs="Arial"/>
          <w:b/>
          <w:bCs/>
          <w:i/>
          <w:iCs/>
          <w:sz w:val="16"/>
          <w:szCs w:val="16"/>
          <w:lang w:val="lt-LT"/>
        </w:rPr>
        <w:t xml:space="preserve"> skaičiaus po kablelio tikslumu.</w:t>
      </w:r>
    </w:p>
    <w:p w14:paraId="78192402" w14:textId="421254C6"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77777777" w:rsidR="00D70D70" w:rsidRDefault="00D70D70" w:rsidP="00990483">
      <w:pPr>
        <w:contextualSpacing/>
        <w:jc w:val="both"/>
        <w:rPr>
          <w:rFonts w:ascii="Arial" w:hAnsi="Arial" w:cs="Arial"/>
          <w:b/>
          <w:bCs/>
          <w:i/>
          <w:iCs/>
          <w:sz w:val="16"/>
          <w:szCs w:val="16"/>
          <w:lang w:val="lt-LT"/>
        </w:rPr>
      </w:pPr>
    </w:p>
    <w:p w14:paraId="50B669EA" w14:textId="3C4CD9F7" w:rsidR="00D70D70" w:rsidRDefault="00D70D70" w:rsidP="00990483">
      <w:pPr>
        <w:contextualSpacing/>
        <w:jc w:val="both"/>
        <w:rPr>
          <w:rFonts w:ascii="Arial" w:hAnsi="Arial" w:cs="Arial"/>
          <w:b/>
          <w:bCs/>
          <w:i/>
          <w:iCs/>
          <w:sz w:val="16"/>
          <w:szCs w:val="16"/>
          <w:lang w:val="lt-LT"/>
        </w:rPr>
      </w:pPr>
      <w:r w:rsidRPr="00D70D70">
        <w:rPr>
          <w:rFonts w:ascii="Arial" w:hAnsi="Arial" w:cs="Arial"/>
          <w:b/>
          <w:bCs/>
          <w:i/>
          <w:iCs/>
          <w:sz w:val="16"/>
          <w:szCs w:val="16"/>
          <w:lang w:val="lt-LT"/>
        </w:rPr>
        <w:t>Bendra pasiūlymo kaina skirta tik pasiūlymų palyginimui, sutartis bus sudaroma pirkimo dokumentuose numatytai sumai.</w:t>
      </w:r>
    </w:p>
    <w:p w14:paraId="340CDEF4" w14:textId="291C7823" w:rsidR="009543D0" w:rsidRDefault="009543D0" w:rsidP="00990483">
      <w:pPr>
        <w:contextualSpacing/>
        <w:jc w:val="both"/>
        <w:rPr>
          <w:rFonts w:ascii="Arial" w:hAnsi="Arial" w:cs="Arial"/>
          <w:b/>
          <w:bCs/>
          <w:i/>
          <w:iCs/>
          <w:sz w:val="16"/>
          <w:szCs w:val="16"/>
          <w:lang w:val="lt-LT"/>
        </w:rPr>
      </w:pP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497D3BA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w:t>
      </w:r>
      <w:r>
        <w:rPr>
          <w:rFonts w:ascii="Arial" w:hAnsi="Arial" w:cs="Arial"/>
          <w:sz w:val="20"/>
          <w:szCs w:val="20"/>
          <w:lang w:val="lt-LT"/>
        </w:rPr>
        <w:t>slaugų</w:t>
      </w:r>
      <w:r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21DB190A"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Pas</w:t>
      </w:r>
      <w:r>
        <w:rPr>
          <w:rFonts w:ascii="Arial" w:hAnsi="Arial" w:cs="Arial"/>
          <w:sz w:val="20"/>
          <w:szCs w:val="20"/>
          <w:lang w:val="lt-LT"/>
        </w:rPr>
        <w:t>laugų</w:t>
      </w:r>
      <w:r w:rsidRPr="00CD577A">
        <w:rPr>
          <w:rFonts w:ascii="Arial" w:hAnsi="Arial" w:cs="Arial"/>
          <w:sz w:val="20"/>
          <w:szCs w:val="20"/>
          <w:lang w:val="lt-LT"/>
        </w:rPr>
        <w:t xml:space="preserve"> kaina su PVM, Eur – ................................................................................</w:t>
      </w:r>
      <w:r>
        <w:rPr>
          <w:rFonts w:ascii="Arial" w:hAnsi="Arial" w:cs="Arial"/>
          <w:sz w:val="20"/>
          <w:szCs w:val="20"/>
          <w:lang w:val="lt-LT"/>
        </w:rPr>
        <w:t>.</w:t>
      </w:r>
      <w:r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w:t>
      </w:r>
      <w:proofErr w:type="spellStart"/>
      <w:r w:rsidRPr="00444334">
        <w:rPr>
          <w:rFonts w:ascii="Arial" w:hAnsi="Arial" w:cs="Arial"/>
          <w:sz w:val="20"/>
          <w:szCs w:val="20"/>
          <w:lang w:val="lt-LT"/>
        </w:rPr>
        <w:t>kvazisubtiekėjai</w:t>
      </w:r>
      <w:proofErr w:type="spellEnd"/>
      <w:r w:rsidRPr="00444334">
        <w:rPr>
          <w:rFonts w:ascii="Arial" w:hAnsi="Arial" w:cs="Arial"/>
          <w:sz w:val="20"/>
          <w:szCs w:val="20"/>
          <w:lang w:val="lt-LT"/>
        </w:rPr>
        <w:t>)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4B88D596" w14:textId="77777777" w:rsidR="00CD577A" w:rsidRDefault="00CD577A" w:rsidP="004178D3">
      <w:pPr>
        <w:jc w:val="right"/>
        <w:rPr>
          <w:rFonts w:ascii="Arial" w:hAnsi="Arial" w:cs="Arial"/>
          <w:sz w:val="20"/>
          <w:szCs w:val="20"/>
          <w:lang w:val="lt-LT"/>
        </w:rPr>
      </w:pPr>
    </w:p>
    <w:p w14:paraId="73A73497" w14:textId="77777777" w:rsidR="00CD577A" w:rsidRDefault="00CD577A" w:rsidP="004178D3">
      <w:pPr>
        <w:jc w:val="right"/>
        <w:rPr>
          <w:rFonts w:ascii="Arial" w:hAnsi="Arial" w:cs="Arial"/>
          <w:sz w:val="20"/>
          <w:szCs w:val="20"/>
          <w:lang w:val="lt-LT"/>
        </w:rPr>
      </w:pPr>
    </w:p>
    <w:p w14:paraId="4D97F680" w14:textId="77777777" w:rsidR="00CD577A" w:rsidRDefault="00CD577A" w:rsidP="004178D3">
      <w:pPr>
        <w:jc w:val="right"/>
        <w:rPr>
          <w:rFonts w:ascii="Arial" w:hAnsi="Arial" w:cs="Arial"/>
          <w:sz w:val="20"/>
          <w:szCs w:val="20"/>
          <w:lang w:val="lt-LT"/>
        </w:rPr>
      </w:pP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1643B" w14:textId="77777777" w:rsidR="00CD4EB1" w:rsidRDefault="00CD4EB1">
      <w:r>
        <w:separator/>
      </w:r>
    </w:p>
  </w:endnote>
  <w:endnote w:type="continuationSeparator" w:id="0">
    <w:p w14:paraId="59F95D41" w14:textId="77777777" w:rsidR="00CD4EB1" w:rsidRDefault="00CD4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1FE5B" w14:textId="77777777" w:rsidR="00CD4EB1" w:rsidRDefault="00CD4EB1">
      <w:r>
        <w:separator/>
      </w:r>
    </w:p>
  </w:footnote>
  <w:footnote w:type="continuationSeparator" w:id="0">
    <w:p w14:paraId="055C7CC4" w14:textId="77777777" w:rsidR="00CD4EB1" w:rsidRDefault="00CD4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6790A"/>
    <w:rsid w:val="000733F1"/>
    <w:rsid w:val="000C4C55"/>
    <w:rsid w:val="002405AD"/>
    <w:rsid w:val="00242C60"/>
    <w:rsid w:val="002A4E09"/>
    <w:rsid w:val="002C6C85"/>
    <w:rsid w:val="00353ED5"/>
    <w:rsid w:val="00354A8F"/>
    <w:rsid w:val="0041194A"/>
    <w:rsid w:val="004178D3"/>
    <w:rsid w:val="00444334"/>
    <w:rsid w:val="00461783"/>
    <w:rsid w:val="004E1805"/>
    <w:rsid w:val="00527CEE"/>
    <w:rsid w:val="00542182"/>
    <w:rsid w:val="00552287"/>
    <w:rsid w:val="005A31A4"/>
    <w:rsid w:val="005A42CC"/>
    <w:rsid w:val="005C1DE4"/>
    <w:rsid w:val="006B6708"/>
    <w:rsid w:val="006C272C"/>
    <w:rsid w:val="006E4469"/>
    <w:rsid w:val="007102CF"/>
    <w:rsid w:val="00716816"/>
    <w:rsid w:val="007E6179"/>
    <w:rsid w:val="007F005C"/>
    <w:rsid w:val="007F3C55"/>
    <w:rsid w:val="0080600E"/>
    <w:rsid w:val="00872FBA"/>
    <w:rsid w:val="008F4B50"/>
    <w:rsid w:val="00905C12"/>
    <w:rsid w:val="00937232"/>
    <w:rsid w:val="00937C8E"/>
    <w:rsid w:val="00945FF8"/>
    <w:rsid w:val="00950A05"/>
    <w:rsid w:val="009543D0"/>
    <w:rsid w:val="00956EAB"/>
    <w:rsid w:val="009730D8"/>
    <w:rsid w:val="00990483"/>
    <w:rsid w:val="00995DEB"/>
    <w:rsid w:val="009B4FEC"/>
    <w:rsid w:val="009B7DC8"/>
    <w:rsid w:val="009D4CA4"/>
    <w:rsid w:val="00AC0F73"/>
    <w:rsid w:val="00B74CFC"/>
    <w:rsid w:val="00BE7966"/>
    <w:rsid w:val="00CC43BC"/>
    <w:rsid w:val="00CD30DF"/>
    <w:rsid w:val="00CD4EB1"/>
    <w:rsid w:val="00CD577A"/>
    <w:rsid w:val="00D70D70"/>
    <w:rsid w:val="00D77C70"/>
    <w:rsid w:val="00DC5DFE"/>
    <w:rsid w:val="00E2499C"/>
    <w:rsid w:val="00E57190"/>
    <w:rsid w:val="00E6280A"/>
    <w:rsid w:val="00EE2FD2"/>
    <w:rsid w:val="00F03339"/>
    <w:rsid w:val="00F15486"/>
    <w:rsid w:val="00F2298D"/>
    <w:rsid w:val="00F24154"/>
    <w:rsid w:val="00F8398A"/>
    <w:rsid w:val="00FC1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2.xml><?xml version="1.0" encoding="utf-8"?>
<ds:datastoreItem xmlns:ds="http://schemas.openxmlformats.org/officeDocument/2006/customXml" ds:itemID="{FCC17ABB-C1CF-4927-AB15-DF345F0F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3799</Words>
  <Characters>2166</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2021-10-18T13:37:00Z</cp:lastPrinted>
  <dcterms:created xsi:type="dcterms:W3CDTF">2025-05-30T09:22:00Z</dcterms:created>
  <dcterms:modified xsi:type="dcterms:W3CDTF">2025-05-30T09:22:00Z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