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737C" w14:textId="77777777" w:rsidR="00590BE2" w:rsidRPr="00CB3AF0" w:rsidRDefault="00590BE2" w:rsidP="00590BE2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 </w:t>
      </w:r>
    </w:p>
    <w:p w14:paraId="6CEC4B2A" w14:textId="77777777" w:rsidR="00590BE2" w:rsidRPr="00CB3AF0" w:rsidRDefault="00590BE2" w:rsidP="00590BE2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400C727C" w14:textId="77777777" w:rsidR="00590BE2" w:rsidRDefault="00590BE2" w:rsidP="00590BE2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3890CC00" w14:textId="77777777" w:rsidR="00590BE2" w:rsidRDefault="00590BE2" w:rsidP="00590BE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5EEE462" w14:textId="77777777" w:rsidR="00590BE2" w:rsidRDefault="00590BE2" w:rsidP="0059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58BC48E9" w14:textId="77777777" w:rsidR="00590BE2" w:rsidRDefault="00590BE2" w:rsidP="0059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A45ED28" w14:textId="77777777" w:rsidR="00590BE2" w:rsidRDefault="00590BE2" w:rsidP="0059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77A8018D" w14:textId="77777777" w:rsidR="00590BE2" w:rsidRDefault="00590BE2" w:rsidP="0059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03507F41" w14:textId="77777777" w:rsidR="00590BE2" w:rsidRDefault="00590BE2" w:rsidP="00590BE2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422E8BFF" w14:textId="77777777" w:rsidR="00590BE2" w:rsidRDefault="00590BE2" w:rsidP="00590BE2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0EBD9600" w14:textId="36070819" w:rsidR="00590BE2" w:rsidRDefault="00590BE2" w:rsidP="00590BE2">
      <w:pPr>
        <w:tabs>
          <w:tab w:val="left" w:pos="426"/>
        </w:tabs>
        <w:spacing w:after="0" w:line="240" w:lineRule="auto"/>
        <w:jc w:val="center"/>
        <w:rPr>
          <w:rStyle w:val="normaltextrun"/>
          <w:rFonts w:eastAsiaTheme="majorEastAsia"/>
        </w:rPr>
      </w:pPr>
      <w:r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>SPAUSDINIMO PASLAUGOMS PIRKIMUI</w:t>
      </w:r>
    </w:p>
    <w:p w14:paraId="1A3038BF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FDBA73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0EE6970F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3F3DE6A7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44C66418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09FAB4E1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F9CC24" w14:textId="77777777" w:rsidR="00590BE2" w:rsidRDefault="00590BE2" w:rsidP="00590BE2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171967F5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590BE2" w14:paraId="117605A8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E49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</w:p>
          <w:p w14:paraId="1110473C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889875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1AC7F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16E75BA9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6F9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2A4F707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49A180A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9901CF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53A36D5D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26BB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E3EA09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5696C667" w14:textId="77777777" w:rsidTr="00C061C8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5E9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2E42CC9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1AEDA642" w14:textId="77777777" w:rsidTr="00C061C8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3DC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BCC56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3ADAA22C" w14:textId="77777777" w:rsidTr="00C061C8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16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129493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08C327F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D7A1B09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6C0D7F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4EAA30" w14:textId="77777777" w:rsidR="00590BE2" w:rsidRDefault="00590BE2" w:rsidP="00590BE2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60E3C03D" w14:textId="77777777" w:rsidR="00590BE2" w:rsidRDefault="00590BE2" w:rsidP="00590BE2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C52C4F8" w14:textId="77777777" w:rsidR="00590BE2" w:rsidRDefault="00590BE2" w:rsidP="00590BE2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590BE2" w14:paraId="4AA7092D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BA5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32B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1475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AA1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590BE2" w14:paraId="0DAC2E83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81" w14:textId="77777777" w:rsidR="00590BE2" w:rsidRDefault="00590BE2" w:rsidP="00C061C8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57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4F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5DF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3A620AD0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A8B" w14:textId="77777777" w:rsidR="00590BE2" w:rsidRDefault="00590BE2" w:rsidP="00C061C8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DC0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4FC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9AA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E458F0C" w14:textId="77777777" w:rsidR="00590BE2" w:rsidRDefault="00590BE2" w:rsidP="00590BE2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D8DB61F" w14:textId="77777777" w:rsidR="00590BE2" w:rsidRDefault="00590BE2" w:rsidP="00590BE2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0909948" w14:textId="77777777" w:rsidR="00590BE2" w:rsidRDefault="00590BE2" w:rsidP="00590BE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7BBAFFDC" w14:textId="77777777" w:rsidR="00590BE2" w:rsidRDefault="00590BE2" w:rsidP="00590BE2">
      <w:pPr>
        <w:suppressAutoHyphens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05A00">
        <w:rPr>
          <w:rFonts w:ascii="Times New Roman" w:hAnsi="Times New Roman"/>
          <w:b/>
          <w:bCs/>
          <w:sz w:val="24"/>
          <w:szCs w:val="24"/>
        </w:rPr>
        <w:t xml:space="preserve">Mes siūlome šias </w:t>
      </w:r>
      <w:r>
        <w:rPr>
          <w:rFonts w:ascii="Times New Roman" w:hAnsi="Times New Roman"/>
          <w:b/>
          <w:bCs/>
          <w:sz w:val="24"/>
          <w:szCs w:val="24"/>
        </w:rPr>
        <w:t>prekes/</w:t>
      </w:r>
      <w:r w:rsidRPr="00505A00">
        <w:rPr>
          <w:rFonts w:ascii="Times New Roman" w:hAnsi="Times New Roman"/>
          <w:b/>
          <w:bCs/>
          <w:sz w:val="24"/>
          <w:szCs w:val="24"/>
        </w:rPr>
        <w:t>paslaugas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99"/>
        <w:gridCol w:w="1562"/>
        <w:gridCol w:w="1983"/>
        <w:gridCol w:w="2120"/>
      </w:tblGrid>
      <w:tr w:rsidR="0081523F" w:rsidRPr="00214EDA" w14:paraId="5C4D9DCB" w14:textId="77777777" w:rsidTr="0081523F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892" w14:textId="77777777" w:rsidR="00214EDA" w:rsidRPr="00214EDA" w:rsidRDefault="00214EDA" w:rsidP="0081523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F33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Pirkimo objektas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287" w14:textId="32A0E979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Preliminarūs kiekiai, </w:t>
            </w:r>
          </w:p>
          <w:p w14:paraId="5ED67734" w14:textId="0CC6D674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vnt.</w:t>
            </w:r>
            <w:r w:rsidR="00746D4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344" w14:textId="77777777" w:rsidR="00746D48" w:rsidRPr="00746D48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</w:pPr>
            <w:r w:rsidRPr="00214EDA"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  <w:t xml:space="preserve">1 vieneto </w:t>
            </w:r>
          </w:p>
          <w:p w14:paraId="64A7EEA3" w14:textId="026A2EE8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</w:pPr>
            <w:r w:rsidRPr="00214EDA"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  <w:t>įkainis,</w:t>
            </w:r>
          </w:p>
          <w:p w14:paraId="197AE0DF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val="fi-FI" w:eastAsia="en-US"/>
              </w:rPr>
              <w:t>Eur be PVM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EBA" w14:textId="77777777" w:rsidR="00576627" w:rsidRDefault="00214EDA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Bendra </w:t>
            </w:r>
          </w:p>
          <w:p w14:paraId="1A1195F1" w14:textId="43A98780" w:rsidR="00214EDA" w:rsidRPr="00214EDA" w:rsidRDefault="0018422D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viso kiekio</w:t>
            </w:r>
            <w:r w:rsidR="00214EDA"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kaina, </w:t>
            </w:r>
          </w:p>
          <w:p w14:paraId="2FB20A9B" w14:textId="77777777" w:rsidR="00214EDA" w:rsidRPr="00214EDA" w:rsidRDefault="00214EDA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Eur be PVM</w:t>
            </w:r>
          </w:p>
        </w:tc>
      </w:tr>
      <w:tr w:rsidR="0081523F" w:rsidRPr="00214EDA" w14:paraId="7BCEBFC1" w14:textId="77777777" w:rsidTr="0081523F">
        <w:trPr>
          <w:trHeight w:val="18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6B82" w14:textId="77777777" w:rsidR="00214EDA" w:rsidRPr="00214EDA" w:rsidRDefault="00214EDA" w:rsidP="0081523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214EDA">
              <w:rPr>
                <w:rFonts w:ascii="Times New Roman" w:eastAsia="Calibri" w:hAnsi="Times New Roman"/>
                <w:i/>
                <w:iCs/>
                <w:lang w:eastAsia="en-US"/>
              </w:rP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03E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214EDA">
              <w:rPr>
                <w:rFonts w:ascii="Times New Roman" w:eastAsia="Calibri" w:hAnsi="Times New Roman"/>
                <w:i/>
                <w:iCs/>
                <w:lang w:eastAsia="en-US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A872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214EDA">
              <w:rPr>
                <w:rFonts w:ascii="Times New Roman" w:eastAsia="Calibri" w:hAnsi="Times New Roman"/>
                <w:i/>
                <w:iCs/>
                <w:lang w:eastAsia="en-US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E2CC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214EDA">
              <w:rPr>
                <w:rFonts w:ascii="Times New Roman" w:eastAsia="Calibri" w:hAnsi="Times New Roman"/>
                <w:i/>
                <w:iCs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8D9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 w:rsidRPr="00214EDA">
              <w:rPr>
                <w:rFonts w:ascii="Times New Roman" w:eastAsia="Calibri" w:hAnsi="Times New Roman"/>
                <w:i/>
                <w:iCs/>
                <w:lang w:eastAsia="en-US"/>
              </w:rPr>
              <w:t>5=3×4</w:t>
            </w:r>
          </w:p>
        </w:tc>
      </w:tr>
      <w:tr w:rsidR="00214EDA" w:rsidRPr="00214EDA" w14:paraId="44511E98" w14:textId="77777777" w:rsidTr="00C061C8">
        <w:trPr>
          <w:trHeight w:val="5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5084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61B" w14:textId="7E59D6BD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Leidinio/Brošiūros „Vaiko konstitucija“ spausdinimas </w:t>
            </w:r>
          </w:p>
        </w:tc>
      </w:tr>
      <w:tr w:rsidR="0081523F" w:rsidRPr="00214EDA" w14:paraId="552F080E" w14:textId="77777777" w:rsidTr="0081523F">
        <w:trPr>
          <w:trHeight w:val="28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7D50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CEF" w14:textId="7891EC8C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E4DD" w14:textId="527C7DA4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  <w:r w:rsidR="008152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39ADC89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0B3CF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D38BA47" w14:textId="77777777" w:rsidTr="0081523F">
        <w:trPr>
          <w:trHeight w:val="31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4A2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12A2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Anglų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B24" w14:textId="785FF0B5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8152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2B5932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109BA30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14EDA" w:rsidRPr="00214EDA" w14:paraId="7196D83C" w14:textId="77777777" w:rsidTr="00C061C8">
        <w:trPr>
          <w:trHeight w:val="45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EC91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80D" w14:textId="1F96286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Lankstinukas </w:t>
            </w:r>
            <w:r w:rsid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1</w:t>
            </w:r>
          </w:p>
        </w:tc>
      </w:tr>
      <w:tr w:rsidR="0081523F" w:rsidRPr="00214EDA" w14:paraId="5285013A" w14:textId="77777777" w:rsidTr="0081523F">
        <w:trPr>
          <w:trHeight w:val="37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27ADF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E57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DEF" w14:textId="77777777" w:rsidR="00214EDA" w:rsidRPr="00214EDA" w:rsidRDefault="00214EDA" w:rsidP="0081523F">
            <w:pPr>
              <w:spacing w:after="0" w:line="240" w:lineRule="auto"/>
              <w:ind w:left="-11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6314D41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C6D91F4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49BA5562" w14:textId="77777777" w:rsidTr="0081523F">
        <w:trPr>
          <w:trHeight w:val="42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E1C4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1EB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Anglų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CC8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FB51A8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1C766A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0998717" w14:textId="77777777" w:rsidTr="0081523F">
        <w:trPr>
          <w:trHeight w:val="40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7156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6D3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Rusų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A89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DF96A7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7611E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5EF81BFD" w14:textId="77777777" w:rsidTr="0081523F">
        <w:trPr>
          <w:trHeight w:val="424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B5C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67D" w14:textId="77777777" w:rsidR="00214EDA" w:rsidRPr="00214EDA" w:rsidRDefault="00214EDA" w:rsidP="0081523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Lenkų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32A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78398E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8DBF7E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14EDA" w:rsidRPr="00214EDA" w14:paraId="2CE885B9" w14:textId="77777777" w:rsidTr="00C061C8">
        <w:trPr>
          <w:trHeight w:val="5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33B" w14:textId="77777777" w:rsidR="00214EDA" w:rsidRPr="00214EDA" w:rsidRDefault="00214EDA" w:rsidP="00C302EF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4F8" w14:textId="261F2728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Lankstinukas </w:t>
            </w:r>
            <w:r w:rsid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2</w:t>
            </w:r>
          </w:p>
        </w:tc>
      </w:tr>
      <w:tr w:rsidR="0081523F" w:rsidRPr="00214EDA" w14:paraId="2D5A5B49" w14:textId="77777777" w:rsidTr="0081523F">
        <w:trPr>
          <w:trHeight w:val="42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EC5B3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669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F0A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5D0D95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DF01F1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44EBE480" w14:textId="77777777" w:rsidTr="0081523F">
        <w:trPr>
          <w:trHeight w:val="41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C619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155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Anglų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449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57B62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2F3FADD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3A3BFBBD" w14:textId="77777777" w:rsidTr="0081523F">
        <w:trPr>
          <w:trHeight w:val="407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D1C7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984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Rusų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59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2 300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44F54B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27193B2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611A731" w14:textId="77777777" w:rsidTr="0081523F">
        <w:trPr>
          <w:trHeight w:val="41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6F7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B62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Lenkų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DA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BCFF420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3D539A8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1C22F6A6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082" w14:textId="4A201203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E92" w14:textId="77777777" w:rsidR="00C302EF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Plakatas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1</w:t>
            </w:r>
          </w:p>
          <w:p w14:paraId="7733164D" w14:textId="37EA6CF1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Lietuvių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852" w14:textId="3762349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D9B7D6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E6E64EE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4DE77F8D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77F" w14:textId="33058770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1465" w14:textId="7629903A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Sveikinimo atviruk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as</w:t>
            </w: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EE9" w14:textId="338EF848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AFC32D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8DF69B8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25D64181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7C7" w14:textId="13C6F3BE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7EE3" w14:textId="77777777" w:rsidR="00C302EF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Plakatas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2</w:t>
            </w:r>
          </w:p>
          <w:p w14:paraId="58460BD0" w14:textId="4CEDB384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Lietuvių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0168" w14:textId="560C9BC1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6 000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C82BA43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30811D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09795F9C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873" w14:textId="2A5A1C9D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16634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387" w14:textId="5E08733F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Lipdukas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6B5" w14:textId="053A2B48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58D707A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20C02D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118B2293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814" w14:textId="79A3159E" w:rsidR="00C302EF" w:rsidRPr="0016634B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5637D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E71" w14:textId="008144B7" w:rsidR="00C302EF" w:rsidRPr="0016634B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637D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Leidinys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376" w14:textId="7A35CCC3" w:rsidR="00C302EF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244CA9C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41DAD38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35D6D47D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D932" w14:textId="193ACDDE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73E8C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270" w14:textId="7FF86D26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73E8C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Vizitinės kortelės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344" w14:textId="78805126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3194D13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CAEB807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7B7E1352" w14:textId="77777777" w:rsidTr="00C2567D">
        <w:trPr>
          <w:trHeight w:val="417"/>
        </w:trPr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8152" w14:textId="7E2318F8" w:rsidR="00C302EF" w:rsidRPr="00214EDA" w:rsidRDefault="00C302EF" w:rsidP="00C302EF">
            <w:pPr>
              <w:spacing w:after="0" w:line="240" w:lineRule="auto"/>
              <w:ind w:left="-11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PVM   (%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nurodo tiekėjas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0EFFF5" w14:textId="77777777" w:rsidR="00C302EF" w:rsidRPr="00214EDA" w:rsidRDefault="00C302EF" w:rsidP="00C302E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1BCD06D2" w14:textId="77777777" w:rsidTr="00C2567D">
        <w:trPr>
          <w:trHeight w:val="565"/>
        </w:trPr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2F45" w14:textId="0A6BDF65" w:rsidR="00C302EF" w:rsidRPr="00214EDA" w:rsidRDefault="00C302EF" w:rsidP="00C302EF">
            <w:pPr>
              <w:spacing w:after="0" w:line="240" w:lineRule="auto"/>
              <w:ind w:left="-110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>Bendra</w:t>
            </w:r>
            <w:r w:rsidR="0070628E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 xml:space="preserve"> paliginamoji</w:t>
            </w: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 xml:space="preserve"> pasiūlymo kaina Eur su PVM</w:t>
            </w: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AFA34EB" w14:textId="77777777" w:rsidR="00C302EF" w:rsidRPr="00214EDA" w:rsidRDefault="00C302EF" w:rsidP="00C302E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7D63F91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65B64839" w14:textId="79AB2C56" w:rsidR="00214EDA" w:rsidRDefault="006D0A9E" w:rsidP="00214EDA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*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Perkančioji organizacija </w:t>
      </w:r>
      <w:r w:rsidR="00214EDA" w:rsidRPr="00214EDA">
        <w:rPr>
          <w:rFonts w:ascii="Times New Roman" w:eastAsia="Calibri" w:hAnsi="Times New Roman"/>
          <w:b/>
          <w:sz w:val="24"/>
          <w:szCs w:val="24"/>
          <w:lang w:eastAsia="en-US"/>
        </w:rPr>
        <w:t>neįsipareigoja nupirkti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viso nurodyto paslaugų kiekio. 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>N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>urodomi preliminarūs kiekiai vienetais, kurie gali kisti, t.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y. </w:t>
      </w:r>
      <w:r w:rsidR="0040466F" w:rsidRPr="0040466F">
        <w:rPr>
          <w:rFonts w:ascii="Times New Roman" w:eastAsia="Calibri" w:hAnsi="Times New Roman"/>
          <w:b/>
          <w:sz w:val="24"/>
          <w:szCs w:val="24"/>
          <w:lang w:eastAsia="en-US"/>
        </w:rPr>
        <w:t>didėti arba mažėti.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Taip pat gali keistis kalbos, kuriomis reiks atspausdinti leidinius.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>Bendra pasiūlymo kaina skirta tik pasiūlymams palyginti ir įvertinti, sutarties vykdymo metu bus atsiskaitoma pagal faktiškai suteiktas paslaugas šiame pasiūlyme nurodytais paslaugų įkainiais.</w:t>
      </w:r>
    </w:p>
    <w:p w14:paraId="77779B88" w14:textId="7C2B851B" w:rsidR="00A9725B" w:rsidRPr="00A9725B" w:rsidRDefault="00A9725B" w:rsidP="00A30A0A">
      <w:pPr>
        <w:spacing w:after="0" w:line="240" w:lineRule="auto"/>
        <w:ind w:firstLine="567"/>
        <w:jc w:val="both"/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</w:pP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Į 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pasiūlymo kainą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tiekėjas 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turi įskaičiuoti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leidinių, brošiūrų, plakatų, lankstinukų, atvirukų,  lipdukų ir vizitinių kortelių 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pristatymo išlaidas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perkančiajai organizacijai Vilniuje</w:t>
      </w:r>
      <w:r w:rsidR="00A30A0A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Taip pat atspausdintas leidinys/brošiūra „Vaiko konstitucija“ (</w:t>
      </w:r>
      <w:r w:rsidR="00203069"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Preliminarūs paslaugų kiekiai</w:t>
      </w:r>
      <w:r w:rsidR="00203069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nurodyti 2 priedo „Spausdinimo paslaugų techninė specifikacija) 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>2.9.1</w:t>
      </w:r>
      <w:r w:rsidR="00203069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punkto 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Eil. Nr. 1) 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turės būti pristatomi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30A0A" w:rsidRPr="00A30A0A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t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iekėjo </w:t>
      </w:r>
      <w:r w:rsidRPr="00A9725B">
        <w:rPr>
          <w:rFonts w:ascii="Times New Roman" w:eastAsiaTheme="minorHAnsi" w:hAnsi="Times New Roman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sąskaita ir transportu</w:t>
      </w:r>
      <w:r w:rsidRPr="00A9725B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Pirkėjo užsakyme nurodytais adresais Alytuje, Marijampolėje, Kaune, Klaipėdoje, Šiauliuose, Tauragėje, Telšiuose, Utenoje ir Panevėžyje</w:t>
      </w:r>
      <w:r w:rsidR="00203069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). </w:t>
      </w:r>
    </w:p>
    <w:p w14:paraId="0BFB8625" w14:textId="77777777" w:rsidR="0040466F" w:rsidRPr="00214EDA" w:rsidRDefault="0040466F" w:rsidP="00214EDA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7B1B260" w14:textId="24CE2391" w:rsidR="00590BE2" w:rsidRPr="002F1BEC" w:rsidRDefault="00590BE2" w:rsidP="00404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6D0A9E">
        <w:rPr>
          <w:rFonts w:ascii="Times New Roman" w:hAnsi="Times New Roman"/>
          <w:sz w:val="24"/>
          <w:szCs w:val="24"/>
          <w:lang w:eastAsia="ar-SA"/>
        </w:rPr>
        <w:t>*</w:t>
      </w:r>
      <w:r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14:paraId="6714E1B1" w14:textId="77777777" w:rsidR="00590BE2" w:rsidRPr="002F1BEC" w:rsidRDefault="00590BE2" w:rsidP="00590BE2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272334D2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CAE16E3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DB0B798" w14:textId="77777777" w:rsidR="00590BE2" w:rsidRPr="007F17C8" w:rsidRDefault="00590BE2" w:rsidP="00590BE2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284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4F7FED60" w14:textId="77777777" w:rsidR="00590BE2" w:rsidRPr="007F17C8" w:rsidRDefault="00590BE2" w:rsidP="00590BE2">
      <w:pPr>
        <w:tabs>
          <w:tab w:val="left" w:pos="426"/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352C26">
        <w:rPr>
          <w:rFonts w:ascii="Times New Roman" w:eastAsia="Calibri" w:hAnsi="Times New Roman"/>
          <w:bCs/>
          <w:sz w:val="24"/>
          <w:szCs w:val="24"/>
        </w:rPr>
        <w:t>Tiekėjas patvirtina,</w:t>
      </w:r>
      <w:r w:rsidRPr="007F17C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F17C8">
        <w:rPr>
          <w:rFonts w:ascii="Times New Roman" w:eastAsia="Calibri" w:hAnsi="Times New Roman"/>
          <w:bCs/>
          <w:sz w:val="24"/>
          <w:szCs w:val="24"/>
        </w:rPr>
        <w:t>kad</w:t>
      </w:r>
      <w:r w:rsidRPr="007F17C8">
        <w:rPr>
          <w:rFonts w:ascii="Times New Roman" w:eastAsia="Calibri" w:hAnsi="Times New Roman"/>
          <w:sz w:val="24"/>
          <w:szCs w:val="24"/>
        </w:rPr>
        <w:t>:</w:t>
      </w:r>
    </w:p>
    <w:p w14:paraId="79C26DB0" w14:textId="77777777" w:rsidR="00590BE2" w:rsidRPr="00F94E10" w:rsidRDefault="00590BE2" w:rsidP="00590BE2">
      <w:pPr>
        <w:pStyle w:val="Sraopastraipa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J</w:t>
      </w:r>
      <w:r w:rsidRPr="00F94E10">
        <w:rPr>
          <w:rFonts w:ascii="Times New Roman" w:eastAsia="Calibri" w:hAnsi="Times New Roman"/>
          <w:b/>
          <w:sz w:val="24"/>
          <w:szCs w:val="24"/>
        </w:rPr>
        <w:t>o vadovaujama/atstovaujama organizacija (juridinis asmuo) neturi Lietuvos Respublikos viešųjų pirkimų įstatymo 46 straipsnio 21 dalyje nurodyto pašalinimo pagrindo: „21. Perkančioji organizacija pašalina tiekėją iš pirkimo procedūros, jeigu tiekėjas yra neatlikęs jam paskirtos baudžiamojo poveikio priemonės – uždraudimo juridiniam asmeniui dalyvauti viešuosiuose pirkimuose.“</w:t>
      </w:r>
    </w:p>
    <w:p w14:paraId="32F6F5C5" w14:textId="77777777" w:rsidR="00590BE2" w:rsidRPr="007F17C8" w:rsidRDefault="00590BE2" w:rsidP="00590BE2">
      <w:pPr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F17C8">
        <w:rPr>
          <w:rFonts w:ascii="Times New Roman" w:eastAsia="Calibri" w:hAnsi="Times New Roman"/>
          <w:bCs/>
          <w:sz w:val="24"/>
          <w:szCs w:val="24"/>
        </w:rPr>
        <w:t xml:space="preserve">Kaina (įkainis) nurodyta su visais mokesčiais, įskaitant PVM, bei visomis su </w:t>
      </w:r>
      <w:r>
        <w:rPr>
          <w:rFonts w:ascii="Times New Roman" w:eastAsia="Calibri" w:hAnsi="Times New Roman"/>
          <w:bCs/>
          <w:sz w:val="24"/>
          <w:szCs w:val="24"/>
        </w:rPr>
        <w:t xml:space="preserve">paslaugų </w:t>
      </w:r>
      <w:r w:rsidRPr="007F17C8">
        <w:rPr>
          <w:rFonts w:ascii="Times New Roman" w:eastAsia="Calibri" w:hAnsi="Times New Roman"/>
          <w:bCs/>
          <w:sz w:val="24"/>
          <w:szCs w:val="24"/>
        </w:rPr>
        <w:t>t</w:t>
      </w:r>
      <w:r>
        <w:rPr>
          <w:rFonts w:ascii="Times New Roman" w:eastAsia="Calibri" w:hAnsi="Times New Roman"/>
          <w:bCs/>
          <w:sz w:val="24"/>
          <w:szCs w:val="24"/>
        </w:rPr>
        <w:t>ei</w:t>
      </w:r>
      <w:r w:rsidRPr="007F17C8">
        <w:rPr>
          <w:rFonts w:ascii="Times New Roman" w:eastAsia="Calibri" w:hAnsi="Times New Roman"/>
          <w:bCs/>
          <w:sz w:val="24"/>
          <w:szCs w:val="24"/>
        </w:rPr>
        <w:t>kimu susijusios išlaidomis, galinčiomis turėti įtakos prekių kainai, įskaitant mokėjimo dokumentų pateikimo per „</w:t>
      </w:r>
      <w:r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Pr="007F17C8">
        <w:rPr>
          <w:rFonts w:ascii="Times New Roman" w:eastAsia="Calibri" w:hAnsi="Times New Roman"/>
          <w:bCs/>
          <w:sz w:val="24"/>
          <w:szCs w:val="24"/>
        </w:rPr>
        <w:t>“ kaštai.</w:t>
      </w:r>
    </w:p>
    <w:p w14:paraId="473F51B8" w14:textId="77777777" w:rsidR="00590BE2" w:rsidRPr="007F17C8" w:rsidRDefault="00590BE2" w:rsidP="00590BE2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rPr>
          <w:rFonts w:ascii="Times New Roman" w:eastAsia="Calibri" w:hAnsi="Times New Roman"/>
          <w:sz w:val="24"/>
          <w:szCs w:val="24"/>
        </w:rPr>
      </w:pPr>
      <w:r w:rsidRPr="007F17C8">
        <w:rPr>
          <w:rFonts w:ascii="Times New Roman" w:eastAsia="Calibri" w:hAnsi="Times New Roman"/>
          <w:sz w:val="24"/>
          <w:szCs w:val="24"/>
        </w:rPr>
        <w:t>Pasiūlymas galioja iki termino, nustatyto pirkimo dokumentuose.</w:t>
      </w:r>
    </w:p>
    <w:p w14:paraId="632EE0CD" w14:textId="77777777" w:rsidR="00590BE2" w:rsidRPr="007F17C8" w:rsidRDefault="00590BE2" w:rsidP="00590BE2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rPr>
          <w:rFonts w:ascii="Times New Roman" w:eastAsia="Calibri" w:hAnsi="Times New Roman"/>
          <w:bCs/>
          <w:sz w:val="24"/>
          <w:szCs w:val="24"/>
        </w:rPr>
      </w:pPr>
      <w:r w:rsidRPr="007F17C8">
        <w:rPr>
          <w:rFonts w:ascii="Times New Roman" w:hAnsi="Times New Roman"/>
          <w:bCs/>
          <w:sz w:val="24"/>
          <w:szCs w:val="24"/>
        </w:rPr>
        <w:t>Siūlomos prekės visiškai atitinka reikalavimus nurodytus pirkimo dokumentuose.</w:t>
      </w:r>
    </w:p>
    <w:p w14:paraId="1872F3F6" w14:textId="77777777" w:rsidR="00590BE2" w:rsidRPr="007F17C8" w:rsidRDefault="00590BE2" w:rsidP="00590BE2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7F17C8">
        <w:rPr>
          <w:rFonts w:ascii="Times New Roman" w:hAnsi="Times New Roman"/>
          <w:color w:val="000000"/>
          <w:spacing w:val="-4"/>
          <w:sz w:val="24"/>
          <w:szCs w:val="24"/>
        </w:rPr>
        <w:t>Dokumentų skaitmeninės</w:t>
      </w:r>
      <w:r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0D05F5E5" w14:textId="77777777" w:rsidR="00590BE2" w:rsidRDefault="00590BE2" w:rsidP="00590BE2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Sutinka, jog vadovaujantis Viešųjų pirkimų įstatymo 86 straipsnio 9 dalimi, laimėjimo atveju, CVP IS būtų paskelbtas pasiūlymas, sudaryta pirkimo sutartis ir jos pakeitimai (</w:t>
      </w:r>
      <w:r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Pr="007F17C8">
        <w:rPr>
          <w:rFonts w:ascii="Times New Roman" w:hAnsi="Times New Roman"/>
          <w:sz w:val="24"/>
          <w:szCs w:val="24"/>
        </w:rPr>
        <w:t>).</w:t>
      </w:r>
    </w:p>
    <w:p w14:paraId="38B6F748" w14:textId="77777777" w:rsidR="00590BE2" w:rsidRPr="007F17C8" w:rsidRDefault="00590BE2" w:rsidP="00590BE2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Sutinka </w:t>
      </w:r>
      <w:r w:rsidRPr="00352C26">
        <w:rPr>
          <w:rFonts w:ascii="Times New Roman" w:hAnsi="Times New Roman"/>
          <w:sz w:val="24"/>
          <w:szCs w:val="24"/>
        </w:rPr>
        <w:t>laikysis aplinkosauginių reikalavimų</w:t>
      </w:r>
      <w:r>
        <w:rPr>
          <w:rFonts w:ascii="Times New Roman" w:hAnsi="Times New Roman"/>
          <w:sz w:val="24"/>
          <w:szCs w:val="24"/>
        </w:rPr>
        <w:t>, nurodytu Pirkimo sąlygose.</w:t>
      </w:r>
    </w:p>
    <w:p w14:paraId="5E395B9F" w14:textId="77777777" w:rsidR="00590BE2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7CD421" w14:textId="77777777" w:rsidR="00590BE2" w:rsidRPr="007F17C8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590BE2" w:rsidRPr="00864BEB" w14:paraId="6871B832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C903" w14:textId="77777777" w:rsidR="00590BE2" w:rsidRDefault="00590BE2" w:rsidP="00C061C8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B463575" w14:textId="77777777" w:rsidR="00590BE2" w:rsidRPr="00864BEB" w:rsidRDefault="00590BE2" w:rsidP="00C061C8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9A47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684A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590BE2" w:rsidRPr="00864BEB" w14:paraId="43BE68E4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43C8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5E5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DF3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2" w:rsidRPr="00864BEB" w14:paraId="16FF4601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3B5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1A3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FDD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2D47FD" w14:textId="77777777" w:rsidR="00590BE2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2FA006" w14:textId="13373E55" w:rsidR="00590BE2" w:rsidRPr="00A86381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D0A9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590BE2" w:rsidRPr="00864BEB" w14:paraId="4DC2DBE6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F93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497C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0725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590BE2" w:rsidRPr="00864BEB" w14:paraId="6D429D1C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F01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B25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5DB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2" w:rsidRPr="00864BEB" w14:paraId="0B414C7B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11C" w14:textId="77777777" w:rsidR="00590BE2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56B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FF8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FC6ED" w14:textId="495EEF63" w:rsidR="00590BE2" w:rsidRDefault="00590BE2" w:rsidP="00590BE2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="006D0A9E"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551F4D6F" w14:textId="77777777" w:rsidR="00590BE2" w:rsidRDefault="00590BE2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CEA8546" w14:textId="77777777" w:rsidR="00590BE2" w:rsidRDefault="00590BE2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5C021B8" w14:textId="77777777" w:rsidR="00980955" w:rsidRDefault="00980955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C07A220" w14:textId="77777777" w:rsidR="00590BE2" w:rsidRPr="00A86381" w:rsidRDefault="00590BE2" w:rsidP="00590BE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0BE37B59" w14:textId="77777777" w:rsidR="00590BE2" w:rsidRPr="00864BEB" w:rsidRDefault="00590BE2" w:rsidP="0059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30FFB104" w14:textId="77777777" w:rsidR="00590BE2" w:rsidRDefault="00590BE2" w:rsidP="0059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p w14:paraId="7736FF1C" w14:textId="77777777" w:rsidR="003F55E8" w:rsidRDefault="003F55E8" w:rsidP="00590BE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C36BC52" w14:textId="704737DD" w:rsidR="00590BE2" w:rsidRPr="00060580" w:rsidRDefault="00590BE2" w:rsidP="00590BE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0580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p w14:paraId="3AE375C6" w14:textId="77777777" w:rsidR="00590BE2" w:rsidRDefault="00590BE2" w:rsidP="00590BE2"/>
    <w:p w14:paraId="742E5D98" w14:textId="77777777" w:rsidR="00590BE2" w:rsidRDefault="00590BE2"/>
    <w:sectPr w:rsidR="00590BE2" w:rsidSect="00590BE2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60BB" w14:textId="77777777" w:rsidR="00427391" w:rsidRDefault="00427391" w:rsidP="00590BE2">
      <w:pPr>
        <w:spacing w:after="0" w:line="240" w:lineRule="auto"/>
      </w:pPr>
      <w:r>
        <w:separator/>
      </w:r>
    </w:p>
  </w:endnote>
  <w:endnote w:type="continuationSeparator" w:id="0">
    <w:p w14:paraId="721CEF15" w14:textId="77777777" w:rsidR="00427391" w:rsidRDefault="00427391" w:rsidP="005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F49B" w14:textId="77777777" w:rsidR="00427391" w:rsidRDefault="00427391" w:rsidP="00590BE2">
      <w:pPr>
        <w:spacing w:after="0" w:line="240" w:lineRule="auto"/>
      </w:pPr>
      <w:r>
        <w:separator/>
      </w:r>
    </w:p>
  </w:footnote>
  <w:footnote w:type="continuationSeparator" w:id="0">
    <w:p w14:paraId="0C31C960" w14:textId="77777777" w:rsidR="00427391" w:rsidRDefault="00427391" w:rsidP="00590BE2">
      <w:pPr>
        <w:spacing w:after="0" w:line="240" w:lineRule="auto"/>
      </w:pPr>
      <w:r>
        <w:continuationSeparator/>
      </w:r>
    </w:p>
  </w:footnote>
  <w:footnote w:id="1">
    <w:p w14:paraId="4329FA8E" w14:textId="77777777" w:rsidR="00590BE2" w:rsidRDefault="00590BE2" w:rsidP="00590BE2">
      <w:pPr>
        <w:pStyle w:val="Puslapioinaostekstas"/>
        <w:rPr>
          <w:lang w:val="lt-LT"/>
        </w:rPr>
      </w:pPr>
      <w:r>
        <w:rPr>
          <w:rStyle w:val="Puslapioinaosnuoroda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C08A19A0"/>
    <w:lvl w:ilvl="0" w:tplc="829285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E2"/>
    <w:rsid w:val="000700DA"/>
    <w:rsid w:val="000C6201"/>
    <w:rsid w:val="0016634B"/>
    <w:rsid w:val="0018422D"/>
    <w:rsid w:val="00203069"/>
    <w:rsid w:val="00214EDA"/>
    <w:rsid w:val="00273E8C"/>
    <w:rsid w:val="003F55E8"/>
    <w:rsid w:val="0040466F"/>
    <w:rsid w:val="00427391"/>
    <w:rsid w:val="00525533"/>
    <w:rsid w:val="005637DB"/>
    <w:rsid w:val="00576627"/>
    <w:rsid w:val="00590BE2"/>
    <w:rsid w:val="006974F6"/>
    <w:rsid w:val="006D0A9E"/>
    <w:rsid w:val="0070628E"/>
    <w:rsid w:val="00746D48"/>
    <w:rsid w:val="0081523F"/>
    <w:rsid w:val="008241EB"/>
    <w:rsid w:val="00841D59"/>
    <w:rsid w:val="00980955"/>
    <w:rsid w:val="00A30A0A"/>
    <w:rsid w:val="00A9725B"/>
    <w:rsid w:val="00B95621"/>
    <w:rsid w:val="00C2567D"/>
    <w:rsid w:val="00C302EF"/>
    <w:rsid w:val="00C538EA"/>
    <w:rsid w:val="00C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762"/>
  <w15:chartTrackingRefBased/>
  <w15:docId w15:val="{EF1851BD-27F8-46B9-ADA7-D160398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BE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0B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0B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0B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0B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0B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0B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0BE2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prastasis"/>
    <w:link w:val="SraopastraipaDiagrama"/>
    <w:uiPriority w:val="99"/>
    <w:qFormat/>
    <w:rsid w:val="00590B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0B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0B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0BE2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90BE2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90B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semiHidden/>
    <w:unhideWhenUsed/>
    <w:rsid w:val="00590BE2"/>
    <w:rPr>
      <w:vertAlign w:val="superscript"/>
    </w:rPr>
  </w:style>
  <w:style w:type="table" w:customStyle="1" w:styleId="Lentelstinklelis1">
    <w:name w:val="Lentelės tinklelis1"/>
    <w:basedOn w:val="prastojilentel"/>
    <w:uiPriority w:val="59"/>
    <w:rsid w:val="00590BE2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99"/>
    <w:locked/>
    <w:rsid w:val="00590BE2"/>
  </w:style>
  <w:style w:type="character" w:customStyle="1" w:styleId="normaltextrun">
    <w:name w:val="normaltextrun"/>
    <w:basedOn w:val="Numatytasispastraiposriftas"/>
    <w:rsid w:val="0059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Regina Greičienė</cp:lastModifiedBy>
  <cp:revision>22</cp:revision>
  <dcterms:created xsi:type="dcterms:W3CDTF">2025-05-30T06:44:00Z</dcterms:created>
  <dcterms:modified xsi:type="dcterms:W3CDTF">2025-06-04T08:14:00Z</dcterms:modified>
</cp:coreProperties>
</file>