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6AE97501"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15228022"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0D2427">
              <w:rPr>
                <w:rFonts w:ascii="Arial" w:hAnsi="Arial" w:cs="Arial"/>
              </w:rPr>
              <w:t xml:space="preserve"> -2025 MP-III pirkimas- kiekiai-vertės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lastRenderedPageBreak/>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w:t>
            </w:r>
            <w:r w:rsidRPr="00CC3D53">
              <w:rPr>
                <w:rFonts w:ascii="Arial" w:hAnsi="Arial" w:cs="Arial"/>
              </w:rPr>
              <w:lastRenderedPageBreak/>
              <w:t>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lastRenderedPageBreak/>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lastRenderedPageBreak/>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lastRenderedPageBreak/>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167D2BCD" w14:textId="224874D1" w:rsidR="00C73E6A" w:rsidRPr="00913399" w:rsidRDefault="00D02483" w:rsidP="00C73E6A">
      <w:pPr>
        <w:tabs>
          <w:tab w:val="left" w:pos="3686"/>
        </w:tabs>
        <w:spacing w:after="0" w:line="240" w:lineRule="auto"/>
        <w:jc w:val="both"/>
        <w:rPr>
          <w:rFonts w:ascii="Arial" w:hAnsi="Arial" w:cs="Arial"/>
          <w:b/>
          <w:bCs/>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FA4A57">
        <w:rPr>
          <w:rFonts w:ascii="Arial" w:hAnsi="Arial" w:cs="Arial"/>
        </w:rPr>
        <w:t>;</w:t>
      </w:r>
      <w:r w:rsidR="00FA4A57" w:rsidRPr="00FA4A57">
        <w:rPr>
          <w:rFonts w:ascii="Arial" w:hAnsi="Arial" w:cs="Arial"/>
        </w:rPr>
        <w:t xml:space="preserve"> sodinant kalninę pušį su žemės gumulu, atnešant ją į sodinimo vietą iki 300 metrų atstumu ir iškasant duobę ( Kuršių Nerijoje) – 2,35; </w:t>
      </w:r>
      <w:r w:rsidR="00C73E6A" w:rsidRPr="00913399">
        <w:rPr>
          <w:rFonts w:ascii="Arial" w:hAnsi="Arial" w:cs="Arial"/>
          <w:b/>
          <w:bCs/>
        </w:rPr>
        <w:t>; sodinant kalninę pušį su žemės gumulu, atnešant ją į sodinimo vietą iki 300 metrų atstumu ir iškasant duobę ( Kuršių Nerijoje) – 2,35; sodinant kalninę pušį su žemės gumulu, atnešant ją į sodinimo vietą daugiau nei 300 metrų atstumu ir iškasant duobę ( Kuršių Nerijoje) – 3,5.</w:t>
      </w:r>
    </w:p>
    <w:p w14:paraId="42805369" w14:textId="67AB810A" w:rsidR="00D02483" w:rsidRPr="007358FE" w:rsidRDefault="00D02483" w:rsidP="00D02483">
      <w:pPr>
        <w:tabs>
          <w:tab w:val="left" w:pos="3686"/>
        </w:tabs>
        <w:spacing w:after="0" w:line="240" w:lineRule="auto"/>
        <w:jc w:val="both"/>
        <w:rPr>
          <w:rFonts w:ascii="Arial" w:hAnsi="Arial" w:cs="Arial"/>
        </w:rPr>
      </w:pP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0D4E5B8E" w14:textId="77777777" w:rsidR="00FA4A57" w:rsidRPr="00913399" w:rsidRDefault="00D02483" w:rsidP="00FA4A57">
      <w:pPr>
        <w:tabs>
          <w:tab w:val="left" w:pos="3686"/>
        </w:tabs>
        <w:spacing w:after="0" w:line="240" w:lineRule="auto"/>
        <w:jc w:val="both"/>
        <w:rPr>
          <w:rFonts w:ascii="Arial" w:hAnsi="Arial" w:cs="Arial"/>
          <w:b/>
          <w:bCs/>
        </w:rPr>
      </w:pPr>
      <w:r w:rsidRPr="007358FE">
        <w:rPr>
          <w:rFonts w:ascii="Arial" w:hAnsi="Arial" w:cs="Arial"/>
          <w:b/>
          <w:bCs/>
        </w:rPr>
        <w:lastRenderedPageBreak/>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sodmenis – 0,9</w:t>
      </w:r>
      <w:r w:rsidRPr="00913399">
        <w:rPr>
          <w:rFonts w:ascii="Arial" w:hAnsi="Arial" w:cs="Arial"/>
        </w:rPr>
        <w:t xml:space="preserve">;  </w:t>
      </w:r>
      <w:r w:rsidR="00FA4A57" w:rsidRPr="00913399">
        <w:rPr>
          <w:rFonts w:ascii="Arial" w:hAnsi="Arial" w:cs="Arial"/>
          <w:b/>
          <w:bCs/>
        </w:rPr>
        <w:t>sodinant kalninę pušį su žemės gumulu, atnešant ją į sodinimo vietą ir iškasant duobę ( Kuršių Nerijoje) – 3,6.</w:t>
      </w:r>
    </w:p>
    <w:p w14:paraId="3D02FD3F" w14:textId="121B11A2" w:rsidR="00D02483" w:rsidRPr="007358FE" w:rsidRDefault="00D02483" w:rsidP="00D02483">
      <w:pPr>
        <w:tabs>
          <w:tab w:val="left" w:pos="3686"/>
        </w:tabs>
        <w:spacing w:after="0" w:line="240" w:lineRule="auto"/>
        <w:jc w:val="both"/>
        <w:rPr>
          <w:rFonts w:ascii="Arial" w:hAnsi="Arial" w:cs="Arial"/>
        </w:rPr>
      </w:pP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lastRenderedPageBreak/>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lastRenderedPageBreak/>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6E79E16" w:rsidR="00D01413" w:rsidRDefault="000D2427" w:rsidP="00D01413">
      <w:pPr>
        <w:rPr>
          <w:rFonts w:ascii="Arial" w:hAnsi="Arial" w:cs="Arial"/>
        </w:rPr>
      </w:pPr>
      <w:r>
        <w:rPr>
          <w:rFonts w:ascii="Arial" w:hAnsi="Arial" w:cs="Arial"/>
        </w:rPr>
        <w:t xml:space="preserve">      </w:t>
      </w:r>
    </w:p>
    <w:p w14:paraId="35151EC8" w14:textId="38C1A66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priedas-2025 MP-III pirkimas- kiekiai-vertės</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C771" w14:textId="77777777" w:rsidR="002E0D95" w:rsidRDefault="002E0D95" w:rsidP="008624E3">
      <w:pPr>
        <w:spacing w:after="0" w:line="240" w:lineRule="auto"/>
      </w:pPr>
      <w:r>
        <w:separator/>
      </w:r>
    </w:p>
  </w:endnote>
  <w:endnote w:type="continuationSeparator" w:id="0">
    <w:p w14:paraId="4DAC57A8" w14:textId="77777777" w:rsidR="002E0D95" w:rsidRDefault="002E0D95" w:rsidP="008624E3">
      <w:pPr>
        <w:spacing w:after="0" w:line="240" w:lineRule="auto"/>
      </w:pPr>
      <w:r>
        <w:continuationSeparator/>
      </w:r>
    </w:p>
  </w:endnote>
  <w:endnote w:type="continuationNotice" w:id="1">
    <w:p w14:paraId="41B7F3CB" w14:textId="77777777" w:rsidR="002E0D95" w:rsidRDefault="002E0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7B3F" w14:textId="77777777" w:rsidR="002E0D95" w:rsidRDefault="002E0D95" w:rsidP="008624E3">
      <w:pPr>
        <w:spacing w:after="0" w:line="240" w:lineRule="auto"/>
      </w:pPr>
      <w:r>
        <w:separator/>
      </w:r>
    </w:p>
  </w:footnote>
  <w:footnote w:type="continuationSeparator" w:id="0">
    <w:p w14:paraId="40109F76" w14:textId="77777777" w:rsidR="002E0D95" w:rsidRDefault="002E0D95" w:rsidP="008624E3">
      <w:pPr>
        <w:spacing w:after="0" w:line="240" w:lineRule="auto"/>
      </w:pPr>
      <w:r>
        <w:continuationSeparator/>
      </w:r>
    </w:p>
  </w:footnote>
  <w:footnote w:type="continuationNotice" w:id="1">
    <w:p w14:paraId="308054B2" w14:textId="77777777" w:rsidR="002E0D95" w:rsidRDefault="002E0D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5E14"/>
    <w:rsid w:val="000C643C"/>
    <w:rsid w:val="000C661D"/>
    <w:rsid w:val="000C725D"/>
    <w:rsid w:val="000C7B84"/>
    <w:rsid w:val="000C7CFB"/>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0D95"/>
    <w:rsid w:val="002E3FAC"/>
    <w:rsid w:val="002E43FA"/>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3616"/>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5EFA"/>
    <w:rsid w:val="007F68DA"/>
    <w:rsid w:val="007F7B87"/>
    <w:rsid w:val="00804C71"/>
    <w:rsid w:val="00806379"/>
    <w:rsid w:val="00806EDA"/>
    <w:rsid w:val="00812119"/>
    <w:rsid w:val="008130A6"/>
    <w:rsid w:val="00813494"/>
    <w:rsid w:val="00817052"/>
    <w:rsid w:val="00820A36"/>
    <w:rsid w:val="00821E8B"/>
    <w:rsid w:val="0082279B"/>
    <w:rsid w:val="008233B1"/>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17C3"/>
    <w:rsid w:val="009123E7"/>
    <w:rsid w:val="00913399"/>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396C"/>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427"/>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4381"/>
    <w:rsid w:val="00C65EBD"/>
    <w:rsid w:val="00C7003C"/>
    <w:rsid w:val="00C70ECD"/>
    <w:rsid w:val="00C71C81"/>
    <w:rsid w:val="00C72014"/>
    <w:rsid w:val="00C7230E"/>
    <w:rsid w:val="00C723F4"/>
    <w:rsid w:val="00C725F6"/>
    <w:rsid w:val="00C73E6A"/>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A57"/>
    <w:rsid w:val="00FA4DB8"/>
    <w:rsid w:val="00FA5234"/>
    <w:rsid w:val="00FA623E"/>
    <w:rsid w:val="00FA7F6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27B09"/>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5B3616"/>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56A8"/>
    <w:rsid w:val="00AA5427"/>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36A8"/>
    <w:rsid w:val="00C441F4"/>
    <w:rsid w:val="00C47F33"/>
    <w:rsid w:val="00C5703C"/>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35235</Words>
  <Characters>20085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cp:lastPrinted>2021-11-25T10:11:00Z</cp:lastPrinted>
  <dcterms:created xsi:type="dcterms:W3CDTF">2025-06-04T08:06:00Z</dcterms:created>
  <dcterms:modified xsi:type="dcterms:W3CDTF">2025-06-04T08:06:00Z</dcterms:modified>
</cp:coreProperties>
</file>