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8361" w14:textId="77777777" w:rsidR="0093143B" w:rsidRPr="0093143B" w:rsidRDefault="0093143B" w:rsidP="0093143B">
      <w:pPr>
        <w:spacing w:line="240" w:lineRule="auto"/>
        <w:contextualSpacing/>
        <w:jc w:val="right"/>
        <w:rPr>
          <w:rFonts w:ascii="Times New Roman" w:hAnsi="Times New Roman"/>
          <w:bCs/>
          <w:i/>
          <w:iCs/>
          <w:color w:val="0070C0"/>
          <w:sz w:val="24"/>
          <w:szCs w:val="24"/>
        </w:rPr>
      </w:pPr>
      <w:bookmarkStart w:id="0" w:name="_Toc126333939"/>
      <w:r w:rsidRPr="0093143B">
        <w:rPr>
          <w:rFonts w:ascii="Times New Roman" w:hAnsi="Times New Roman"/>
          <w:bCs/>
          <w:i/>
          <w:iCs/>
          <w:color w:val="0070C0"/>
          <w:sz w:val="24"/>
          <w:szCs w:val="24"/>
        </w:rPr>
        <w:t xml:space="preserve">Specialiųjų pirkimo sąlygų </w:t>
      </w:r>
      <w:r w:rsidRPr="0093143B">
        <w:rPr>
          <w:rFonts w:ascii="Times New Roman" w:hAnsi="Times New Roman"/>
          <w:bCs/>
          <w:i/>
          <w:iCs/>
          <w:color w:val="0070C0"/>
          <w:sz w:val="24"/>
          <w:szCs w:val="24"/>
        </w:rPr>
        <w:t>2</w:t>
      </w:r>
      <w:r w:rsidRPr="0093143B">
        <w:rPr>
          <w:rFonts w:ascii="Times New Roman" w:hAnsi="Times New Roman"/>
          <w:bCs/>
          <w:i/>
          <w:iCs/>
          <w:color w:val="0070C0"/>
          <w:sz w:val="24"/>
          <w:szCs w:val="24"/>
        </w:rPr>
        <w:t xml:space="preserve"> priedas </w:t>
      </w:r>
    </w:p>
    <w:p w14:paraId="42A315F1" w14:textId="31F0164E" w:rsidR="0093143B" w:rsidRPr="0093143B" w:rsidRDefault="0093143B" w:rsidP="0093143B">
      <w:pPr>
        <w:spacing w:line="240" w:lineRule="auto"/>
        <w:contextualSpacing/>
        <w:jc w:val="right"/>
        <w:rPr>
          <w:rFonts w:ascii="Times New Roman" w:hAnsi="Times New Roman"/>
          <w:bCs/>
          <w:i/>
          <w:iCs/>
          <w:color w:val="0070C0"/>
          <w:sz w:val="24"/>
          <w:szCs w:val="24"/>
        </w:rPr>
      </w:pPr>
      <w:r w:rsidRPr="0093143B">
        <w:rPr>
          <w:rFonts w:ascii="Times New Roman" w:hAnsi="Times New Roman"/>
          <w:bCs/>
          <w:i/>
          <w:iCs/>
          <w:color w:val="0070C0"/>
          <w:sz w:val="24"/>
          <w:szCs w:val="24"/>
        </w:rPr>
        <w:t>„Te</w:t>
      </w:r>
      <w:r w:rsidRPr="0093143B">
        <w:rPr>
          <w:rFonts w:ascii="Times New Roman" w:hAnsi="Times New Roman"/>
          <w:bCs/>
          <w:i/>
          <w:iCs/>
          <w:color w:val="0070C0"/>
          <w:sz w:val="24"/>
          <w:szCs w:val="24"/>
        </w:rPr>
        <w:t>chninė specifikacija</w:t>
      </w:r>
      <w:r w:rsidRPr="0093143B">
        <w:rPr>
          <w:rFonts w:ascii="Times New Roman" w:hAnsi="Times New Roman"/>
          <w:bCs/>
          <w:i/>
          <w:iCs/>
          <w:color w:val="0070C0"/>
          <w:sz w:val="24"/>
          <w:szCs w:val="24"/>
        </w:rPr>
        <w:t>“</w:t>
      </w:r>
      <w:bookmarkEnd w:id="0"/>
    </w:p>
    <w:p w14:paraId="0FAFE452" w14:textId="77777777" w:rsidR="0093143B" w:rsidRDefault="0093143B" w:rsidP="001F1927">
      <w:pPr>
        <w:spacing w:line="240" w:lineRule="auto"/>
        <w:ind w:firstLine="6521"/>
        <w:contextualSpacing/>
        <w:rPr>
          <w:rFonts w:ascii="Times New Roman" w:hAnsi="Times New Roman"/>
          <w:bCs/>
          <w:sz w:val="24"/>
          <w:szCs w:val="24"/>
        </w:rPr>
      </w:pPr>
    </w:p>
    <w:p w14:paraId="270D4565" w14:textId="02ABB0F2" w:rsidR="000133AA" w:rsidRPr="00280D87" w:rsidRDefault="000133AA" w:rsidP="001F1927">
      <w:pPr>
        <w:spacing w:line="240" w:lineRule="auto"/>
        <w:ind w:firstLine="6521"/>
        <w:contextualSpacing/>
        <w:rPr>
          <w:rFonts w:ascii="Times New Roman" w:hAnsi="Times New Roman"/>
          <w:bCs/>
          <w:sz w:val="24"/>
          <w:szCs w:val="24"/>
        </w:rPr>
      </w:pPr>
      <w:r w:rsidRPr="00280D87">
        <w:rPr>
          <w:rFonts w:ascii="Times New Roman" w:hAnsi="Times New Roman"/>
          <w:bCs/>
          <w:sz w:val="24"/>
          <w:szCs w:val="24"/>
        </w:rPr>
        <w:t>TVIRTINU</w:t>
      </w:r>
    </w:p>
    <w:p w14:paraId="432BEE10" w14:textId="00F9D290" w:rsidR="00280D87" w:rsidRPr="00280D87" w:rsidRDefault="00280D87" w:rsidP="001F1927">
      <w:pPr>
        <w:spacing w:line="240" w:lineRule="auto"/>
        <w:ind w:firstLine="6521"/>
        <w:contextualSpacing/>
        <w:rPr>
          <w:rFonts w:ascii="Times New Roman" w:hAnsi="Times New Roman"/>
          <w:bCs/>
          <w:sz w:val="24"/>
          <w:szCs w:val="24"/>
        </w:rPr>
      </w:pPr>
      <w:r w:rsidRPr="00280D87">
        <w:rPr>
          <w:rFonts w:ascii="Times New Roman" w:hAnsi="Times New Roman"/>
          <w:bCs/>
          <w:sz w:val="24"/>
          <w:szCs w:val="24"/>
        </w:rPr>
        <w:t xml:space="preserve">Visagino savivaldybės </w:t>
      </w:r>
    </w:p>
    <w:p w14:paraId="0758A266" w14:textId="77777777" w:rsidR="000133AA" w:rsidRPr="00280D87" w:rsidRDefault="00280D87" w:rsidP="004375E4">
      <w:pPr>
        <w:spacing w:line="240" w:lineRule="auto"/>
        <w:ind w:left="5184" w:firstLine="1296"/>
        <w:contextualSpacing/>
        <w:rPr>
          <w:rFonts w:ascii="Times New Roman" w:hAnsi="Times New Roman"/>
          <w:bCs/>
          <w:sz w:val="24"/>
          <w:szCs w:val="24"/>
        </w:rPr>
      </w:pPr>
      <w:r w:rsidRPr="00280D87">
        <w:rPr>
          <w:rFonts w:ascii="Times New Roman" w:hAnsi="Times New Roman"/>
          <w:bCs/>
          <w:sz w:val="24"/>
          <w:szCs w:val="24"/>
        </w:rPr>
        <w:t>administracijos direktorius</w:t>
      </w:r>
    </w:p>
    <w:p w14:paraId="59BE9734" w14:textId="312D5E5C" w:rsidR="009D5E3F" w:rsidRPr="0093143B" w:rsidRDefault="00280D87" w:rsidP="0093143B">
      <w:pPr>
        <w:spacing w:line="240" w:lineRule="auto"/>
        <w:ind w:firstLine="652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Virginijus Andrius Bukauskas</w:t>
      </w:r>
    </w:p>
    <w:p w14:paraId="671D8CB2" w14:textId="77777777" w:rsidR="00CE63BD" w:rsidRDefault="00CE63BD" w:rsidP="000133A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7FBB99A7" w14:textId="77777777" w:rsidR="003946F7" w:rsidRDefault="003946F7" w:rsidP="000133A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5B028DDB" w14:textId="77777777" w:rsidR="000133AA" w:rsidRDefault="006F529B" w:rsidP="000133A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NEKILNOJAMOJO TURTO KADASTRINIŲ MATAVIMŲ PASLAUGŲ PIRKIMO TECHNINĖ SPECIFIKACIJA</w:t>
      </w:r>
    </w:p>
    <w:p w14:paraId="374F8C4B" w14:textId="77777777" w:rsidR="006861E6" w:rsidRDefault="006861E6" w:rsidP="000133A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FAD6FFE" w14:textId="77777777" w:rsidR="001F1927" w:rsidRDefault="001F1927" w:rsidP="000133A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17829D1" w14:textId="2A67AA39" w:rsidR="001F1927" w:rsidRDefault="003F59E5" w:rsidP="00AF6FDE">
      <w:pPr>
        <w:widowControl w:val="0"/>
        <w:tabs>
          <w:tab w:val="left" w:pos="450"/>
        </w:tabs>
        <w:autoSpaceDE w:val="0"/>
        <w:spacing w:line="240" w:lineRule="auto"/>
        <w:ind w:firstLine="1166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</w:pPr>
      <w:r w:rsidRPr="003F59E5">
        <w:rPr>
          <w:rFonts w:ascii="Times New Roman" w:hAnsi="Times New Roman"/>
          <w:bCs/>
          <w:sz w:val="24"/>
          <w:szCs w:val="24"/>
        </w:rPr>
        <w:t>1.</w:t>
      </w:r>
      <w:r w:rsidRPr="00AF6FDE">
        <w:rPr>
          <w:rFonts w:ascii="Times New Roman" w:hAnsi="Times New Roman"/>
          <w:bCs/>
          <w:sz w:val="24"/>
          <w:szCs w:val="24"/>
        </w:rPr>
        <w:t xml:space="preserve"> </w:t>
      </w:r>
      <w:r w:rsidR="00860D4F">
        <w:rPr>
          <w:rFonts w:ascii="Times New Roman" w:hAnsi="Times New Roman"/>
          <w:b/>
          <w:sz w:val="24"/>
          <w:szCs w:val="24"/>
        </w:rPr>
        <w:t>P</w:t>
      </w:r>
      <w:r w:rsidRPr="003F59E5">
        <w:rPr>
          <w:rFonts w:ascii="Times New Roman" w:hAnsi="Times New Roman"/>
          <w:b/>
          <w:sz w:val="24"/>
          <w:szCs w:val="24"/>
        </w:rPr>
        <w:t>erkančioji organizacija</w:t>
      </w:r>
      <w:r w:rsidRPr="00E40C49">
        <w:rPr>
          <w:rFonts w:ascii="Times New Roman" w:hAnsi="Times New Roman"/>
          <w:bCs/>
          <w:sz w:val="24"/>
          <w:szCs w:val="24"/>
        </w:rPr>
        <w:t xml:space="preserve"> </w:t>
      </w:r>
      <w:r w:rsidRPr="003F59E5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>–</w:t>
      </w:r>
      <w:r w:rsidR="00E277C9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 xml:space="preserve"> </w:t>
      </w:r>
      <w:r w:rsidRPr="003F59E5">
        <w:rPr>
          <w:rFonts w:ascii="Times New Roman" w:hAnsi="Times New Roman"/>
          <w:kern w:val="1"/>
          <w:sz w:val="24"/>
          <w:szCs w:val="24"/>
          <w:lang w:eastAsia="lo-LA" w:bidi="lo-LA"/>
        </w:rPr>
        <w:t>Visagino savivaldybės administracija, kodas</w:t>
      </w:r>
      <w:r w:rsidRPr="003F59E5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 xml:space="preserve"> </w:t>
      </w:r>
      <w:r w:rsidRPr="003F59E5">
        <w:rPr>
          <w:rFonts w:ascii="Times New Roman" w:hAnsi="Times New Roman"/>
          <w:iCs/>
          <w:sz w:val="24"/>
          <w:szCs w:val="24"/>
          <w:shd w:val="clear" w:color="auto" w:fill="FFFFFF"/>
          <w:lang w:eastAsia="lo-LA" w:bidi="lo-LA"/>
        </w:rPr>
        <w:t>188711925, Parko g. 14, 31140 Visaginas,</w:t>
      </w:r>
      <w:r w:rsidR="0023465D">
        <w:rPr>
          <w:rFonts w:ascii="Times New Roman" w:hAnsi="Times New Roman"/>
          <w:iCs/>
          <w:sz w:val="24"/>
          <w:szCs w:val="24"/>
          <w:shd w:val="clear" w:color="auto" w:fill="FFFFFF"/>
          <w:lang w:eastAsia="lo-LA" w:bidi="lo-LA"/>
        </w:rPr>
        <w:t xml:space="preserve"> </w:t>
      </w:r>
      <w:r w:rsidR="001F1927" w:rsidRPr="001F1927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 xml:space="preserve">atsiskaitomoji sąskaita Nr. LT957300010042144361, AB Swedbank, 73000, tel. +370 386 31 551, el. paštas </w:t>
      </w:r>
      <w:hyperlink r:id="rId6" w:history="1">
        <w:r w:rsidR="001F1927" w:rsidRPr="006861E6">
          <w:rPr>
            <w:rStyle w:val="Hipersaitas"/>
            <w:rFonts w:ascii="Times New Roman" w:hAnsi="Times New Roman"/>
            <w:color w:val="auto"/>
            <w:sz w:val="24"/>
            <w:szCs w:val="24"/>
            <w:shd w:val="clear" w:color="auto" w:fill="FFFFFF"/>
            <w:lang w:eastAsia="lo-LA" w:bidi="lo-LA"/>
          </w:rPr>
          <w:t>visaginas@visaginas.lt</w:t>
        </w:r>
      </w:hyperlink>
      <w:r w:rsidR="001F1927" w:rsidRPr="001F1927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>.</w:t>
      </w:r>
    </w:p>
    <w:p w14:paraId="2B0EE90A" w14:textId="3137DF43" w:rsidR="003D2865" w:rsidRDefault="003F59E5" w:rsidP="00AF6FDE">
      <w:pPr>
        <w:widowControl w:val="0"/>
        <w:tabs>
          <w:tab w:val="left" w:pos="450"/>
        </w:tabs>
        <w:autoSpaceDE w:val="0"/>
        <w:spacing w:line="240" w:lineRule="auto"/>
        <w:ind w:firstLine="116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E277C9" w:rsidRPr="00115B3B">
        <w:rPr>
          <w:rFonts w:ascii="Times New Roman" w:hAnsi="Times New Roman"/>
          <w:b/>
          <w:sz w:val="24"/>
          <w:szCs w:val="24"/>
        </w:rPr>
        <w:t>Pirkimo objektas</w:t>
      </w:r>
      <w:r w:rsidR="00E277C9" w:rsidRPr="00E40C49">
        <w:rPr>
          <w:rFonts w:ascii="Times New Roman" w:hAnsi="Times New Roman"/>
          <w:bCs/>
          <w:sz w:val="24"/>
          <w:szCs w:val="24"/>
        </w:rPr>
        <w:t xml:space="preserve"> </w:t>
      </w:r>
      <w:r w:rsidR="00E277C9" w:rsidRPr="0023465D">
        <w:rPr>
          <w:rFonts w:ascii="Times New Roman" w:hAnsi="Times New Roman"/>
          <w:bCs/>
          <w:sz w:val="24"/>
          <w:szCs w:val="24"/>
          <w:shd w:val="clear" w:color="auto" w:fill="FFFFFF"/>
          <w:lang w:eastAsia="lo-LA" w:bidi="lo-LA"/>
        </w:rPr>
        <w:t>–</w:t>
      </w:r>
      <w:r w:rsidR="0037128E" w:rsidRPr="00014214">
        <w:rPr>
          <w:rFonts w:ascii="Times New Roman" w:hAnsi="Times New Roman"/>
          <w:bCs/>
          <w:sz w:val="24"/>
          <w:szCs w:val="24"/>
          <w:shd w:val="clear" w:color="auto" w:fill="FFFFFF"/>
          <w:lang w:eastAsia="lo-LA" w:bidi="lo-LA"/>
        </w:rPr>
        <w:t xml:space="preserve"> </w:t>
      </w:r>
      <w:r w:rsidR="00852968" w:rsidRPr="0037128E">
        <w:rPr>
          <w:rFonts w:ascii="Times New Roman" w:hAnsi="Times New Roman"/>
          <w:sz w:val="24"/>
          <w:szCs w:val="24"/>
        </w:rPr>
        <w:t>nekilnojamųjų daiktų (išskyrus žemės sklypus), esančių Visagino savivaldybėje,</w:t>
      </w:r>
      <w:r w:rsidR="00852968" w:rsidRPr="0037128E">
        <w:rPr>
          <w:rFonts w:ascii="Times New Roman" w:hAnsi="Times New Roman"/>
          <w:noProof/>
          <w:sz w:val="24"/>
          <w:szCs w:val="24"/>
        </w:rPr>
        <w:t xml:space="preserve"> </w:t>
      </w:r>
      <w:r w:rsidR="00852968" w:rsidRPr="0037128E">
        <w:rPr>
          <w:rFonts w:ascii="Times New Roman" w:hAnsi="Times New Roman"/>
          <w:sz w:val="24"/>
          <w:szCs w:val="24"/>
        </w:rPr>
        <w:t>kadastro paslaugos: duomenų nustatymas, tikslinimas, nekilnojamojo daikto kadastrinių matavimų atlikimas, nekilnojamojo daikto kadastro duomenų bylos sudarymas (su įkainavimu), išankstinė patikra (kadastro duomenų suderinimas su Kadastro tvarkytoju (Valstybės įmone Registrų centr</w:t>
      </w:r>
      <w:r w:rsidR="001F1927">
        <w:rPr>
          <w:rFonts w:ascii="Times New Roman" w:hAnsi="Times New Roman"/>
          <w:sz w:val="24"/>
          <w:szCs w:val="24"/>
        </w:rPr>
        <w:t>u</w:t>
      </w:r>
      <w:r w:rsidR="00852968" w:rsidRPr="0037128E">
        <w:rPr>
          <w:rFonts w:ascii="Times New Roman" w:hAnsi="Times New Roman"/>
          <w:sz w:val="24"/>
          <w:szCs w:val="24"/>
        </w:rPr>
        <w:t>).</w:t>
      </w:r>
    </w:p>
    <w:p w14:paraId="760EF6C0" w14:textId="1B0E5762" w:rsidR="00EC1E88" w:rsidRPr="007325C4" w:rsidRDefault="00EC1E88" w:rsidP="00AF6FDE">
      <w:pPr>
        <w:spacing w:line="240" w:lineRule="auto"/>
        <w:ind w:firstLine="1170"/>
        <w:contextualSpacing/>
        <w:jc w:val="both"/>
        <w:rPr>
          <w:rFonts w:ascii="Times New Roman" w:hAnsi="Times New Roman"/>
          <w:sz w:val="24"/>
          <w:szCs w:val="24"/>
        </w:rPr>
      </w:pPr>
      <w:r w:rsidRPr="00BC26BD">
        <w:rPr>
          <w:rFonts w:ascii="Times New Roman" w:hAnsi="Times New Roman"/>
          <w:sz w:val="24"/>
          <w:szCs w:val="24"/>
        </w:rPr>
        <w:t xml:space="preserve">3. </w:t>
      </w:r>
      <w:bookmarkStart w:id="1" w:name="_Hlk528307345"/>
      <w:bookmarkEnd w:id="1"/>
      <w:r w:rsidR="001F1927" w:rsidRPr="001F1927">
        <w:rPr>
          <w:rFonts w:ascii="Times New Roman" w:hAnsi="Times New Roman"/>
          <w:sz w:val="24"/>
          <w:szCs w:val="24"/>
        </w:rPr>
        <w:t xml:space="preserve">Ši sutartis galioja 12 mėnesių nuo sutarties </w:t>
      </w:r>
      <w:r w:rsidR="00E12ECF">
        <w:rPr>
          <w:rFonts w:ascii="Times New Roman" w:hAnsi="Times New Roman"/>
          <w:sz w:val="24"/>
          <w:szCs w:val="24"/>
        </w:rPr>
        <w:t>įsigaliojimo dienos</w:t>
      </w:r>
      <w:r w:rsidR="001F1927" w:rsidRPr="001F1927">
        <w:rPr>
          <w:rFonts w:ascii="Times New Roman" w:hAnsi="Times New Roman"/>
          <w:sz w:val="24"/>
          <w:szCs w:val="24"/>
        </w:rPr>
        <w:t>. Šios sutarties galiojimo terminas gali būti pratęstas 2 (du) kartus po 12 (dvylika) mėnesių</w:t>
      </w:r>
      <w:r w:rsidR="00CE63BD">
        <w:rPr>
          <w:rFonts w:ascii="Times New Roman" w:hAnsi="Times New Roman"/>
          <w:sz w:val="24"/>
          <w:szCs w:val="24"/>
        </w:rPr>
        <w:t>.</w:t>
      </w:r>
    </w:p>
    <w:p w14:paraId="70F49FB1" w14:textId="28AF3EAC" w:rsidR="001F1927" w:rsidRDefault="001F1927" w:rsidP="00AF6FDE">
      <w:pPr>
        <w:spacing w:line="240" w:lineRule="auto"/>
        <w:ind w:firstLine="1170"/>
        <w:contextualSpacing/>
        <w:jc w:val="both"/>
        <w:rPr>
          <w:rFonts w:ascii="Times New Roman" w:hAnsi="Times New Roman"/>
          <w:sz w:val="24"/>
          <w:szCs w:val="24"/>
        </w:rPr>
      </w:pPr>
      <w:r w:rsidRPr="001F1927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1927">
        <w:rPr>
          <w:rFonts w:ascii="Times New Roman" w:hAnsi="Times New Roman"/>
          <w:sz w:val="24"/>
          <w:szCs w:val="24"/>
        </w:rPr>
        <w:t xml:space="preserve">Nė vienai iš Šalių nepareiškus noro nutraukti sutartį ir apie tai neinformavus kitos Šalies prieš 30 kalendorinių dienų, sutartis automatiškai bus laikoma pratęsta dar 12 mėnesių. Bendras paslaugų </w:t>
      </w:r>
      <w:r w:rsidR="00E4376C">
        <w:rPr>
          <w:rFonts w:ascii="Times New Roman" w:hAnsi="Times New Roman"/>
          <w:sz w:val="24"/>
          <w:szCs w:val="24"/>
        </w:rPr>
        <w:t>teikimo terminas</w:t>
      </w:r>
      <w:r w:rsidRPr="001F1927">
        <w:rPr>
          <w:rFonts w:ascii="Times New Roman" w:hAnsi="Times New Roman"/>
          <w:sz w:val="24"/>
          <w:szCs w:val="24"/>
        </w:rPr>
        <w:t xml:space="preserve"> negali būti ilgesnis kaip 36 mėnesiai. </w:t>
      </w:r>
    </w:p>
    <w:p w14:paraId="371D26F3" w14:textId="3CFE61ED" w:rsidR="003D2865" w:rsidRDefault="001F1927" w:rsidP="00AF6FDE">
      <w:pPr>
        <w:spacing w:line="240" w:lineRule="auto"/>
        <w:ind w:firstLine="11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7128E" w:rsidRPr="003D2865">
        <w:rPr>
          <w:rFonts w:ascii="Times New Roman" w:hAnsi="Times New Roman"/>
          <w:sz w:val="24"/>
          <w:szCs w:val="24"/>
        </w:rPr>
        <w:t>Šis pirkimo objektas neskirstomas į dalis, todėl tiekėjas turi pateikti pasiūlymą visai pirkimo apimčiai.</w:t>
      </w:r>
    </w:p>
    <w:p w14:paraId="6F721DF6" w14:textId="6604226D" w:rsidR="001F1927" w:rsidRDefault="001F1927" w:rsidP="00AF6FDE">
      <w:pPr>
        <w:spacing w:line="240" w:lineRule="auto"/>
        <w:ind w:firstLine="117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F1927">
        <w:rPr>
          <w:rFonts w:ascii="Times New Roman" w:hAnsi="Times New Roman"/>
          <w:sz w:val="24"/>
          <w:szCs w:val="24"/>
        </w:rPr>
        <w:t>Sutarčiai taikoma fiksuoto įkainio kainodara.</w:t>
      </w:r>
    </w:p>
    <w:p w14:paraId="746C1436" w14:textId="203D9687" w:rsidR="0037128E" w:rsidRPr="008A368B" w:rsidRDefault="001F1927" w:rsidP="00AF6FDE">
      <w:pPr>
        <w:spacing w:line="240" w:lineRule="auto"/>
        <w:ind w:firstLine="117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D2865" w:rsidRPr="008A368B">
        <w:rPr>
          <w:rFonts w:ascii="Times New Roman" w:hAnsi="Times New Roman"/>
          <w:sz w:val="24"/>
          <w:szCs w:val="24"/>
        </w:rPr>
        <w:t xml:space="preserve">. </w:t>
      </w:r>
      <w:bookmarkStart w:id="2" w:name="_Hlk95295342"/>
      <w:r w:rsidR="008A368B" w:rsidRPr="008A368B">
        <w:rPr>
          <w:rFonts w:ascii="Times New Roman" w:hAnsi="Times New Roman"/>
          <w:sz w:val="24"/>
          <w:szCs w:val="24"/>
        </w:rPr>
        <w:t>Konkrečių nekilnojamųjų daiktų kadastrinių matavimų rengimo užsakymas bus pateikiamas pagal poreikį atskiru raštu. Tiekėjas privalo per 1 (vieną) mėnesį nuo perkančiosios organizacijos pateikto atskiro užsakymo įvykdyti užsakyme nurodytus kadastrinius matavimus ir pateikti parengtas bylas (su patikra ir įkainojimu)</w:t>
      </w:r>
      <w:r w:rsidR="00E240D6">
        <w:rPr>
          <w:rFonts w:ascii="Times New Roman" w:hAnsi="Times New Roman"/>
          <w:sz w:val="24"/>
          <w:szCs w:val="24"/>
        </w:rPr>
        <w:t>.</w:t>
      </w:r>
      <w:r w:rsidR="008A368B" w:rsidRPr="008A368B">
        <w:rPr>
          <w:rFonts w:ascii="Times New Roman" w:hAnsi="Times New Roman"/>
          <w:sz w:val="24"/>
          <w:szCs w:val="24"/>
        </w:rPr>
        <w:t xml:space="preserve"> </w:t>
      </w:r>
      <w:r w:rsidR="00E240D6">
        <w:rPr>
          <w:rFonts w:ascii="Times New Roman" w:hAnsi="Times New Roman"/>
          <w:sz w:val="24"/>
          <w:szCs w:val="24"/>
        </w:rPr>
        <w:t xml:space="preserve">Jei </w:t>
      </w:r>
      <w:r w:rsidR="008A368B" w:rsidRPr="008A368B">
        <w:rPr>
          <w:rFonts w:ascii="Times New Roman" w:hAnsi="Times New Roman"/>
          <w:sz w:val="24"/>
          <w:szCs w:val="24"/>
        </w:rPr>
        <w:t xml:space="preserve">reikia parengti </w:t>
      </w:r>
      <w:r w:rsidR="00A616AD">
        <w:rPr>
          <w:rFonts w:ascii="Times New Roman" w:hAnsi="Times New Roman"/>
          <w:sz w:val="24"/>
          <w:szCs w:val="24"/>
        </w:rPr>
        <w:t>topografines</w:t>
      </w:r>
      <w:r w:rsidR="008A368B" w:rsidRPr="008A368B">
        <w:rPr>
          <w:rFonts w:ascii="Times New Roman" w:hAnsi="Times New Roman"/>
          <w:sz w:val="24"/>
          <w:szCs w:val="24"/>
        </w:rPr>
        <w:t xml:space="preserve"> nuotraukas</w:t>
      </w:r>
      <w:r w:rsidR="00E240D6">
        <w:rPr>
          <w:rFonts w:ascii="Times New Roman" w:hAnsi="Times New Roman"/>
          <w:sz w:val="24"/>
          <w:szCs w:val="24"/>
        </w:rPr>
        <w:t>,</w:t>
      </w:r>
      <w:r w:rsidR="008A368B" w:rsidRPr="008A368B">
        <w:rPr>
          <w:rFonts w:ascii="Times New Roman" w:hAnsi="Times New Roman"/>
          <w:sz w:val="24"/>
          <w:szCs w:val="24"/>
        </w:rPr>
        <w:t xml:space="preserve"> užsakymo įvykdymo terminas </w:t>
      </w:r>
      <w:r w:rsidR="008F79D0">
        <w:rPr>
          <w:rFonts w:ascii="Times New Roman" w:hAnsi="Times New Roman"/>
          <w:sz w:val="24"/>
          <w:szCs w:val="24"/>
        </w:rPr>
        <w:t xml:space="preserve">– 2 (du) mėnesiai nuo </w:t>
      </w:r>
      <w:r w:rsidR="008F79D0" w:rsidRPr="008F79D0">
        <w:rPr>
          <w:rFonts w:ascii="Times New Roman" w:hAnsi="Times New Roman"/>
          <w:sz w:val="24"/>
          <w:szCs w:val="24"/>
        </w:rPr>
        <w:t>perkančiosios organizacijos pateikto užsakymo</w:t>
      </w:r>
      <w:r w:rsidR="008F79D0">
        <w:rPr>
          <w:rFonts w:ascii="Times New Roman" w:hAnsi="Times New Roman"/>
          <w:sz w:val="24"/>
          <w:szCs w:val="24"/>
        </w:rPr>
        <w:t>.</w:t>
      </w:r>
      <w:r w:rsidR="008A2854">
        <w:rPr>
          <w:rFonts w:ascii="Times New Roman" w:hAnsi="Times New Roman"/>
          <w:sz w:val="24"/>
          <w:szCs w:val="24"/>
        </w:rPr>
        <w:t xml:space="preserve"> Topografinę nuotrauką Tiekėjas privalo parengti per </w:t>
      </w:r>
      <w:r w:rsidR="008A2854" w:rsidRPr="008A368B">
        <w:rPr>
          <w:rFonts w:ascii="Times New Roman" w:hAnsi="Times New Roman"/>
          <w:sz w:val="24"/>
          <w:szCs w:val="24"/>
        </w:rPr>
        <w:t>1 (vieną) mėnesį nuo perkančiosios organizacijos pateikto atskiro užsakymo</w:t>
      </w:r>
      <w:r w:rsidR="008A2854">
        <w:rPr>
          <w:rFonts w:ascii="Times New Roman" w:hAnsi="Times New Roman"/>
          <w:sz w:val="24"/>
          <w:szCs w:val="24"/>
        </w:rPr>
        <w:t>.</w:t>
      </w:r>
    </w:p>
    <w:bookmarkEnd w:id="2"/>
    <w:p w14:paraId="715056F2" w14:textId="6DCC843C" w:rsidR="0037128E" w:rsidRDefault="001F1927" w:rsidP="00AF6FDE">
      <w:pPr>
        <w:tabs>
          <w:tab w:val="left" w:pos="1560"/>
        </w:tabs>
        <w:spacing w:after="0" w:line="240" w:lineRule="auto"/>
        <w:ind w:left="1134" w:firstLine="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610F6" w:rsidRPr="008A368B">
        <w:rPr>
          <w:rFonts w:ascii="Times New Roman" w:hAnsi="Times New Roman"/>
          <w:sz w:val="24"/>
          <w:szCs w:val="24"/>
        </w:rPr>
        <w:t>. Paslaugų atlikimo vieta – Visagino savivaldybė</w:t>
      </w:r>
      <w:r w:rsidR="008A368B" w:rsidRPr="008A368B">
        <w:rPr>
          <w:rFonts w:ascii="Times New Roman" w:hAnsi="Times New Roman"/>
          <w:sz w:val="24"/>
          <w:szCs w:val="24"/>
        </w:rPr>
        <w:t>s teritorij</w:t>
      </w:r>
      <w:r w:rsidR="003D7CB4">
        <w:rPr>
          <w:rFonts w:ascii="Times New Roman" w:hAnsi="Times New Roman"/>
          <w:sz w:val="24"/>
          <w:szCs w:val="24"/>
        </w:rPr>
        <w:t>a.</w:t>
      </w:r>
    </w:p>
    <w:p w14:paraId="32248185" w14:textId="63448D13" w:rsidR="00B363E0" w:rsidRDefault="001F1927" w:rsidP="00AF6FDE">
      <w:pPr>
        <w:spacing w:line="240" w:lineRule="auto"/>
        <w:ind w:firstLine="117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610F6" w:rsidRPr="008A368B">
        <w:rPr>
          <w:rFonts w:ascii="Times New Roman" w:hAnsi="Times New Roman"/>
          <w:sz w:val="24"/>
          <w:szCs w:val="24"/>
        </w:rPr>
        <w:t xml:space="preserve">. </w:t>
      </w:r>
      <w:r w:rsidR="00020A2F">
        <w:rPr>
          <w:rFonts w:ascii="Times New Roman" w:hAnsi="Times New Roman"/>
          <w:sz w:val="24"/>
          <w:szCs w:val="24"/>
        </w:rPr>
        <w:t xml:space="preserve">Tiekėjas pateikia paslaugų </w:t>
      </w:r>
      <w:r>
        <w:rPr>
          <w:rFonts w:ascii="Times New Roman" w:hAnsi="Times New Roman"/>
          <w:sz w:val="24"/>
          <w:szCs w:val="24"/>
        </w:rPr>
        <w:t>įkai</w:t>
      </w:r>
      <w:r w:rsidR="00020A2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ius</w:t>
      </w:r>
      <w:r w:rsidR="00020A2F">
        <w:rPr>
          <w:rFonts w:ascii="Times New Roman" w:hAnsi="Times New Roman"/>
          <w:sz w:val="24"/>
          <w:szCs w:val="24"/>
        </w:rPr>
        <w:t xml:space="preserve"> į kuri</w:t>
      </w:r>
      <w:r>
        <w:rPr>
          <w:rFonts w:ascii="Times New Roman" w:hAnsi="Times New Roman"/>
          <w:sz w:val="24"/>
          <w:szCs w:val="24"/>
        </w:rPr>
        <w:t>uos</w:t>
      </w:r>
      <w:r w:rsidR="00020A2F">
        <w:rPr>
          <w:rFonts w:ascii="Times New Roman" w:hAnsi="Times New Roman"/>
          <w:sz w:val="24"/>
          <w:szCs w:val="24"/>
        </w:rPr>
        <w:t xml:space="preserve"> turi būti įskaičiuoti visi mokesčiai ir išlaidos būtinos paslaugai suteikti.</w:t>
      </w:r>
      <w:r w:rsidR="00B363E0">
        <w:rPr>
          <w:rFonts w:ascii="Times New Roman" w:hAnsi="Times New Roman"/>
          <w:sz w:val="24"/>
          <w:szCs w:val="24"/>
        </w:rPr>
        <w:t xml:space="preserve"> </w:t>
      </w:r>
    </w:p>
    <w:p w14:paraId="101E71B1" w14:textId="7EFA60D2" w:rsidR="00E4376C" w:rsidRPr="0099128A" w:rsidRDefault="00E4376C" w:rsidP="006861E6">
      <w:pPr>
        <w:widowControl w:val="0"/>
        <w:tabs>
          <w:tab w:val="left" w:pos="450"/>
          <w:tab w:val="left" w:pos="1418"/>
        </w:tabs>
        <w:autoSpaceDE w:val="0"/>
        <w:spacing w:after="0" w:line="240" w:lineRule="auto"/>
        <w:ind w:firstLine="1134"/>
        <w:contextualSpacing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D2046">
        <w:rPr>
          <w:rFonts w:ascii="Times New Roman" w:hAnsi="Times New Roman"/>
          <w:sz w:val="24"/>
          <w:szCs w:val="24"/>
        </w:rPr>
        <w:t xml:space="preserve">Paslaugų apimtis: Perkančioji organizacija neįsipareigoja įsigyti visos </w:t>
      </w:r>
      <w:r>
        <w:rPr>
          <w:rFonts w:ascii="Times New Roman" w:hAnsi="Times New Roman"/>
          <w:sz w:val="24"/>
          <w:szCs w:val="24"/>
        </w:rPr>
        <w:t>t</w:t>
      </w:r>
      <w:r w:rsidRPr="008D2046">
        <w:rPr>
          <w:rFonts w:ascii="Times New Roman" w:hAnsi="Times New Roman"/>
          <w:sz w:val="24"/>
          <w:szCs w:val="24"/>
        </w:rPr>
        <w:t xml:space="preserve">echninėje </w:t>
      </w:r>
      <w:r>
        <w:rPr>
          <w:rFonts w:ascii="Times New Roman" w:hAnsi="Times New Roman"/>
          <w:sz w:val="24"/>
          <w:szCs w:val="24"/>
        </w:rPr>
        <w:t>specifikacijoje</w:t>
      </w:r>
      <w:r w:rsidRPr="0099128A">
        <w:rPr>
          <w:rFonts w:ascii="Times New Roman" w:hAnsi="Times New Roman"/>
          <w:sz w:val="24"/>
          <w:szCs w:val="24"/>
        </w:rPr>
        <w:t xml:space="preserve"> </w:t>
      </w:r>
      <w:r w:rsidRPr="008D2046">
        <w:rPr>
          <w:rFonts w:ascii="Times New Roman" w:hAnsi="Times New Roman"/>
          <w:sz w:val="24"/>
          <w:szCs w:val="24"/>
        </w:rPr>
        <w:t xml:space="preserve">nurodytos Paslaugų apimties (kiekio). Paslaugos bus teikiamos pagal faktinį poreikį. </w:t>
      </w:r>
      <w:r w:rsidRPr="008D2046">
        <w:rPr>
          <w:rFonts w:ascii="Times New Roman" w:eastAsia="Times New Roman" w:hAnsi="Times New Roman"/>
          <w:sz w:val="24"/>
          <w:szCs w:val="24"/>
          <w:lang w:eastAsia="zh-TW"/>
        </w:rPr>
        <w:t xml:space="preserve">Techninėje 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specifikacijoje</w:t>
      </w:r>
      <w:r w:rsidRPr="008D2046">
        <w:rPr>
          <w:rFonts w:ascii="Times New Roman" w:eastAsia="Times New Roman" w:hAnsi="Times New Roman"/>
          <w:sz w:val="24"/>
          <w:szCs w:val="24"/>
          <w:lang w:eastAsia="zh-TW"/>
        </w:rPr>
        <w:t xml:space="preserve"> nurodyti preliminarūs Paslaugų kiekiai</w:t>
      </w:r>
      <w:r w:rsidRPr="0099128A">
        <w:rPr>
          <w:rFonts w:ascii="Times New Roman" w:eastAsia="Times New Roman" w:hAnsi="Times New Roman"/>
          <w:sz w:val="24"/>
          <w:szCs w:val="24"/>
          <w:lang w:eastAsia="zh-TW"/>
        </w:rPr>
        <w:t xml:space="preserve">. Paslaugų kiekiai sutarties vykdymo metu gali padidėti arba sumažėti 30 proc. </w:t>
      </w:r>
    </w:p>
    <w:p w14:paraId="60C06D2C" w14:textId="1F655888" w:rsidR="00F610F6" w:rsidRDefault="001F1927" w:rsidP="00AF6FDE">
      <w:pPr>
        <w:tabs>
          <w:tab w:val="left" w:pos="1560"/>
        </w:tabs>
        <w:spacing w:after="0" w:line="240" w:lineRule="auto"/>
        <w:ind w:left="1134" w:firstLine="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020A2F">
        <w:rPr>
          <w:rFonts w:ascii="Times New Roman" w:hAnsi="Times New Roman"/>
          <w:sz w:val="24"/>
          <w:szCs w:val="24"/>
        </w:rPr>
        <w:t>. P</w:t>
      </w:r>
      <w:r w:rsidR="00F610F6" w:rsidRPr="008A368B">
        <w:rPr>
          <w:rFonts w:ascii="Times New Roman" w:hAnsi="Times New Roman"/>
          <w:sz w:val="24"/>
          <w:szCs w:val="24"/>
        </w:rPr>
        <w:t>a</w:t>
      </w:r>
      <w:r w:rsidR="004526E7" w:rsidRPr="008A368B">
        <w:rPr>
          <w:rFonts w:ascii="Times New Roman" w:hAnsi="Times New Roman"/>
          <w:sz w:val="24"/>
          <w:szCs w:val="24"/>
        </w:rPr>
        <w:t>s</w:t>
      </w:r>
      <w:r w:rsidR="00F610F6" w:rsidRPr="008A368B">
        <w:rPr>
          <w:rFonts w:ascii="Times New Roman" w:hAnsi="Times New Roman"/>
          <w:sz w:val="24"/>
          <w:szCs w:val="24"/>
        </w:rPr>
        <w:t xml:space="preserve">lauga teikiama </w:t>
      </w:r>
      <w:r w:rsidR="004526E7" w:rsidRPr="008A368B">
        <w:rPr>
          <w:rFonts w:ascii="Times New Roman" w:hAnsi="Times New Roman"/>
          <w:sz w:val="24"/>
          <w:szCs w:val="24"/>
        </w:rPr>
        <w:t>vadovaujantis teisės aktais:</w:t>
      </w:r>
    </w:p>
    <w:p w14:paraId="51291E74" w14:textId="77777777" w:rsidR="00F42FD5" w:rsidRPr="00E35825" w:rsidRDefault="00F42FD5" w:rsidP="00AF6FDE">
      <w:pPr>
        <w:tabs>
          <w:tab w:val="left" w:pos="1560"/>
        </w:tabs>
        <w:spacing w:after="0" w:line="240" w:lineRule="auto"/>
        <w:ind w:left="1134" w:firstLine="36"/>
        <w:jc w:val="both"/>
        <w:rPr>
          <w:rFonts w:ascii="Times New Roman" w:hAnsi="Times New Roman"/>
          <w:sz w:val="24"/>
          <w:szCs w:val="24"/>
        </w:rPr>
      </w:pPr>
      <w:bookmarkStart w:id="3" w:name="_Hlk195686785"/>
      <w:r w:rsidRPr="003F59E5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 xml:space="preserve"> </w:t>
      </w:r>
      <w:bookmarkEnd w:id="3"/>
      <w:r w:rsidRPr="00E35825">
        <w:rPr>
          <w:rFonts w:ascii="Times New Roman" w:hAnsi="Times New Roman"/>
          <w:sz w:val="24"/>
          <w:szCs w:val="24"/>
        </w:rPr>
        <w:t>Nekilnojamojo turto kadastro įstatymu</w:t>
      </w:r>
      <w:r w:rsidR="008E6E29" w:rsidRPr="00E35825">
        <w:rPr>
          <w:rFonts w:ascii="Times New Roman" w:hAnsi="Times New Roman"/>
          <w:sz w:val="24"/>
          <w:szCs w:val="24"/>
        </w:rPr>
        <w:t>;</w:t>
      </w:r>
    </w:p>
    <w:p w14:paraId="31823071" w14:textId="607F825A" w:rsidR="005A75DA" w:rsidRDefault="003C6225" w:rsidP="00AF6FDE">
      <w:pPr>
        <w:numPr>
          <w:ilvl w:val="0"/>
          <w:numId w:val="7"/>
        </w:numPr>
        <w:tabs>
          <w:tab w:val="left" w:pos="1170"/>
        </w:tabs>
        <w:spacing w:after="0" w:line="240" w:lineRule="auto"/>
        <w:ind w:left="90" w:firstLine="1080"/>
        <w:jc w:val="both"/>
        <w:rPr>
          <w:rFonts w:ascii="Times New Roman" w:hAnsi="Times New Roman"/>
          <w:sz w:val="24"/>
          <w:szCs w:val="24"/>
        </w:rPr>
      </w:pPr>
      <w:r w:rsidRPr="00E35825">
        <w:rPr>
          <w:rFonts w:ascii="Times New Roman" w:hAnsi="Times New Roman"/>
          <w:sz w:val="24"/>
          <w:szCs w:val="24"/>
        </w:rPr>
        <w:t xml:space="preserve"> </w:t>
      </w:r>
      <w:r w:rsidR="005A75DA" w:rsidRPr="00E35825">
        <w:rPr>
          <w:rFonts w:ascii="Times New Roman" w:hAnsi="Times New Roman"/>
          <w:sz w:val="24"/>
          <w:szCs w:val="24"/>
        </w:rPr>
        <w:t xml:space="preserve">Nekilnojamojo </w:t>
      </w:r>
      <w:r w:rsidR="008E6E29" w:rsidRPr="00E35825">
        <w:rPr>
          <w:rFonts w:ascii="Times New Roman" w:hAnsi="Times New Roman"/>
          <w:sz w:val="24"/>
          <w:szCs w:val="24"/>
        </w:rPr>
        <w:t>turto kadastro nuostat</w:t>
      </w:r>
      <w:r w:rsidR="00897D18">
        <w:rPr>
          <w:rFonts w:ascii="Times New Roman" w:hAnsi="Times New Roman"/>
          <w:sz w:val="24"/>
          <w:szCs w:val="24"/>
        </w:rPr>
        <w:t>ais</w:t>
      </w:r>
      <w:r w:rsidR="008E6E29" w:rsidRPr="00E35825">
        <w:rPr>
          <w:rFonts w:ascii="Times New Roman" w:hAnsi="Times New Roman"/>
          <w:sz w:val="24"/>
          <w:szCs w:val="24"/>
        </w:rPr>
        <w:t>, patvirtint</w:t>
      </w:r>
      <w:r w:rsidR="00897D18">
        <w:rPr>
          <w:rFonts w:ascii="Times New Roman" w:hAnsi="Times New Roman"/>
          <w:sz w:val="24"/>
          <w:szCs w:val="24"/>
        </w:rPr>
        <w:t>ais</w:t>
      </w:r>
      <w:r w:rsidR="008E6E29" w:rsidRPr="00E35825">
        <w:rPr>
          <w:rFonts w:ascii="Times New Roman" w:hAnsi="Times New Roman"/>
          <w:sz w:val="24"/>
          <w:szCs w:val="24"/>
        </w:rPr>
        <w:t xml:space="preserve"> Lietuvos </w:t>
      </w:r>
      <w:r w:rsidR="00E44C40" w:rsidRPr="00E35825">
        <w:rPr>
          <w:rFonts w:ascii="Times New Roman" w:hAnsi="Times New Roman"/>
          <w:sz w:val="24"/>
          <w:szCs w:val="24"/>
        </w:rPr>
        <w:t>Respublikos Vyriausybės 20</w:t>
      </w:r>
      <w:r w:rsidR="00317CB7" w:rsidRPr="00E35825">
        <w:rPr>
          <w:rFonts w:ascii="Times New Roman" w:hAnsi="Times New Roman"/>
          <w:sz w:val="24"/>
          <w:szCs w:val="24"/>
        </w:rPr>
        <w:t>02 m. balandžio 15 d. nutarimu Nr. 534 „</w:t>
      </w:r>
      <w:r w:rsidR="00E33EF3" w:rsidRPr="00E35825">
        <w:rPr>
          <w:rFonts w:ascii="Times New Roman" w:hAnsi="Times New Roman"/>
          <w:sz w:val="24"/>
          <w:szCs w:val="24"/>
        </w:rPr>
        <w:t>Dėl Lietuvos R</w:t>
      </w:r>
      <w:r w:rsidR="005D6736" w:rsidRPr="00E35825">
        <w:rPr>
          <w:rFonts w:ascii="Times New Roman" w:hAnsi="Times New Roman"/>
          <w:sz w:val="24"/>
          <w:szCs w:val="24"/>
        </w:rPr>
        <w:t>espublikos nekilnojamojo turto kadastro nuostatų patvirtinimo“;</w:t>
      </w:r>
    </w:p>
    <w:p w14:paraId="72A55FC1" w14:textId="13450435" w:rsidR="00897D18" w:rsidRPr="00E35825" w:rsidRDefault="00014214" w:rsidP="00014214">
      <w:pPr>
        <w:pStyle w:val="Sraopastraipa"/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014214">
        <w:rPr>
          <w:rFonts w:ascii="Times New Roman" w:hAnsi="Times New Roman"/>
          <w:sz w:val="24"/>
          <w:szCs w:val="24"/>
        </w:rPr>
        <w:t xml:space="preserve">– </w:t>
      </w:r>
      <w:r w:rsidR="009815CA" w:rsidRPr="009815CA">
        <w:rPr>
          <w:rFonts w:ascii="Times New Roman" w:hAnsi="Times New Roman"/>
          <w:sz w:val="24"/>
          <w:szCs w:val="24"/>
        </w:rPr>
        <w:t>Nekilnojamųjų daiktų kadastro duomenų nustatymo taisyklė</w:t>
      </w:r>
      <w:r w:rsidR="009815CA">
        <w:rPr>
          <w:rFonts w:ascii="Times New Roman" w:hAnsi="Times New Roman"/>
          <w:sz w:val="24"/>
          <w:szCs w:val="24"/>
        </w:rPr>
        <w:t>mis</w:t>
      </w:r>
      <w:r w:rsidR="009815CA" w:rsidRPr="009815CA">
        <w:rPr>
          <w:rFonts w:ascii="Times New Roman" w:hAnsi="Times New Roman"/>
          <w:sz w:val="24"/>
          <w:szCs w:val="24"/>
        </w:rPr>
        <w:t xml:space="preserve">, patvirtintomis </w:t>
      </w:r>
      <w:r w:rsidR="009815CA">
        <w:rPr>
          <w:rFonts w:ascii="Times New Roman" w:hAnsi="Times New Roman"/>
          <w:sz w:val="24"/>
          <w:szCs w:val="24"/>
        </w:rPr>
        <w:t>L</w:t>
      </w:r>
      <w:r w:rsidR="009815CA" w:rsidRPr="009815CA">
        <w:rPr>
          <w:rFonts w:ascii="Times New Roman" w:hAnsi="Times New Roman"/>
          <w:sz w:val="24"/>
          <w:szCs w:val="24"/>
        </w:rPr>
        <w:t xml:space="preserve">ietuvos </w:t>
      </w:r>
      <w:r w:rsidR="009815CA">
        <w:rPr>
          <w:rFonts w:ascii="Times New Roman" w:hAnsi="Times New Roman"/>
          <w:sz w:val="24"/>
          <w:szCs w:val="24"/>
        </w:rPr>
        <w:t>R</w:t>
      </w:r>
      <w:r w:rsidR="009815CA" w:rsidRPr="009815CA">
        <w:rPr>
          <w:rFonts w:ascii="Times New Roman" w:hAnsi="Times New Roman"/>
          <w:sz w:val="24"/>
          <w:szCs w:val="24"/>
        </w:rPr>
        <w:t>espublikos aplinkos ministr</w:t>
      </w:r>
      <w:r w:rsidR="009815CA">
        <w:rPr>
          <w:rFonts w:ascii="Times New Roman" w:hAnsi="Times New Roman"/>
          <w:sz w:val="24"/>
          <w:szCs w:val="24"/>
        </w:rPr>
        <w:t xml:space="preserve">o 2024 m. spalio 22 d. </w:t>
      </w:r>
      <w:r w:rsidR="009815CA" w:rsidRPr="009815CA">
        <w:rPr>
          <w:rFonts w:ascii="Times New Roman" w:hAnsi="Times New Roman"/>
          <w:sz w:val="24"/>
          <w:szCs w:val="24"/>
        </w:rPr>
        <w:t>įsakym</w:t>
      </w:r>
      <w:r w:rsidR="009815CA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 xml:space="preserve">Nr. D1-349 </w:t>
      </w:r>
      <w:r w:rsidR="009815CA">
        <w:rPr>
          <w:rFonts w:ascii="Times New Roman" w:hAnsi="Times New Roman"/>
          <w:sz w:val="24"/>
          <w:szCs w:val="24"/>
        </w:rPr>
        <w:t>„</w:t>
      </w:r>
      <w:r w:rsidR="009815CA" w:rsidRPr="009815CA">
        <w:rPr>
          <w:rFonts w:ascii="Times New Roman" w:hAnsi="Times New Roman"/>
          <w:sz w:val="24"/>
          <w:szCs w:val="24"/>
        </w:rPr>
        <w:t>Dėl nekilnojamųjų daiktų kadastro duomenų nustatymo taisyklių patvirtinimo</w:t>
      </w:r>
      <w:r w:rsidR="009815C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;</w:t>
      </w:r>
    </w:p>
    <w:p w14:paraId="2C725ED9" w14:textId="1AA46444" w:rsidR="002B3DAC" w:rsidRPr="007C77BB" w:rsidRDefault="00C170F0" w:rsidP="00897D18">
      <w:pPr>
        <w:numPr>
          <w:ilvl w:val="0"/>
          <w:numId w:val="7"/>
        </w:numPr>
        <w:tabs>
          <w:tab w:val="left" w:pos="1170"/>
        </w:tabs>
        <w:spacing w:after="0" w:line="240" w:lineRule="auto"/>
        <w:ind w:left="90" w:firstLine="1080"/>
        <w:jc w:val="both"/>
        <w:rPr>
          <w:rFonts w:ascii="Times New Roman" w:hAnsi="Times New Roman"/>
          <w:sz w:val="24"/>
          <w:szCs w:val="24"/>
        </w:rPr>
      </w:pPr>
      <w:r w:rsidRPr="00E35825">
        <w:rPr>
          <w:rFonts w:ascii="Times New Roman" w:hAnsi="Times New Roman"/>
          <w:sz w:val="24"/>
          <w:szCs w:val="24"/>
        </w:rPr>
        <w:t xml:space="preserve"> </w:t>
      </w:r>
      <w:r w:rsidR="002B3DAC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 xml:space="preserve">Lietuvos Respublikos </w:t>
      </w:r>
      <w:r w:rsidR="007C77BB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>civiliniu kodeksu</w:t>
      </w:r>
      <w:r w:rsidR="00FF1110">
        <w:rPr>
          <w:rFonts w:ascii="Times New Roman" w:hAnsi="Times New Roman"/>
          <w:sz w:val="24"/>
          <w:szCs w:val="24"/>
          <w:shd w:val="clear" w:color="auto" w:fill="FFFFFF"/>
          <w:lang w:eastAsia="lo-LA" w:bidi="lo-LA"/>
        </w:rPr>
        <w:t>.</w:t>
      </w:r>
    </w:p>
    <w:p w14:paraId="33302792" w14:textId="51EBBF3A" w:rsidR="00C17041" w:rsidRDefault="00DB335D" w:rsidP="003946F7">
      <w:pPr>
        <w:spacing w:line="240" w:lineRule="auto"/>
        <w:ind w:firstLine="12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B0EFA">
        <w:rPr>
          <w:rFonts w:ascii="Times New Roman" w:hAnsi="Times New Roman"/>
          <w:sz w:val="24"/>
          <w:szCs w:val="24"/>
        </w:rPr>
        <w:t>2</w:t>
      </w:r>
      <w:r w:rsidR="007A4CF5">
        <w:rPr>
          <w:rFonts w:ascii="Times New Roman" w:hAnsi="Times New Roman"/>
          <w:sz w:val="24"/>
          <w:szCs w:val="24"/>
        </w:rPr>
        <w:t>. Paslaugų charakteristika:</w:t>
      </w:r>
      <w:r w:rsidR="00EB518C">
        <w:rPr>
          <w:rFonts w:ascii="Times New Roman" w:hAnsi="Times New Roman"/>
          <w:sz w:val="24"/>
          <w:szCs w:val="24"/>
        </w:rPr>
        <w:t xml:space="preserve"> </w:t>
      </w:r>
    </w:p>
    <w:p w14:paraId="6FFAAB6B" w14:textId="77777777" w:rsidR="001F1927" w:rsidRDefault="001F1927" w:rsidP="003946F7">
      <w:pPr>
        <w:spacing w:line="240" w:lineRule="auto"/>
        <w:ind w:firstLine="129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6212"/>
        <w:gridCol w:w="2694"/>
      </w:tblGrid>
      <w:tr w:rsidR="00D5423D" w:rsidRPr="00DB335D" w14:paraId="53431BCE" w14:textId="77777777" w:rsidTr="00D5423D">
        <w:trPr>
          <w:trHeight w:val="189"/>
        </w:trPr>
        <w:tc>
          <w:tcPr>
            <w:tcW w:w="587" w:type="dxa"/>
            <w:vAlign w:val="center"/>
          </w:tcPr>
          <w:p w14:paraId="596ACA27" w14:textId="77777777" w:rsidR="00D5423D" w:rsidRPr="00DB335D" w:rsidRDefault="00D5423D" w:rsidP="001A0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95218517"/>
            <w:r w:rsidRPr="00DB33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Eil.Nr.</w:t>
            </w:r>
          </w:p>
        </w:tc>
        <w:tc>
          <w:tcPr>
            <w:tcW w:w="6212" w:type="dxa"/>
            <w:vAlign w:val="center"/>
          </w:tcPr>
          <w:p w14:paraId="70DA2A42" w14:textId="77777777" w:rsidR="00D5423D" w:rsidRPr="00DB335D" w:rsidRDefault="00D5423D" w:rsidP="001A0F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35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Paslaugos</w:t>
            </w:r>
            <w:r w:rsidRPr="00DB33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pavadinimas</w:t>
            </w:r>
          </w:p>
        </w:tc>
        <w:tc>
          <w:tcPr>
            <w:tcW w:w="2694" w:type="dxa"/>
            <w:vAlign w:val="center"/>
          </w:tcPr>
          <w:p w14:paraId="5C8142AE" w14:textId="77777777" w:rsidR="00D5423D" w:rsidRDefault="00D5423D" w:rsidP="00D54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3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Preliminarus kiekis </w:t>
            </w:r>
          </w:p>
          <w:p w14:paraId="5902960B" w14:textId="57FE9404" w:rsidR="00D5423D" w:rsidRPr="00DB335D" w:rsidRDefault="00D5423D" w:rsidP="00D5423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(12 mėn.)</w:t>
            </w:r>
          </w:p>
        </w:tc>
      </w:tr>
      <w:tr w:rsidR="00D5423D" w:rsidRPr="00DB335D" w14:paraId="0BE60725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1F372802" w14:textId="77777777" w:rsidR="00D5423D" w:rsidRPr="00DB335D" w:rsidRDefault="00D5423D" w:rsidP="00750337">
            <w:pPr>
              <w:pStyle w:val="Turinys1"/>
            </w:pPr>
            <w:r w:rsidRPr="00DB335D">
              <w:t>1</w:t>
            </w:r>
            <w:r>
              <w:t>.</w:t>
            </w:r>
          </w:p>
        </w:tc>
        <w:tc>
          <w:tcPr>
            <w:tcW w:w="6212" w:type="dxa"/>
            <w:vAlign w:val="center"/>
          </w:tcPr>
          <w:p w14:paraId="2206A6B3" w14:textId="6017CD66" w:rsidR="00D5423D" w:rsidRPr="001A0F2C" w:rsidRDefault="00D5423D" w:rsidP="001A0F2C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Pastatų, patalpų iki 100 kv. m kadastriniai matavimai ir kadastro duomenų bylų sudarymas (su patikra)</w:t>
            </w:r>
          </w:p>
        </w:tc>
        <w:tc>
          <w:tcPr>
            <w:tcW w:w="2694" w:type="dxa"/>
            <w:vAlign w:val="center"/>
          </w:tcPr>
          <w:p w14:paraId="54423B33" w14:textId="4F5DD653" w:rsidR="00D5423D" w:rsidRPr="001A0F2C" w:rsidRDefault="00D5423D" w:rsidP="001A0F2C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</w:tr>
      <w:tr w:rsidR="00D5423D" w:rsidRPr="00DB335D" w14:paraId="38D7A4D8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12ACD456" w14:textId="77777777" w:rsidR="00D5423D" w:rsidRPr="00DB335D" w:rsidRDefault="00D5423D" w:rsidP="00750337">
            <w:pPr>
              <w:rPr>
                <w:rFonts w:ascii="Times New Roman" w:hAnsi="Times New Roman"/>
                <w:sz w:val="24"/>
                <w:szCs w:val="24"/>
              </w:rPr>
            </w:pPr>
            <w:r w:rsidRPr="00DB335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12" w:type="dxa"/>
            <w:vAlign w:val="center"/>
          </w:tcPr>
          <w:p w14:paraId="0B5A9C12" w14:textId="7DA403FB" w:rsidR="00D5423D" w:rsidRPr="001A0F2C" w:rsidRDefault="00D5423D" w:rsidP="001A0F2C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ind w:right="-109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Pastatų, patalpų nuo 100 kv. m iki 500 kv. m kadastriniai matavimai ir kadastro duomenų bylų sudarymas (su patikra)</w:t>
            </w:r>
          </w:p>
        </w:tc>
        <w:tc>
          <w:tcPr>
            <w:tcW w:w="2694" w:type="dxa"/>
            <w:vAlign w:val="center"/>
          </w:tcPr>
          <w:p w14:paraId="6C6D515F" w14:textId="7522D59B" w:rsidR="00D5423D" w:rsidRPr="001A0F2C" w:rsidRDefault="00D5423D" w:rsidP="001A0F2C">
            <w:pPr>
              <w:pStyle w:val="Antrats"/>
              <w:spacing w:after="0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</w:tr>
      <w:tr w:rsidR="00D5423D" w:rsidRPr="00DB335D" w14:paraId="5A53293E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43DBCBB5" w14:textId="77777777" w:rsidR="00D5423D" w:rsidRPr="00DB335D" w:rsidRDefault="00D5423D" w:rsidP="00750337">
            <w:pPr>
              <w:rPr>
                <w:rFonts w:ascii="Times New Roman" w:hAnsi="Times New Roman"/>
                <w:sz w:val="24"/>
                <w:szCs w:val="24"/>
              </w:rPr>
            </w:pPr>
            <w:r w:rsidRPr="00DB335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12" w:type="dxa"/>
            <w:vAlign w:val="center"/>
          </w:tcPr>
          <w:p w14:paraId="6222C567" w14:textId="045C73E2" w:rsidR="00D5423D" w:rsidRPr="001A0F2C" w:rsidRDefault="00D5423D" w:rsidP="001A0F2C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jc w:val="lef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Pastatų, patalpų virš 500 kv. m kadastriniai matavimai ir kadastro duomenų bylų sudarymas (su patikra)</w:t>
            </w:r>
          </w:p>
        </w:tc>
        <w:tc>
          <w:tcPr>
            <w:tcW w:w="2694" w:type="dxa"/>
            <w:vAlign w:val="center"/>
          </w:tcPr>
          <w:p w14:paraId="5FD06F85" w14:textId="7390D61F" w:rsidR="00D5423D" w:rsidRPr="001A0F2C" w:rsidRDefault="00D5423D" w:rsidP="001A0F2C">
            <w:pPr>
              <w:pStyle w:val="Antrats"/>
              <w:spacing w:after="0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D5423D" w:rsidRPr="00DB335D" w14:paraId="4C869B72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436206E4" w14:textId="77777777" w:rsidR="00D5423D" w:rsidRPr="00DB335D" w:rsidRDefault="00D5423D" w:rsidP="00750337">
            <w:pPr>
              <w:rPr>
                <w:rFonts w:ascii="Times New Roman" w:hAnsi="Times New Roman"/>
                <w:sz w:val="24"/>
                <w:szCs w:val="24"/>
              </w:rPr>
            </w:pPr>
            <w:r w:rsidRPr="00DB335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12" w:type="dxa"/>
            <w:vAlign w:val="center"/>
          </w:tcPr>
          <w:p w14:paraId="22AF2ABA" w14:textId="1E972CD0" w:rsidR="00D5423D" w:rsidRPr="001A0F2C" w:rsidRDefault="00D5423D" w:rsidP="001A0F2C">
            <w:pPr>
              <w:pStyle w:val="Porat"/>
              <w:spacing w:after="0" w:line="240" w:lineRule="auto"/>
              <w:rPr>
                <w:rFonts w:eastAsia="Calibri"/>
                <w:szCs w:val="24"/>
                <w:lang w:val="lt-LT"/>
              </w:rPr>
            </w:pPr>
            <w:r>
              <w:rPr>
                <w:rFonts w:eastAsia="Calibri"/>
                <w:szCs w:val="24"/>
                <w:lang w:val="lt-LT"/>
              </w:rPr>
              <w:t>Kelių (gatvių)</w:t>
            </w:r>
            <w:r w:rsidR="00D84D68">
              <w:rPr>
                <w:rFonts w:eastAsia="Calibri"/>
                <w:szCs w:val="24"/>
                <w:lang w:val="lt-LT"/>
              </w:rPr>
              <w:t xml:space="preserve"> iki 1 km ilgio </w:t>
            </w:r>
            <w:r>
              <w:rPr>
                <w:rFonts w:eastAsia="Calibri"/>
                <w:szCs w:val="24"/>
                <w:lang w:val="lt-LT"/>
              </w:rPr>
              <w:t>ir jų sudėtinių dalių kadastriniai matavimai</w:t>
            </w:r>
            <w:r>
              <w:rPr>
                <w:szCs w:val="24"/>
                <w:lang w:val="lt-LT"/>
              </w:rPr>
              <w:t xml:space="preserve"> ir kadastro duomenų bylų sudarymas (su patikra)</w:t>
            </w:r>
            <w:r w:rsidR="00A616AD">
              <w:rPr>
                <w:szCs w:val="24"/>
                <w:lang w:val="lt-LT"/>
              </w:rPr>
              <w:t>, kai pateikiama topografinė nuotrauka</w:t>
            </w:r>
          </w:p>
        </w:tc>
        <w:tc>
          <w:tcPr>
            <w:tcW w:w="2694" w:type="dxa"/>
            <w:vAlign w:val="center"/>
          </w:tcPr>
          <w:p w14:paraId="6538BBB9" w14:textId="171D8C06" w:rsidR="00D5423D" w:rsidRPr="001A0F2C" w:rsidRDefault="00A616AD" w:rsidP="001A0F2C">
            <w:pPr>
              <w:pStyle w:val="Porat"/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A616AD" w:rsidRPr="00DB335D" w14:paraId="2479673D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24834111" w14:textId="510A0E78" w:rsidR="00A616AD" w:rsidRPr="00DB335D" w:rsidRDefault="00A616AD" w:rsidP="00750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12" w:type="dxa"/>
            <w:vAlign w:val="center"/>
          </w:tcPr>
          <w:p w14:paraId="5A63EB90" w14:textId="684B1338" w:rsidR="00A616AD" w:rsidRDefault="00A616AD" w:rsidP="001A0F2C">
            <w:pPr>
              <w:pStyle w:val="Porat"/>
              <w:spacing w:after="0" w:line="240" w:lineRule="auto"/>
              <w:rPr>
                <w:rFonts w:eastAsia="Calibri"/>
                <w:szCs w:val="24"/>
                <w:lang w:val="lt-LT"/>
              </w:rPr>
            </w:pPr>
            <w:r>
              <w:rPr>
                <w:rFonts w:eastAsia="Calibri"/>
                <w:szCs w:val="24"/>
                <w:lang w:val="lt-LT"/>
              </w:rPr>
              <w:t>Kelių (gatvių) iki 1 km ilgio ir jų sudėtinių dalių kadastriniai matavimai</w:t>
            </w:r>
            <w:r>
              <w:rPr>
                <w:szCs w:val="24"/>
                <w:lang w:val="lt-LT"/>
              </w:rPr>
              <w:t xml:space="preserve"> ir kadastro duomenų bylų sudarymas (su patikra), kai nepateikiama topografinė nuotrauka</w:t>
            </w:r>
          </w:p>
        </w:tc>
        <w:tc>
          <w:tcPr>
            <w:tcW w:w="2694" w:type="dxa"/>
            <w:vAlign w:val="center"/>
          </w:tcPr>
          <w:p w14:paraId="4650CA9B" w14:textId="63916ED6" w:rsidR="00A616AD" w:rsidRDefault="00A616AD" w:rsidP="001A0F2C">
            <w:pPr>
              <w:pStyle w:val="Porat"/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D84D68" w:rsidRPr="00DB335D" w14:paraId="4F610B01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42970E2D" w14:textId="443751BB" w:rsidR="00D84D68" w:rsidRPr="00DB335D" w:rsidRDefault="00A616AD" w:rsidP="00750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84D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12" w:type="dxa"/>
            <w:vAlign w:val="center"/>
          </w:tcPr>
          <w:p w14:paraId="3807B77B" w14:textId="759B342F" w:rsidR="00D84D68" w:rsidRDefault="00D84D68" w:rsidP="001A0F2C">
            <w:pPr>
              <w:pStyle w:val="Porat"/>
              <w:spacing w:after="0" w:line="240" w:lineRule="auto"/>
              <w:rPr>
                <w:rFonts w:eastAsia="Calibri"/>
                <w:szCs w:val="24"/>
                <w:lang w:val="lt-LT"/>
              </w:rPr>
            </w:pPr>
            <w:r>
              <w:rPr>
                <w:rFonts w:eastAsia="Calibri"/>
                <w:szCs w:val="24"/>
                <w:lang w:val="lt-LT"/>
              </w:rPr>
              <w:t>Kelių (gatvių) daugiau 1 km ilgio ir jų sudėtinių dalių kadastriniai matavimai</w:t>
            </w:r>
            <w:r>
              <w:rPr>
                <w:szCs w:val="24"/>
                <w:lang w:val="lt-LT"/>
              </w:rPr>
              <w:t xml:space="preserve"> ir kadastro duomenų bylų sudarymas (su patikra)</w:t>
            </w:r>
            <w:r w:rsidR="00A616AD">
              <w:rPr>
                <w:szCs w:val="24"/>
                <w:lang w:val="lt-LT"/>
              </w:rPr>
              <w:t>, kai pateikiama topografinė nuotrauka</w:t>
            </w:r>
          </w:p>
        </w:tc>
        <w:tc>
          <w:tcPr>
            <w:tcW w:w="2694" w:type="dxa"/>
            <w:vAlign w:val="center"/>
          </w:tcPr>
          <w:p w14:paraId="1B16A913" w14:textId="538E3248" w:rsidR="00D84D68" w:rsidRDefault="00A616AD" w:rsidP="001A0F2C">
            <w:pPr>
              <w:pStyle w:val="Porat"/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</w:tr>
      <w:tr w:rsidR="00A616AD" w:rsidRPr="00DB335D" w14:paraId="5C05ED11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0C42D5AE" w14:textId="2C107223" w:rsidR="00A616AD" w:rsidRDefault="00A616AD" w:rsidP="00750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12" w:type="dxa"/>
            <w:vAlign w:val="center"/>
          </w:tcPr>
          <w:p w14:paraId="7B0C377E" w14:textId="7C676AD8" w:rsidR="00A616AD" w:rsidRDefault="00A616AD" w:rsidP="001A0F2C">
            <w:pPr>
              <w:pStyle w:val="Porat"/>
              <w:spacing w:after="0" w:line="240" w:lineRule="auto"/>
              <w:rPr>
                <w:rFonts w:eastAsia="Calibri"/>
                <w:szCs w:val="24"/>
                <w:lang w:val="lt-LT"/>
              </w:rPr>
            </w:pPr>
            <w:r>
              <w:rPr>
                <w:rFonts w:eastAsia="Calibri"/>
                <w:szCs w:val="24"/>
                <w:lang w:val="lt-LT"/>
              </w:rPr>
              <w:t>Kelių (gatvių) daugiau 1 km ilgio ir jų sudėtinių dalių kadastriniai matavimai</w:t>
            </w:r>
            <w:r>
              <w:rPr>
                <w:szCs w:val="24"/>
                <w:lang w:val="lt-LT"/>
              </w:rPr>
              <w:t xml:space="preserve"> ir kadastro duomenų bylų sudarymas (su patikra), kai nepateikiama topografinė nuotrauka</w:t>
            </w:r>
          </w:p>
        </w:tc>
        <w:tc>
          <w:tcPr>
            <w:tcW w:w="2694" w:type="dxa"/>
            <w:vAlign w:val="center"/>
          </w:tcPr>
          <w:p w14:paraId="1EB9E153" w14:textId="112BD6C4" w:rsidR="00A616AD" w:rsidRDefault="00A616AD" w:rsidP="001A0F2C">
            <w:pPr>
              <w:pStyle w:val="Porat"/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D5423D" w:rsidRPr="00DB335D" w14:paraId="4CF5C366" w14:textId="77777777" w:rsidTr="00D5423D">
        <w:trPr>
          <w:trHeight w:val="1018"/>
        </w:trPr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63064C30" w14:textId="3ABDF24C" w:rsidR="00D5423D" w:rsidRPr="00DB335D" w:rsidRDefault="00A616AD" w:rsidP="00750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54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12" w:type="dxa"/>
            <w:tcBorders>
              <w:bottom w:val="single" w:sz="4" w:space="0" w:color="auto"/>
            </w:tcBorders>
            <w:vAlign w:val="center"/>
          </w:tcPr>
          <w:p w14:paraId="03A5BD3C" w14:textId="0ABB1EB6" w:rsidR="00D5423D" w:rsidRPr="00DB335D" w:rsidRDefault="00D5423D" w:rsidP="00AD58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Bendro naudojimo aikštelių, šaligatvių, pravažiavimų ir pan. </w:t>
            </w:r>
            <w:r w:rsidRPr="00432D9F">
              <w:rPr>
                <w:rFonts w:ascii="Times New Roman" w:hAnsi="Times New Roman"/>
                <w:sz w:val="24"/>
                <w:szCs w:val="24"/>
              </w:rPr>
              <w:t>kadastriniai matavimai ir kadastro duomenų bylų sudarymas (su patikra</w:t>
            </w:r>
            <w:r w:rsidR="00A616AD">
              <w:rPr>
                <w:rFonts w:ascii="Times New Roman" w:hAnsi="Times New Roman"/>
                <w:sz w:val="24"/>
                <w:szCs w:val="24"/>
              </w:rPr>
              <w:t>),</w:t>
            </w:r>
            <w:r w:rsidR="00A616AD">
              <w:t xml:space="preserve"> </w:t>
            </w:r>
            <w:r w:rsidR="00A616AD" w:rsidRPr="00A616AD">
              <w:rPr>
                <w:rFonts w:ascii="Times New Roman" w:hAnsi="Times New Roman"/>
                <w:sz w:val="24"/>
                <w:szCs w:val="24"/>
              </w:rPr>
              <w:t>kai pateikiama topografinė nuotrauka</w:t>
            </w:r>
          </w:p>
        </w:tc>
        <w:tc>
          <w:tcPr>
            <w:tcW w:w="2694" w:type="dxa"/>
            <w:vAlign w:val="center"/>
          </w:tcPr>
          <w:p w14:paraId="66F48095" w14:textId="67A49205" w:rsidR="00D5423D" w:rsidRPr="001A0F2C" w:rsidRDefault="00A616AD" w:rsidP="001A0F2C">
            <w:pPr>
              <w:pStyle w:val="Porat"/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</w:tr>
      <w:tr w:rsidR="00A616AD" w:rsidRPr="00DB335D" w14:paraId="19C71617" w14:textId="77777777" w:rsidTr="00D5423D">
        <w:trPr>
          <w:trHeight w:val="1018"/>
        </w:trPr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14:paraId="6A70284B" w14:textId="7B77AD1F" w:rsidR="00A616AD" w:rsidRDefault="00A616AD" w:rsidP="00750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12" w:type="dxa"/>
            <w:tcBorders>
              <w:bottom w:val="single" w:sz="4" w:space="0" w:color="auto"/>
            </w:tcBorders>
            <w:vAlign w:val="center"/>
          </w:tcPr>
          <w:p w14:paraId="6BC6AC32" w14:textId="0C7CB0DB" w:rsidR="00A616AD" w:rsidRDefault="00A616AD" w:rsidP="00AD58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Bendro naudojimo aikštelių, šaligatvių, pravažiavimų ir pan. </w:t>
            </w:r>
            <w:r w:rsidRPr="00432D9F">
              <w:rPr>
                <w:rFonts w:ascii="Times New Roman" w:hAnsi="Times New Roman"/>
                <w:sz w:val="24"/>
                <w:szCs w:val="24"/>
              </w:rPr>
              <w:t>kadastriniai matavimai ir kadastro duomenų bylų sudarymas (su patikra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>
              <w:t xml:space="preserve"> </w:t>
            </w:r>
            <w:r w:rsidRPr="00A616AD">
              <w:rPr>
                <w:rFonts w:ascii="Times New Roman" w:hAnsi="Times New Roman"/>
                <w:sz w:val="24"/>
                <w:szCs w:val="24"/>
              </w:rPr>
              <w:t xml:space="preserve">kai 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r w:rsidRPr="00A616AD">
              <w:rPr>
                <w:rFonts w:ascii="Times New Roman" w:hAnsi="Times New Roman"/>
                <w:sz w:val="24"/>
                <w:szCs w:val="24"/>
              </w:rPr>
              <w:t>pateikiama topografinė nuotrauka</w:t>
            </w:r>
          </w:p>
        </w:tc>
        <w:tc>
          <w:tcPr>
            <w:tcW w:w="2694" w:type="dxa"/>
            <w:vAlign w:val="center"/>
          </w:tcPr>
          <w:p w14:paraId="3FC8EA08" w14:textId="2F82A515" w:rsidR="00A616AD" w:rsidRDefault="00A616AD" w:rsidP="001A0F2C">
            <w:pPr>
              <w:pStyle w:val="Porat"/>
              <w:spacing w:after="0" w:line="240" w:lineRule="auto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</w:tr>
      <w:tr w:rsidR="00D5423D" w:rsidRPr="00DB335D" w14:paraId="2164A2A9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0B55EFC8" w14:textId="09FE8B90" w:rsidR="00D5423D" w:rsidRPr="00DB335D" w:rsidRDefault="00A616AD" w:rsidP="00750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54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12" w:type="dxa"/>
            <w:vAlign w:val="center"/>
          </w:tcPr>
          <w:p w14:paraId="7ADC8952" w14:textId="02104936" w:rsidR="00D5423D" w:rsidRPr="00DB335D" w:rsidRDefault="00D5423D" w:rsidP="00AD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978">
              <w:rPr>
                <w:rFonts w:ascii="Times New Roman" w:hAnsi="Times New Roman"/>
                <w:sz w:val="24"/>
                <w:szCs w:val="24"/>
              </w:rPr>
              <w:t>Inžinerini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285978">
              <w:rPr>
                <w:rFonts w:ascii="Times New Roman" w:hAnsi="Times New Roman"/>
                <w:sz w:val="24"/>
                <w:szCs w:val="24"/>
              </w:rPr>
              <w:t xml:space="preserve"> tinkl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285978">
              <w:rPr>
                <w:rFonts w:ascii="Times New Roman" w:hAnsi="Times New Roman"/>
                <w:sz w:val="24"/>
                <w:szCs w:val="24"/>
              </w:rPr>
              <w:t xml:space="preserve"> (vandentiekio, nuotekų ir t.t.) su priklausiniais </w:t>
            </w:r>
            <w:r w:rsidRPr="00432D9F">
              <w:rPr>
                <w:rFonts w:ascii="Times New Roman" w:hAnsi="Times New Roman"/>
                <w:sz w:val="24"/>
                <w:szCs w:val="24"/>
              </w:rPr>
              <w:t>kadastriniai matavimai ir kadastro duomenų bylų sudarymas (su patikra)</w:t>
            </w:r>
            <w:r w:rsidR="00A616AD">
              <w:rPr>
                <w:rFonts w:ascii="Times New Roman" w:hAnsi="Times New Roman"/>
                <w:sz w:val="24"/>
                <w:szCs w:val="24"/>
              </w:rPr>
              <w:t>,</w:t>
            </w:r>
            <w:r w:rsidR="00A616AD">
              <w:t xml:space="preserve"> </w:t>
            </w:r>
            <w:r w:rsidR="00A616AD" w:rsidRPr="00A616AD">
              <w:rPr>
                <w:rFonts w:ascii="Times New Roman" w:hAnsi="Times New Roman"/>
                <w:sz w:val="24"/>
                <w:szCs w:val="24"/>
              </w:rPr>
              <w:t>kai pateikiama topografinė nuotrauka</w:t>
            </w:r>
          </w:p>
        </w:tc>
        <w:tc>
          <w:tcPr>
            <w:tcW w:w="2694" w:type="dxa"/>
            <w:vAlign w:val="center"/>
          </w:tcPr>
          <w:p w14:paraId="3096B9DA" w14:textId="0E5AF15F" w:rsidR="00D5423D" w:rsidRPr="001A0F2C" w:rsidRDefault="00A616AD" w:rsidP="001A0F2C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</w:tr>
      <w:tr w:rsidR="00A616AD" w:rsidRPr="00DB335D" w14:paraId="3B72EE85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739A0915" w14:textId="640AEA6B" w:rsidR="00A616AD" w:rsidRDefault="00A616AD" w:rsidP="007503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12" w:type="dxa"/>
            <w:vAlign w:val="center"/>
          </w:tcPr>
          <w:p w14:paraId="775B5D7E" w14:textId="6D3C0A83" w:rsidR="00A616AD" w:rsidRPr="00285978" w:rsidRDefault="00A616AD" w:rsidP="00AD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6AD">
              <w:rPr>
                <w:rFonts w:ascii="Times New Roman" w:hAnsi="Times New Roman"/>
                <w:sz w:val="24"/>
                <w:szCs w:val="24"/>
              </w:rPr>
              <w:t xml:space="preserve">Inžinerinių tinklų (vandentiekio, nuotekų ir t.t.) su priklausiniais kadastriniai matavimai ir kadastro duomenų bylų sudarymas (su patikra), kai 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r w:rsidRPr="00A616AD">
              <w:rPr>
                <w:rFonts w:ascii="Times New Roman" w:hAnsi="Times New Roman"/>
                <w:sz w:val="24"/>
                <w:szCs w:val="24"/>
              </w:rPr>
              <w:t>pateikiama topografinė nuotrauka</w:t>
            </w:r>
          </w:p>
        </w:tc>
        <w:tc>
          <w:tcPr>
            <w:tcW w:w="2694" w:type="dxa"/>
            <w:vAlign w:val="center"/>
          </w:tcPr>
          <w:p w14:paraId="071E9626" w14:textId="51EA8E25" w:rsidR="00A616AD" w:rsidRDefault="00A616AD" w:rsidP="001A0F2C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</w:tr>
      <w:tr w:rsidR="00D5423D" w:rsidRPr="00DB335D" w14:paraId="3EB7409A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2CC0E54B" w14:textId="753212F9" w:rsidR="00D5423D" w:rsidRPr="00DB335D" w:rsidRDefault="00A616AD" w:rsidP="00102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54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12" w:type="dxa"/>
            <w:vAlign w:val="center"/>
          </w:tcPr>
          <w:p w14:paraId="7F29350D" w14:textId="419586E8" w:rsidR="00D5423D" w:rsidRPr="00DB335D" w:rsidRDefault="00D5423D" w:rsidP="00982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Statinių kadastrinių matavimų tikslinimas dėl duomenų pasikeitimo, remonto, rekonstrukcijos, modernizavimo ir pan., kadastro duomenų bylų tikslinimas (su patikra)</w:t>
            </w:r>
          </w:p>
        </w:tc>
        <w:tc>
          <w:tcPr>
            <w:tcW w:w="2694" w:type="dxa"/>
            <w:vAlign w:val="center"/>
          </w:tcPr>
          <w:p w14:paraId="740353EA" w14:textId="3E805C00" w:rsidR="00D5423D" w:rsidRPr="001A0F2C" w:rsidRDefault="00D5423D" w:rsidP="001A0F2C">
            <w:pPr>
              <w:pStyle w:val="Porat"/>
              <w:spacing w:after="0" w:line="240" w:lineRule="auto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30</w:t>
            </w:r>
          </w:p>
        </w:tc>
      </w:tr>
      <w:tr w:rsidR="002D3985" w:rsidRPr="00DB335D" w14:paraId="7B3420E5" w14:textId="77777777" w:rsidTr="002D3985">
        <w:trPr>
          <w:trHeight w:val="276"/>
        </w:trPr>
        <w:tc>
          <w:tcPr>
            <w:tcW w:w="587" w:type="dxa"/>
            <w:vAlign w:val="bottom"/>
          </w:tcPr>
          <w:p w14:paraId="57FBCD76" w14:textId="500B1669" w:rsidR="002D3985" w:rsidRDefault="002D3985" w:rsidP="001027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12" w:type="dxa"/>
            <w:vAlign w:val="center"/>
          </w:tcPr>
          <w:p w14:paraId="72060740" w14:textId="12713C6C" w:rsidR="002D3985" w:rsidRDefault="008C7E03" w:rsidP="00982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D3985">
              <w:rPr>
                <w:rFonts w:ascii="Times New Roman" w:hAnsi="Times New Roman"/>
                <w:sz w:val="24"/>
                <w:szCs w:val="24"/>
              </w:rPr>
              <w:t>opografinė nuotrauka</w:t>
            </w:r>
          </w:p>
        </w:tc>
        <w:tc>
          <w:tcPr>
            <w:tcW w:w="2694" w:type="dxa"/>
            <w:vAlign w:val="center"/>
          </w:tcPr>
          <w:p w14:paraId="6C5104DA" w14:textId="383FE5DA" w:rsidR="002D3985" w:rsidRDefault="002D3985" w:rsidP="001A0F2C">
            <w:pPr>
              <w:pStyle w:val="Porat"/>
              <w:spacing w:after="0" w:line="240" w:lineRule="auto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</w:tr>
      <w:tr w:rsidR="00D5423D" w:rsidRPr="00DB335D" w14:paraId="45CFE991" w14:textId="77777777" w:rsidTr="00D5423D">
        <w:trPr>
          <w:trHeight w:val="276"/>
        </w:trPr>
        <w:tc>
          <w:tcPr>
            <w:tcW w:w="587" w:type="dxa"/>
            <w:vAlign w:val="center"/>
          </w:tcPr>
          <w:p w14:paraId="001161A7" w14:textId="77777777" w:rsidR="00D5423D" w:rsidRPr="00DB335D" w:rsidRDefault="00D5423D" w:rsidP="001027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2" w:type="dxa"/>
            <w:vAlign w:val="center"/>
          </w:tcPr>
          <w:p w14:paraId="35DC00BC" w14:textId="5C23A800" w:rsidR="00D5423D" w:rsidRDefault="00D5423D" w:rsidP="00982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2694" w:type="dxa"/>
            <w:vAlign w:val="center"/>
          </w:tcPr>
          <w:p w14:paraId="5415078F" w14:textId="6EF2D908" w:rsidR="00D5423D" w:rsidRDefault="00120AB4" w:rsidP="001A0F2C">
            <w:pPr>
              <w:pStyle w:val="Porat"/>
              <w:spacing w:after="0" w:line="240" w:lineRule="auto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  <w:r w:rsidR="002D3985">
              <w:rPr>
                <w:szCs w:val="24"/>
                <w:lang w:val="lt-LT"/>
              </w:rPr>
              <w:t>5</w:t>
            </w:r>
          </w:p>
        </w:tc>
      </w:tr>
    </w:tbl>
    <w:p w14:paraId="4DB94983" w14:textId="1A1ABF63" w:rsidR="00DB0EFA" w:rsidRPr="00DB0EFA" w:rsidRDefault="00DB0EFA" w:rsidP="008A2854">
      <w:pPr>
        <w:tabs>
          <w:tab w:val="left" w:pos="1843"/>
        </w:tabs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D58E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B0EFA">
        <w:rPr>
          <w:rFonts w:ascii="Times New Roman" w:hAnsi="Times New Roman"/>
          <w:sz w:val="24"/>
          <w:szCs w:val="24"/>
        </w:rPr>
        <w:t>Aplinkosauginiai kriterijai Paslaugoms nustatomi vadovaujantis Aplinkos apsaugos kriterijų taikymo, vykdant žaliuosius pirkimus, tvarkos aprašo, patvirtinto 2011 m. birželio 28 d. įsakymu D1-508 „Dėl Aplinkos apsaugos kriterijų taikymo, vykdant žaliuosius pirkimus, tvarkos aprašo patvirtinimo“ 4.4.3 papunkčiu - perkama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55D02D90" w14:textId="77777777" w:rsidR="00DB335D" w:rsidRDefault="00DB335D" w:rsidP="00C1704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70BF10" w14:textId="77777777" w:rsidR="00DB335D" w:rsidRDefault="00DB335D" w:rsidP="00C1704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5E82CF" w14:textId="339E2183" w:rsidR="003D2865" w:rsidRDefault="0044351D" w:rsidP="00C1704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Vietinio ūkio</w:t>
      </w:r>
      <w:r w:rsidR="008A2854">
        <w:rPr>
          <w:rFonts w:ascii="Times New Roman" w:hAnsi="Times New Roman"/>
          <w:sz w:val="24"/>
          <w:szCs w:val="24"/>
        </w:rPr>
        <w:t xml:space="preserve"> valdymo</w:t>
      </w:r>
      <w:r>
        <w:rPr>
          <w:rFonts w:ascii="Times New Roman" w:hAnsi="Times New Roman"/>
          <w:sz w:val="24"/>
          <w:szCs w:val="24"/>
        </w:rPr>
        <w:t xml:space="preserve"> ir statybos skyriaus</w:t>
      </w:r>
    </w:p>
    <w:p w14:paraId="62CD094D" w14:textId="6FB6900B" w:rsidR="0044351D" w:rsidRDefault="0044351D" w:rsidP="00C1704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vyriausioji specialistė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0EFA">
        <w:rPr>
          <w:rFonts w:ascii="Times New Roman" w:hAnsi="Times New Roman"/>
          <w:sz w:val="24"/>
          <w:szCs w:val="24"/>
        </w:rPr>
        <w:t>Inga Vavinskienė</w:t>
      </w:r>
      <w:bookmarkEnd w:id="4"/>
    </w:p>
    <w:sectPr w:rsidR="0044351D" w:rsidSect="00AD3C65">
      <w:pgSz w:w="11906" w:h="16838"/>
      <w:pgMar w:top="1135" w:right="70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834"/>
    <w:multiLevelType w:val="hybridMultilevel"/>
    <w:tmpl w:val="E10E970C"/>
    <w:lvl w:ilvl="0" w:tplc="FBDA78C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4347D41"/>
    <w:multiLevelType w:val="hybridMultilevel"/>
    <w:tmpl w:val="196A75B2"/>
    <w:lvl w:ilvl="0" w:tplc="4B1E0E7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2" w15:restartNumberingAfterBreak="0">
    <w:nsid w:val="0A644586"/>
    <w:multiLevelType w:val="multilevel"/>
    <w:tmpl w:val="4F82BFD8"/>
    <w:lvl w:ilvl="0">
      <w:start w:val="1"/>
      <w:numFmt w:val="decimal"/>
      <w:lvlText w:val="%1."/>
      <w:lvlJc w:val="left"/>
      <w:pPr>
        <w:ind w:left="1526" w:hanging="360"/>
      </w:pPr>
      <w:rPr>
        <w:rFonts w:hint="default"/>
        <w:b w:val="0"/>
        <w:bCs/>
        <w:strike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8" w:hanging="1800"/>
      </w:pPr>
      <w:rPr>
        <w:rFonts w:hint="default"/>
      </w:rPr>
    </w:lvl>
  </w:abstractNum>
  <w:abstractNum w:abstractNumId="3" w15:restartNumberingAfterBreak="0">
    <w:nsid w:val="1CF81662"/>
    <w:multiLevelType w:val="hybridMultilevel"/>
    <w:tmpl w:val="B6F08712"/>
    <w:lvl w:ilvl="0" w:tplc="8B9C62B2">
      <w:start w:val="10"/>
      <w:numFmt w:val="bullet"/>
      <w:lvlText w:val="–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15B53D6"/>
    <w:multiLevelType w:val="hybridMultilevel"/>
    <w:tmpl w:val="9FF4D902"/>
    <w:lvl w:ilvl="0" w:tplc="32401C22">
      <w:numFmt w:val="bullet"/>
      <w:lvlText w:val="-"/>
      <w:lvlJc w:val="left"/>
      <w:pPr>
        <w:ind w:left="153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5" w15:restartNumberingAfterBreak="0">
    <w:nsid w:val="2FB60A17"/>
    <w:multiLevelType w:val="multilevel"/>
    <w:tmpl w:val="B0506F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4651E4F"/>
    <w:multiLevelType w:val="hybridMultilevel"/>
    <w:tmpl w:val="C8420E3A"/>
    <w:lvl w:ilvl="0" w:tplc="E14E144A">
      <w:start w:val="9"/>
      <w:numFmt w:val="bullet"/>
      <w:lvlText w:val="–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45F2A1DA"/>
    <w:lvl w:ilvl="0">
      <w:start w:val="1"/>
      <w:numFmt w:val="decimal"/>
      <w:pStyle w:val="Antrat1"/>
      <w:suff w:val="space"/>
      <w:lvlText w:val="%1."/>
      <w:lvlJc w:val="left"/>
      <w:pPr>
        <w:ind w:left="349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2."/>
      <w:lvlJc w:val="left"/>
      <w:pPr>
        <w:ind w:left="415" w:firstLine="720"/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822937959">
    <w:abstractNumId w:val="5"/>
  </w:num>
  <w:num w:numId="2" w16cid:durableId="39285078">
    <w:abstractNumId w:val="7"/>
  </w:num>
  <w:num w:numId="3" w16cid:durableId="2085905479">
    <w:abstractNumId w:val="1"/>
  </w:num>
  <w:num w:numId="4" w16cid:durableId="623199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791404">
    <w:abstractNumId w:val="0"/>
  </w:num>
  <w:num w:numId="6" w16cid:durableId="1221595418">
    <w:abstractNumId w:val="6"/>
  </w:num>
  <w:num w:numId="7" w16cid:durableId="39521282">
    <w:abstractNumId w:val="3"/>
  </w:num>
  <w:num w:numId="8" w16cid:durableId="83117858">
    <w:abstractNumId w:val="2"/>
  </w:num>
  <w:num w:numId="9" w16cid:durableId="132350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04"/>
    <w:rsid w:val="000133AA"/>
    <w:rsid w:val="00014214"/>
    <w:rsid w:val="00020A2F"/>
    <w:rsid w:val="000235E5"/>
    <w:rsid w:val="00052191"/>
    <w:rsid w:val="000A3B18"/>
    <w:rsid w:val="000A63F4"/>
    <w:rsid w:val="000B0DBC"/>
    <w:rsid w:val="000B3226"/>
    <w:rsid w:val="000C0243"/>
    <w:rsid w:val="000E12E3"/>
    <w:rsid w:val="000E1A2B"/>
    <w:rsid w:val="000F1243"/>
    <w:rsid w:val="001027F6"/>
    <w:rsid w:val="0010293D"/>
    <w:rsid w:val="00115B3B"/>
    <w:rsid w:val="00120AB4"/>
    <w:rsid w:val="001432C9"/>
    <w:rsid w:val="00147D18"/>
    <w:rsid w:val="00160BCD"/>
    <w:rsid w:val="00164786"/>
    <w:rsid w:val="001748D1"/>
    <w:rsid w:val="001748F3"/>
    <w:rsid w:val="0017570B"/>
    <w:rsid w:val="001A0F2C"/>
    <w:rsid w:val="001B563E"/>
    <w:rsid w:val="001B6428"/>
    <w:rsid w:val="001B6D09"/>
    <w:rsid w:val="001C354D"/>
    <w:rsid w:val="001D00B7"/>
    <w:rsid w:val="001D0133"/>
    <w:rsid w:val="001F1927"/>
    <w:rsid w:val="00212BF5"/>
    <w:rsid w:val="00213762"/>
    <w:rsid w:val="00223F36"/>
    <w:rsid w:val="00225A0C"/>
    <w:rsid w:val="002309AF"/>
    <w:rsid w:val="0023465D"/>
    <w:rsid w:val="00251E0C"/>
    <w:rsid w:val="002538B1"/>
    <w:rsid w:val="00257CD7"/>
    <w:rsid w:val="00260BAC"/>
    <w:rsid w:val="00280D87"/>
    <w:rsid w:val="00285978"/>
    <w:rsid w:val="002A1393"/>
    <w:rsid w:val="002A2D54"/>
    <w:rsid w:val="002A509D"/>
    <w:rsid w:val="002A690F"/>
    <w:rsid w:val="002B3DAC"/>
    <w:rsid w:val="002D3985"/>
    <w:rsid w:val="002E2E2D"/>
    <w:rsid w:val="002E3C78"/>
    <w:rsid w:val="002F3145"/>
    <w:rsid w:val="002F6D00"/>
    <w:rsid w:val="003136C5"/>
    <w:rsid w:val="00317CB7"/>
    <w:rsid w:val="00342B85"/>
    <w:rsid w:val="00350640"/>
    <w:rsid w:val="00352B1D"/>
    <w:rsid w:val="00357B3B"/>
    <w:rsid w:val="0037128E"/>
    <w:rsid w:val="00372B3A"/>
    <w:rsid w:val="003754C4"/>
    <w:rsid w:val="00376055"/>
    <w:rsid w:val="003946F7"/>
    <w:rsid w:val="003A0D98"/>
    <w:rsid w:val="003B0A5C"/>
    <w:rsid w:val="003C1FE7"/>
    <w:rsid w:val="003C4C10"/>
    <w:rsid w:val="003C6225"/>
    <w:rsid w:val="003D2865"/>
    <w:rsid w:val="003D4BCA"/>
    <w:rsid w:val="003D7CB4"/>
    <w:rsid w:val="003E16F4"/>
    <w:rsid w:val="003F59E5"/>
    <w:rsid w:val="00401808"/>
    <w:rsid w:val="004112E6"/>
    <w:rsid w:val="00417F7A"/>
    <w:rsid w:val="004208CE"/>
    <w:rsid w:val="00432D9F"/>
    <w:rsid w:val="004375E4"/>
    <w:rsid w:val="0044351D"/>
    <w:rsid w:val="0044442D"/>
    <w:rsid w:val="004526E7"/>
    <w:rsid w:val="004615BA"/>
    <w:rsid w:val="0046641F"/>
    <w:rsid w:val="004676A9"/>
    <w:rsid w:val="00481D70"/>
    <w:rsid w:val="00492A50"/>
    <w:rsid w:val="00497EFE"/>
    <w:rsid w:val="004E2BC5"/>
    <w:rsid w:val="004F1293"/>
    <w:rsid w:val="004F67A6"/>
    <w:rsid w:val="005018C1"/>
    <w:rsid w:val="005066C6"/>
    <w:rsid w:val="00515C47"/>
    <w:rsid w:val="00517713"/>
    <w:rsid w:val="00550310"/>
    <w:rsid w:val="00555A47"/>
    <w:rsid w:val="0055733B"/>
    <w:rsid w:val="00557DCF"/>
    <w:rsid w:val="00567F7B"/>
    <w:rsid w:val="0057246E"/>
    <w:rsid w:val="00576472"/>
    <w:rsid w:val="005854EB"/>
    <w:rsid w:val="00585DFD"/>
    <w:rsid w:val="00587132"/>
    <w:rsid w:val="005A5FD4"/>
    <w:rsid w:val="005A6516"/>
    <w:rsid w:val="005A75DA"/>
    <w:rsid w:val="005C5F08"/>
    <w:rsid w:val="005D6736"/>
    <w:rsid w:val="005F4E0D"/>
    <w:rsid w:val="005F5505"/>
    <w:rsid w:val="006428A4"/>
    <w:rsid w:val="00670D65"/>
    <w:rsid w:val="00674897"/>
    <w:rsid w:val="006777E6"/>
    <w:rsid w:val="006861E6"/>
    <w:rsid w:val="00696E32"/>
    <w:rsid w:val="006B27C9"/>
    <w:rsid w:val="006E4B26"/>
    <w:rsid w:val="006E5E2B"/>
    <w:rsid w:val="006F20FF"/>
    <w:rsid w:val="006F3705"/>
    <w:rsid w:val="006F529B"/>
    <w:rsid w:val="0071519A"/>
    <w:rsid w:val="00723AAB"/>
    <w:rsid w:val="0072477D"/>
    <w:rsid w:val="007325C4"/>
    <w:rsid w:val="00750337"/>
    <w:rsid w:val="00756C2B"/>
    <w:rsid w:val="007629E8"/>
    <w:rsid w:val="007861E7"/>
    <w:rsid w:val="00791BE8"/>
    <w:rsid w:val="007947C9"/>
    <w:rsid w:val="00795BEC"/>
    <w:rsid w:val="007977D0"/>
    <w:rsid w:val="007A4CF5"/>
    <w:rsid w:val="007A5072"/>
    <w:rsid w:val="007B663E"/>
    <w:rsid w:val="007C6521"/>
    <w:rsid w:val="007C77BB"/>
    <w:rsid w:val="007D44DA"/>
    <w:rsid w:val="00801171"/>
    <w:rsid w:val="00801679"/>
    <w:rsid w:val="008134E1"/>
    <w:rsid w:val="0081516B"/>
    <w:rsid w:val="00815C1E"/>
    <w:rsid w:val="008213F8"/>
    <w:rsid w:val="00826523"/>
    <w:rsid w:val="0083231F"/>
    <w:rsid w:val="00834FF0"/>
    <w:rsid w:val="00835EA1"/>
    <w:rsid w:val="0084054E"/>
    <w:rsid w:val="0085262C"/>
    <w:rsid w:val="00852968"/>
    <w:rsid w:val="008532D7"/>
    <w:rsid w:val="00860D4F"/>
    <w:rsid w:val="008677DC"/>
    <w:rsid w:val="00870BEA"/>
    <w:rsid w:val="00886DBF"/>
    <w:rsid w:val="008874B9"/>
    <w:rsid w:val="00897D18"/>
    <w:rsid w:val="008A2854"/>
    <w:rsid w:val="008A368B"/>
    <w:rsid w:val="008B6843"/>
    <w:rsid w:val="008C7E03"/>
    <w:rsid w:val="008E231A"/>
    <w:rsid w:val="008E27D1"/>
    <w:rsid w:val="008E6E29"/>
    <w:rsid w:val="008F3841"/>
    <w:rsid w:val="008F79D0"/>
    <w:rsid w:val="00912492"/>
    <w:rsid w:val="00915C06"/>
    <w:rsid w:val="00930238"/>
    <w:rsid w:val="009312A8"/>
    <w:rsid w:val="00931383"/>
    <w:rsid w:val="0093143B"/>
    <w:rsid w:val="00934E40"/>
    <w:rsid w:val="0095432A"/>
    <w:rsid w:val="009815CA"/>
    <w:rsid w:val="009824D5"/>
    <w:rsid w:val="00984BD0"/>
    <w:rsid w:val="009B73BB"/>
    <w:rsid w:val="009C7A58"/>
    <w:rsid w:val="009D420F"/>
    <w:rsid w:val="009D5E3F"/>
    <w:rsid w:val="009E19F2"/>
    <w:rsid w:val="009E6658"/>
    <w:rsid w:val="009E7912"/>
    <w:rsid w:val="009F18C5"/>
    <w:rsid w:val="00A01750"/>
    <w:rsid w:val="00A03240"/>
    <w:rsid w:val="00A12145"/>
    <w:rsid w:val="00A15A4C"/>
    <w:rsid w:val="00A24626"/>
    <w:rsid w:val="00A351D6"/>
    <w:rsid w:val="00A616AD"/>
    <w:rsid w:val="00A6218F"/>
    <w:rsid w:val="00AA76E9"/>
    <w:rsid w:val="00AD3C65"/>
    <w:rsid w:val="00AD58E4"/>
    <w:rsid w:val="00AE1C49"/>
    <w:rsid w:val="00AE6435"/>
    <w:rsid w:val="00AE6852"/>
    <w:rsid w:val="00AF6311"/>
    <w:rsid w:val="00AF6FDE"/>
    <w:rsid w:val="00B0488C"/>
    <w:rsid w:val="00B1740B"/>
    <w:rsid w:val="00B21F7B"/>
    <w:rsid w:val="00B31E8B"/>
    <w:rsid w:val="00B35F9B"/>
    <w:rsid w:val="00B363E0"/>
    <w:rsid w:val="00B42396"/>
    <w:rsid w:val="00B518D7"/>
    <w:rsid w:val="00B5442C"/>
    <w:rsid w:val="00B5616A"/>
    <w:rsid w:val="00B6231F"/>
    <w:rsid w:val="00BA76DC"/>
    <w:rsid w:val="00BB29C6"/>
    <w:rsid w:val="00BB5504"/>
    <w:rsid w:val="00BC26BD"/>
    <w:rsid w:val="00BC6917"/>
    <w:rsid w:val="00BE2763"/>
    <w:rsid w:val="00C00799"/>
    <w:rsid w:val="00C16C70"/>
    <w:rsid w:val="00C17041"/>
    <w:rsid w:val="00C170F0"/>
    <w:rsid w:val="00C27E90"/>
    <w:rsid w:val="00C32B0A"/>
    <w:rsid w:val="00C33F62"/>
    <w:rsid w:val="00C54F6E"/>
    <w:rsid w:val="00C559A7"/>
    <w:rsid w:val="00C62C5D"/>
    <w:rsid w:val="00CB22A3"/>
    <w:rsid w:val="00CB43E8"/>
    <w:rsid w:val="00CC4FF0"/>
    <w:rsid w:val="00CD479E"/>
    <w:rsid w:val="00CE63BD"/>
    <w:rsid w:val="00CE6A19"/>
    <w:rsid w:val="00CF438D"/>
    <w:rsid w:val="00D015A8"/>
    <w:rsid w:val="00D01718"/>
    <w:rsid w:val="00D5423D"/>
    <w:rsid w:val="00D62802"/>
    <w:rsid w:val="00D84D68"/>
    <w:rsid w:val="00D91EAB"/>
    <w:rsid w:val="00DA5C1B"/>
    <w:rsid w:val="00DB0EFA"/>
    <w:rsid w:val="00DB335D"/>
    <w:rsid w:val="00DC2698"/>
    <w:rsid w:val="00DC441B"/>
    <w:rsid w:val="00DC7EE3"/>
    <w:rsid w:val="00DD5F9C"/>
    <w:rsid w:val="00DE3875"/>
    <w:rsid w:val="00DF5463"/>
    <w:rsid w:val="00E030C6"/>
    <w:rsid w:val="00E055D1"/>
    <w:rsid w:val="00E12ECF"/>
    <w:rsid w:val="00E22651"/>
    <w:rsid w:val="00E240D6"/>
    <w:rsid w:val="00E24C44"/>
    <w:rsid w:val="00E277C9"/>
    <w:rsid w:val="00E33EF3"/>
    <w:rsid w:val="00E35825"/>
    <w:rsid w:val="00E40C49"/>
    <w:rsid w:val="00E4376C"/>
    <w:rsid w:val="00E44C40"/>
    <w:rsid w:val="00E70FB6"/>
    <w:rsid w:val="00E71187"/>
    <w:rsid w:val="00E93775"/>
    <w:rsid w:val="00EA25EA"/>
    <w:rsid w:val="00EA6101"/>
    <w:rsid w:val="00EB1F71"/>
    <w:rsid w:val="00EB518C"/>
    <w:rsid w:val="00EB7328"/>
    <w:rsid w:val="00EC1E88"/>
    <w:rsid w:val="00EC3253"/>
    <w:rsid w:val="00ED1BC1"/>
    <w:rsid w:val="00EE3901"/>
    <w:rsid w:val="00EF6573"/>
    <w:rsid w:val="00F337E5"/>
    <w:rsid w:val="00F42FD5"/>
    <w:rsid w:val="00F461C7"/>
    <w:rsid w:val="00F52ED5"/>
    <w:rsid w:val="00F610F6"/>
    <w:rsid w:val="00F93438"/>
    <w:rsid w:val="00F96A6D"/>
    <w:rsid w:val="00FA6CAE"/>
    <w:rsid w:val="00FA7748"/>
    <w:rsid w:val="00FC6A75"/>
    <w:rsid w:val="00FD236B"/>
    <w:rsid w:val="00FE2167"/>
    <w:rsid w:val="00FF1110"/>
    <w:rsid w:val="00FF541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ED3F"/>
  <w15:chartTrackingRefBased/>
  <w15:docId w15:val="{E75EE7EC-3FE3-48ED-960B-D037B8B1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7713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E030C6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Antrat2">
    <w:name w:val="heading 2"/>
    <w:aliases w:val="Title Header2,Char"/>
    <w:basedOn w:val="prastasis"/>
    <w:next w:val="prastasis"/>
    <w:link w:val="Antrat2Diagrama1"/>
    <w:uiPriority w:val="99"/>
    <w:qFormat/>
    <w:rsid w:val="00E030C6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uiPriority w:val="99"/>
    <w:qFormat/>
    <w:rsid w:val="00E030C6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uiPriority w:val="99"/>
    <w:qFormat/>
    <w:rsid w:val="00E030C6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</w:rPr>
  </w:style>
  <w:style w:type="paragraph" w:styleId="Antrat5">
    <w:name w:val="heading 5"/>
    <w:aliases w:val="Diagrama"/>
    <w:basedOn w:val="prastasis"/>
    <w:next w:val="prastasis"/>
    <w:link w:val="Antrat5Diagrama"/>
    <w:uiPriority w:val="99"/>
    <w:qFormat/>
    <w:rsid w:val="00E030C6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030C6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030C6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030C6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030C6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ody">
    <w:name w:val="Text body"/>
    <w:basedOn w:val="prastasis"/>
    <w:rsid w:val="007A4CF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D1BC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17041"/>
    <w:pPr>
      <w:suppressLineNumbers/>
    </w:pPr>
  </w:style>
  <w:style w:type="paragraph" w:styleId="Pagrindinistekstas">
    <w:name w:val="Body Text"/>
    <w:basedOn w:val="prastasis"/>
    <w:link w:val="PagrindinistekstasDiagrama1"/>
    <w:rsid w:val="009D5E3F"/>
    <w:pPr>
      <w:spacing w:after="0" w:line="240" w:lineRule="auto"/>
    </w:pPr>
    <w:rPr>
      <w:rFonts w:ascii="Times New Roman" w:eastAsia="Times New Roman" w:hAnsi="Times New Roman"/>
      <w:b/>
      <w:sz w:val="28"/>
      <w:szCs w:val="20"/>
    </w:rPr>
  </w:style>
  <w:style w:type="character" w:customStyle="1" w:styleId="PagrindinistekstasDiagrama">
    <w:name w:val="Pagrindinis tekstas Diagrama"/>
    <w:uiPriority w:val="99"/>
    <w:semiHidden/>
    <w:rsid w:val="009D5E3F"/>
    <w:rPr>
      <w:sz w:val="22"/>
      <w:szCs w:val="22"/>
      <w:lang w:eastAsia="en-US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9D5E3F"/>
    <w:rPr>
      <w:rFonts w:ascii="Times New Roman" w:eastAsia="Times New Roman" w:hAnsi="Times New Roman"/>
      <w:b/>
      <w:sz w:val="28"/>
      <w:lang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E030C6"/>
    <w:rPr>
      <w:rFonts w:ascii="Times New Roman" w:eastAsia="Times New Roman" w:hAnsi="Times New Roman"/>
      <w:sz w:val="28"/>
      <w:lang w:eastAsia="en-US"/>
    </w:rPr>
  </w:style>
  <w:style w:type="character" w:customStyle="1" w:styleId="Antrat2Diagrama">
    <w:name w:val="Antraštė 2 Diagrama"/>
    <w:uiPriority w:val="9"/>
    <w:semiHidden/>
    <w:rsid w:val="00E030C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"/>
    <w:link w:val="Antrat3"/>
    <w:uiPriority w:val="99"/>
    <w:rsid w:val="00E030C6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link w:val="Antrat4"/>
    <w:uiPriority w:val="99"/>
    <w:rsid w:val="00E030C6"/>
    <w:rPr>
      <w:rFonts w:ascii="Times New Roman" w:eastAsia="Times New Roman" w:hAnsi="Times New Roman"/>
      <w:b/>
      <w:sz w:val="44"/>
      <w:lang w:eastAsia="en-US"/>
    </w:rPr>
  </w:style>
  <w:style w:type="character" w:customStyle="1" w:styleId="Antrat5Diagrama">
    <w:name w:val="Antraštė 5 Diagrama"/>
    <w:aliases w:val="Diagrama Diagrama"/>
    <w:link w:val="Antrat5"/>
    <w:uiPriority w:val="99"/>
    <w:rsid w:val="00E030C6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uiPriority w:val="99"/>
    <w:rsid w:val="00E030C6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uiPriority w:val="99"/>
    <w:rsid w:val="00E030C6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uiPriority w:val="99"/>
    <w:rsid w:val="00E030C6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uiPriority w:val="99"/>
    <w:rsid w:val="00E030C6"/>
    <w:rPr>
      <w:rFonts w:ascii="Times New Roman" w:eastAsia="Times New Roman" w:hAnsi="Times New Roman"/>
      <w:sz w:val="40"/>
      <w:lang w:eastAsia="en-US"/>
    </w:rPr>
  </w:style>
  <w:style w:type="character" w:customStyle="1" w:styleId="Antrat2Diagrama1">
    <w:name w:val="Antraštė 2 Diagrama1"/>
    <w:aliases w:val="Title Header2 Diagrama,Char Diagrama"/>
    <w:link w:val="Antrat2"/>
    <w:uiPriority w:val="99"/>
    <w:locked/>
    <w:rsid w:val="00E030C6"/>
    <w:rPr>
      <w:rFonts w:ascii="Times New Roman" w:eastAsia="Times New Roman" w:hAnsi="Times New Roman"/>
      <w:sz w:val="24"/>
      <w:lang w:eastAsia="en-US"/>
    </w:rPr>
  </w:style>
  <w:style w:type="paragraph" w:styleId="Antrats">
    <w:name w:val="header"/>
    <w:aliases w:val="Specialioji žyma"/>
    <w:basedOn w:val="prastasis"/>
    <w:link w:val="AntratsDiagrama1"/>
    <w:rsid w:val="00DB335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AntratsDiagrama">
    <w:name w:val="Antraštės Diagrama"/>
    <w:uiPriority w:val="99"/>
    <w:semiHidden/>
    <w:rsid w:val="00DB335D"/>
    <w:rPr>
      <w:sz w:val="22"/>
      <w:szCs w:val="22"/>
      <w:lang w:eastAsia="en-US"/>
    </w:rPr>
  </w:style>
  <w:style w:type="character" w:customStyle="1" w:styleId="AntratsDiagrama1">
    <w:name w:val="Antraštės Diagrama1"/>
    <w:aliases w:val="Specialioji žyma Diagrama"/>
    <w:link w:val="Antrats"/>
    <w:locked/>
    <w:rsid w:val="00DB335D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aliases w:val="Char1,Char11"/>
    <w:basedOn w:val="prastasis"/>
    <w:link w:val="PoratDiagrama1"/>
    <w:uiPriority w:val="99"/>
    <w:rsid w:val="00DB335D"/>
    <w:pPr>
      <w:spacing w:after="160" w:line="240" w:lineRule="exact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PoratDiagrama">
    <w:name w:val="Poraštė Diagrama"/>
    <w:uiPriority w:val="99"/>
    <w:semiHidden/>
    <w:rsid w:val="00DB335D"/>
    <w:rPr>
      <w:sz w:val="22"/>
      <w:szCs w:val="22"/>
      <w:lang w:eastAsia="en-US"/>
    </w:rPr>
  </w:style>
  <w:style w:type="character" w:customStyle="1" w:styleId="PoratDiagrama1">
    <w:name w:val="Poraštė Diagrama1"/>
    <w:aliases w:val="Char1 Diagrama,Char11 Diagrama"/>
    <w:link w:val="Porat"/>
    <w:uiPriority w:val="99"/>
    <w:locked/>
    <w:rsid w:val="00DB335D"/>
    <w:rPr>
      <w:rFonts w:ascii="Times New Roman" w:eastAsia="Times New Roman" w:hAnsi="Times New Roman"/>
      <w:sz w:val="24"/>
      <w:lang w:eastAsia="en-US"/>
    </w:rPr>
  </w:style>
  <w:style w:type="paragraph" w:styleId="Turinys1">
    <w:name w:val="toc 1"/>
    <w:basedOn w:val="prastasis"/>
    <w:next w:val="prastasis"/>
    <w:autoRedefine/>
    <w:uiPriority w:val="99"/>
    <w:semiHidden/>
    <w:rsid w:val="00750337"/>
    <w:pPr>
      <w:spacing w:after="0" w:line="240" w:lineRule="auto"/>
      <w:ind w:right="-204"/>
    </w:pPr>
    <w:rPr>
      <w:rFonts w:ascii="Times New Roman" w:eastAsia="Times New Roman" w:hAnsi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12145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A12145"/>
    <w:rPr>
      <w:sz w:val="16"/>
      <w:szCs w:val="16"/>
      <w:lang w:eastAsia="en-US"/>
    </w:rPr>
  </w:style>
  <w:style w:type="character" w:customStyle="1" w:styleId="HeaderChar1">
    <w:name w:val="Header Char1"/>
    <w:aliases w:val="Specialioji žyma Char1"/>
    <w:locked/>
    <w:rsid w:val="003D2865"/>
    <w:rPr>
      <w:rFonts w:ascii="Times New Roman" w:hAnsi="Times New Roman"/>
      <w:sz w:val="24"/>
      <w:szCs w:val="20"/>
      <w:lang w:eastAsia="en-US"/>
    </w:rPr>
  </w:style>
  <w:style w:type="character" w:customStyle="1" w:styleId="FooterChar1">
    <w:name w:val="Footer Char1"/>
    <w:aliases w:val="Char1 Char1,Char11 Char1"/>
    <w:uiPriority w:val="99"/>
    <w:locked/>
    <w:rsid w:val="003D2865"/>
    <w:rPr>
      <w:rFonts w:ascii="Times New Roman" w:hAnsi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F19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192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B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aginas@visagin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A2B2-15C6-4382-9751-7F479727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3745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5870</CharactersWithSpaces>
  <SharedDoc>false</SharedDoc>
  <HLinks>
    <vt:vector size="6" baseType="variant">
      <vt:variant>
        <vt:i4>4522082</vt:i4>
      </vt:variant>
      <vt:variant>
        <vt:i4>0</vt:i4>
      </vt:variant>
      <vt:variant>
        <vt:i4>0</vt:i4>
      </vt:variant>
      <vt:variant>
        <vt:i4>5</vt:i4>
      </vt:variant>
      <vt:variant>
        <vt:lpwstr>mailto:info@visaginoligonine.lt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cp:lastModifiedBy>Loreta Jatkevičienė</cp:lastModifiedBy>
  <cp:revision>24</cp:revision>
  <cp:lastPrinted>2025-04-28T08:21:00Z</cp:lastPrinted>
  <dcterms:created xsi:type="dcterms:W3CDTF">2025-04-15T12:02:00Z</dcterms:created>
  <dcterms:modified xsi:type="dcterms:W3CDTF">2025-05-29T08:25:00Z</dcterms:modified>
</cp:coreProperties>
</file>