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5F0CD9C" w:rsidR="00B767F3" w:rsidRPr="002B7C65" w:rsidRDefault="002B7C65" w:rsidP="002B7C65">
            <w:pPr>
              <w:jc w:val="center"/>
              <w:rPr>
                <w:b/>
                <w:bCs/>
                <w:kern w:val="2"/>
                <w:szCs w:val="24"/>
              </w:rPr>
            </w:pPr>
            <w:r w:rsidRPr="002B7C65">
              <w:rPr>
                <w:b/>
                <w:bCs/>
                <w:kern w:val="2"/>
                <w:szCs w:val="24"/>
              </w:rPr>
              <w:t>GAMINAMI VAISTINIAI PREPARATAI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A4C4D7D" w:rsidR="002B7C65" w:rsidRPr="00F84045" w:rsidRDefault="00FF42D2"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D39B8A9" w14:textId="2C77839F" w:rsidR="002B7C65" w:rsidRPr="00112B80" w:rsidRDefault="002B7C65" w:rsidP="002B7C65">
            <w:pPr>
              <w:rPr>
                <w:rStyle w:val="Hipersaitas"/>
                <w:rFonts w:eastAsia="Calibri"/>
                <w:szCs w:val="24"/>
              </w:rPr>
            </w:pPr>
            <w:r w:rsidRPr="00112B80">
              <w:rPr>
                <w:szCs w:val="24"/>
              </w:rPr>
              <w:t xml:space="preserve">Vaistinės vedėja </w:t>
            </w:r>
            <w:r w:rsidRPr="00112B80">
              <w:rPr>
                <w:color w:val="363636"/>
                <w:szCs w:val="24"/>
              </w:rPr>
              <w:t xml:space="preserve">Žemyna Bredelienė, tel. Nr. </w:t>
            </w:r>
            <w:r w:rsidR="00FF42D2">
              <w:rPr>
                <w:color w:val="363636"/>
                <w:szCs w:val="24"/>
              </w:rPr>
              <w:t>0</w:t>
            </w:r>
            <w:r w:rsidRPr="00112B80">
              <w:rPr>
                <w:color w:val="363636"/>
                <w:szCs w:val="24"/>
              </w:rPr>
              <w:t xml:space="preserve">46 396510, </w:t>
            </w:r>
            <w:proofErr w:type="spellStart"/>
            <w:r w:rsidRPr="00112B80">
              <w:rPr>
                <w:color w:val="363636"/>
                <w:szCs w:val="24"/>
              </w:rPr>
              <w:t>el.p</w:t>
            </w:r>
            <w:proofErr w:type="spellEnd"/>
            <w:r w:rsidRPr="00112B80">
              <w:rPr>
                <w:color w:val="363636"/>
                <w:szCs w:val="24"/>
              </w:rPr>
              <w:t xml:space="preserve">. </w:t>
            </w:r>
            <w:hyperlink r:id="rId9" w:history="1">
              <w:r w:rsidRPr="00112B80">
                <w:rPr>
                  <w:rStyle w:val="Hipersaitas"/>
                  <w:rFonts w:eastAsia="Calibri"/>
                  <w:szCs w:val="24"/>
                </w:rPr>
                <w:t>zemyna.bredeliene@kulig.lt</w:t>
              </w:r>
            </w:hyperlink>
          </w:p>
          <w:p w14:paraId="7F0B4562" w14:textId="457ECC7C"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proofErr w:type="spellStart"/>
            <w:r w:rsidRPr="00112B80">
              <w:rPr>
                <w:rStyle w:val="Emfaz"/>
                <w:i w:val="0"/>
                <w:iCs w:val="0"/>
                <w:szCs w:val="24"/>
                <w:shd w:val="clear" w:color="auto" w:fill="FFFFFF"/>
              </w:rPr>
              <w:t>Zajančauskytė</w:t>
            </w:r>
            <w:proofErr w:type="spellEnd"/>
            <w:r w:rsidRPr="00112B80">
              <w:rPr>
                <w:szCs w:val="24"/>
                <w:shd w:val="clear" w:color="auto" w:fill="FFFFFF"/>
              </w:rPr>
              <w:t xml:space="preserve">, tel. </w:t>
            </w:r>
            <w:r w:rsidR="00FF42D2">
              <w:rPr>
                <w:szCs w:val="24"/>
                <w:shd w:val="clear" w:color="auto" w:fill="FFFFFF"/>
              </w:rPr>
              <w:t>0</w:t>
            </w:r>
            <w:r w:rsidRPr="00112B80">
              <w:rPr>
                <w:szCs w:val="24"/>
                <w:shd w:val="clear" w:color="auto" w:fill="FFFFFF"/>
              </w:rPr>
              <w:t xml:space="preserve">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06618DC5" w:rsidR="002B7C65" w:rsidRPr="00112B80" w:rsidRDefault="002B7C65" w:rsidP="002B7C65">
            <w:pPr>
              <w:rPr>
                <w:rStyle w:val="Hipersaitas"/>
                <w:rFonts w:eastAsia="TimesNewRomanPSMT"/>
                <w:szCs w:val="24"/>
              </w:rPr>
            </w:pPr>
            <w:r w:rsidRPr="00112B80">
              <w:rPr>
                <w:kern w:val="2"/>
                <w:szCs w:val="24"/>
              </w:rPr>
              <w:lastRenderedPageBreak/>
              <w:t xml:space="preserve">Viešųjų pirkimų skyriaus vyriausioji specialistė Diana Kuzmarskienė, tel. Nr. </w:t>
            </w:r>
            <w:r w:rsidR="00FF42D2">
              <w:rPr>
                <w:kern w:val="2"/>
                <w:szCs w:val="24"/>
              </w:rPr>
              <w:t>0</w:t>
            </w:r>
            <w:r w:rsidRPr="00112B80">
              <w:rPr>
                <w:kern w:val="2"/>
                <w:szCs w:val="24"/>
              </w:rPr>
              <w:t xml:space="preserve">46 412908, </w:t>
            </w:r>
            <w:proofErr w:type="spellStart"/>
            <w:r w:rsidRPr="00112B80">
              <w:rPr>
                <w:kern w:val="2"/>
                <w:szCs w:val="24"/>
              </w:rPr>
              <w:t>el.p</w:t>
            </w:r>
            <w:proofErr w:type="spellEnd"/>
            <w:r w:rsidRPr="00112B80">
              <w:rPr>
                <w:kern w:val="2"/>
                <w:szCs w:val="24"/>
              </w:rPr>
              <w:t xml:space="preserve">. </w:t>
            </w:r>
            <w:hyperlink r:id="rId11"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7777777"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nurodytus gaminamus vaistinius preparatus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Default="002B7C65">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77777777"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Pr="00F84045">
              <w:rPr>
                <w:b/>
                <w:bCs/>
                <w:kern w:val="2"/>
                <w:szCs w:val="24"/>
              </w:rPr>
              <w:t>5 darbo dienas</w:t>
            </w:r>
            <w:r w:rsidRPr="00F84045">
              <w:rPr>
                <w:kern w:val="2"/>
                <w:szCs w:val="24"/>
              </w:rPr>
              <w:t xml:space="preserve"> nuo užsakymo pateikimo dienos šiais adresais: </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DC86DDF" w:rsidR="00B767F3" w:rsidRPr="00F84045" w:rsidRDefault="00D03C1E">
            <w:pPr>
              <w:rPr>
                <w:kern w:val="2"/>
                <w:szCs w:val="24"/>
              </w:rPr>
            </w:pPr>
            <w:r w:rsidRPr="00F84045">
              <w:rPr>
                <w:kern w:val="2"/>
                <w:szCs w:val="24"/>
              </w:rPr>
              <w:t xml:space="preserve">Kartu su Prekėmis pateikiami </w:t>
            </w:r>
            <w:r w:rsidRPr="00F84045">
              <w:rPr>
                <w:szCs w:val="24"/>
              </w:rPr>
              <w:t>siuntos dokumentai, kurie atitinka farmacinės veiklos nuostatas</w:t>
            </w:r>
            <w:r w:rsidRPr="00F84045">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lastRenderedPageBreak/>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FF42D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lastRenderedPageBreak/>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lastRenderedPageBreak/>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6921DAD" w14:textId="77777777" w:rsidR="00643FA0" w:rsidRPr="00643FA0" w:rsidRDefault="00643FA0" w:rsidP="00643FA0">
            <w:pPr>
              <w:rPr>
                <w:kern w:val="2"/>
                <w:szCs w:val="24"/>
              </w:rPr>
            </w:pPr>
            <w:r w:rsidRPr="00643FA0">
              <w:rPr>
                <w:kern w:val="2"/>
                <w:szCs w:val="24"/>
              </w:rPr>
              <w:t>10.1.1. Prekių kokybė;</w:t>
            </w:r>
          </w:p>
          <w:p w14:paraId="3657475F" w14:textId="4F3432DC" w:rsidR="00B767F3" w:rsidRPr="00643FA0" w:rsidRDefault="00643FA0">
            <w:pPr>
              <w:rPr>
                <w:b/>
                <w:bCs/>
                <w:kern w:val="2"/>
                <w:szCs w:val="24"/>
              </w:rPr>
            </w:pPr>
            <w:r w:rsidRPr="00643FA0">
              <w:rPr>
                <w:kern w:val="2"/>
                <w:szCs w:val="24"/>
              </w:rPr>
              <w:t>10.1.2. Prekių pristatymo tvarka ir terminai.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1313334" w:rsidR="00B767F3" w:rsidRDefault="00643FA0">
            <w:pPr>
              <w:rPr>
                <w:kern w:val="2"/>
                <w:szCs w:val="24"/>
              </w:rPr>
            </w:pPr>
            <w:r w:rsidRPr="00F84045">
              <w:rPr>
                <w:kern w:val="2"/>
                <w:szCs w:val="24"/>
              </w:rPr>
              <w:t>D</w:t>
            </w:r>
            <w:r w:rsidR="00DD7479" w:rsidRPr="00F84045">
              <w:rPr>
                <w:kern w:val="2"/>
                <w:szCs w:val="24"/>
              </w:rPr>
              <w:t xml:space="preserve">ideliu ar nuolatiniu esminės Sutarties sąlygos vykdymo trūkumu laikomas Tiekėjo uždelsimas, trunkantis daugiau ne 5 darbo dienas, tiekti Prekes </w:t>
            </w:r>
            <w:r w:rsidRPr="00F84045">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A21E127"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43FA0">
              <w:rPr>
                <w:color w:val="000000"/>
                <w:kern w:val="2"/>
                <w:szCs w:val="24"/>
              </w:rPr>
              <w:t>10 mėnesių (9 mėn. prekių pristatymui ir 1 mėn. apmokėjimui).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7E875BDA" w:rsidR="00B767F3" w:rsidRPr="00F84045" w:rsidRDefault="00DD7479">
            <w:pPr>
              <w:rPr>
                <w:kern w:val="2"/>
                <w:szCs w:val="24"/>
              </w:rPr>
            </w:pPr>
            <w:r w:rsidRPr="00F84045">
              <w:rPr>
                <w:kern w:val="2"/>
                <w:szCs w:val="24"/>
              </w:rPr>
              <w:t>Šalių abipusiu rašytiniu Susitarimu Sutartis tomis pačiomis sąlygomis nedidinant Sutarties kainos</w:t>
            </w:r>
            <w:r w:rsidR="00F84045" w:rsidRPr="00F84045">
              <w:rPr>
                <w:kern w:val="2"/>
                <w:szCs w:val="24"/>
              </w:rPr>
              <w:t xml:space="preserve"> </w:t>
            </w:r>
            <w:r w:rsidRPr="00F84045">
              <w:rPr>
                <w:kern w:val="2"/>
                <w:szCs w:val="24"/>
              </w:rPr>
              <w:t xml:space="preserve">gali būti pratęsta 1 (vieną) kartą </w:t>
            </w:r>
            <w:r w:rsidR="00643FA0" w:rsidRPr="00F84045">
              <w:rPr>
                <w:kern w:val="2"/>
                <w:szCs w:val="24"/>
              </w:rPr>
              <w:t>3</w:t>
            </w:r>
            <w:r w:rsidRPr="00F84045">
              <w:rPr>
                <w:kern w:val="2"/>
                <w:szCs w:val="24"/>
              </w:rPr>
              <w:t> (</w:t>
            </w:r>
            <w:r w:rsidR="00643FA0" w:rsidRPr="00F84045">
              <w:rPr>
                <w:kern w:val="2"/>
                <w:szCs w:val="24"/>
              </w:rPr>
              <w:t>trims</w:t>
            </w:r>
            <w:r w:rsidRPr="00F84045">
              <w:rPr>
                <w:kern w:val="2"/>
                <w:szCs w:val="24"/>
              </w:rPr>
              <w:t>) mėnesi</w:t>
            </w:r>
            <w:r w:rsidR="00643FA0" w:rsidRPr="00F84045">
              <w:rPr>
                <w:kern w:val="2"/>
                <w:szCs w:val="24"/>
              </w:rPr>
              <w:t>ams</w:t>
            </w:r>
            <w:r w:rsidRPr="00F84045">
              <w:rPr>
                <w:kern w:val="2"/>
                <w:szCs w:val="24"/>
              </w:rPr>
              <w:t>, jeigu yra išlikęs poreikis ir esant šiai (šioms) aplinkybėms</w:t>
            </w:r>
            <w:r w:rsidR="00643FA0" w:rsidRPr="00F84045">
              <w:rPr>
                <w:kern w:val="2"/>
                <w:szCs w:val="24"/>
              </w:rPr>
              <w:t>:</w:t>
            </w:r>
          </w:p>
          <w:p w14:paraId="5BFF1F84" w14:textId="45C97DE8" w:rsidR="00B767F3" w:rsidRPr="00F84045" w:rsidRDefault="00DD7479">
            <w:pPr>
              <w:rPr>
                <w:rFonts w:eastAsia="Arial"/>
                <w:szCs w:val="24"/>
              </w:rPr>
            </w:pPr>
            <w:r w:rsidRPr="00F84045">
              <w:rPr>
                <w:rFonts w:eastAsia="Calibri"/>
                <w:szCs w:val="24"/>
              </w:rPr>
              <w:lastRenderedPageBreak/>
              <w:t>11.2.1. </w:t>
            </w:r>
            <w:r w:rsidRPr="00F84045">
              <w:rPr>
                <w:rFonts w:eastAsia="Arial"/>
                <w:szCs w:val="24"/>
              </w:rPr>
              <w:t>Pirkėjas neišpirko Prekių pagal Sutartį ir nėra išnaudota Sutarties kaina</w:t>
            </w:r>
            <w:r w:rsidR="00643FA0" w:rsidRPr="00F84045">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FF42D2" w:rsidRDefault="00E02842" w:rsidP="00E02842">
            <w:pPr>
              <w:snapToGrid w:val="0"/>
              <w:jc w:val="center"/>
              <w:rPr>
                <w:rFonts w:eastAsia="Calibri"/>
                <w:bCs/>
                <w:szCs w:val="24"/>
              </w:rPr>
            </w:pPr>
            <w:r w:rsidRPr="00FF42D2">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FF42D2">
              <w:rPr>
                <w:rFonts w:eastAsia="Calibri"/>
                <w:bCs/>
                <w:szCs w:val="24"/>
              </w:rPr>
              <w:t xml:space="preserve">Jūratė </w:t>
            </w:r>
            <w:proofErr w:type="spellStart"/>
            <w:r w:rsidRPr="00FF42D2">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458"/>
    <w:rsid w:val="00112B80"/>
    <w:rsid w:val="0011733A"/>
    <w:rsid w:val="00144FDC"/>
    <w:rsid w:val="001B2EB7"/>
    <w:rsid w:val="00201517"/>
    <w:rsid w:val="00202E5E"/>
    <w:rsid w:val="002B7C65"/>
    <w:rsid w:val="002F0B5F"/>
    <w:rsid w:val="003B2818"/>
    <w:rsid w:val="003E5D1D"/>
    <w:rsid w:val="004508F6"/>
    <w:rsid w:val="004564B0"/>
    <w:rsid w:val="005828DD"/>
    <w:rsid w:val="00587E3C"/>
    <w:rsid w:val="00643FA0"/>
    <w:rsid w:val="00694435"/>
    <w:rsid w:val="00697218"/>
    <w:rsid w:val="00697D6F"/>
    <w:rsid w:val="007919E1"/>
    <w:rsid w:val="007E26F5"/>
    <w:rsid w:val="008618E2"/>
    <w:rsid w:val="008844A6"/>
    <w:rsid w:val="008911F6"/>
    <w:rsid w:val="0093261F"/>
    <w:rsid w:val="009C0E1E"/>
    <w:rsid w:val="00A16EEB"/>
    <w:rsid w:val="00A412B3"/>
    <w:rsid w:val="00B767F3"/>
    <w:rsid w:val="00BA35D8"/>
    <w:rsid w:val="00BC7BFE"/>
    <w:rsid w:val="00BF0847"/>
    <w:rsid w:val="00D03C1E"/>
    <w:rsid w:val="00D046B4"/>
    <w:rsid w:val="00D13F9E"/>
    <w:rsid w:val="00DD7479"/>
    <w:rsid w:val="00E02842"/>
    <w:rsid w:val="00F2345C"/>
    <w:rsid w:val="00F84045"/>
    <w:rsid w:val="00FF4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12433</Words>
  <Characters>7088</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Kuzmarskienė</cp:lastModifiedBy>
  <cp:revision>23</cp:revision>
  <dcterms:created xsi:type="dcterms:W3CDTF">2025-05-15T08:44:00Z</dcterms:created>
  <dcterms:modified xsi:type="dcterms:W3CDTF">2025-06-04T13:16:00Z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