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08A7931" w14:textId="77777777" w:rsidR="00242EEC" w:rsidRPr="00242EEC" w:rsidRDefault="00242EEC" w:rsidP="00242EEC">
          <w:pPr>
            <w:jc w:val="center"/>
            <w:rPr>
              <w:rFonts w:ascii="Times New Roman" w:hAnsi="Times New Roman" w:cs="Times New Roman"/>
              <w:b/>
              <w:bCs/>
              <w:sz w:val="24"/>
              <w:szCs w:val="24"/>
            </w:rPr>
          </w:pPr>
          <w:r w:rsidRPr="00242EEC">
            <w:rPr>
              <w:rFonts w:ascii="Times New Roman" w:hAnsi="Times New Roman" w:cs="Times New Roman"/>
              <w:b/>
              <w:bCs/>
              <w:sz w:val="24"/>
              <w:szCs w:val="24"/>
            </w:rPr>
            <w:t>AUTOBUSŲ ATSARGINIŲ DALIŲ IR REIKMENŲ</w:t>
          </w:r>
        </w:p>
        <w:p w14:paraId="3185D41F" w14:textId="77777777" w:rsidR="00242EEC" w:rsidRDefault="00242EEC" w:rsidP="00242EEC">
          <w:pPr>
            <w:jc w:val="center"/>
            <w:rPr>
              <w:rFonts w:ascii="Times New Roman" w:hAnsi="Times New Roman" w:cs="Times New Roman"/>
              <w:b/>
              <w:bCs/>
              <w:sz w:val="24"/>
              <w:szCs w:val="24"/>
            </w:rPr>
          </w:pPr>
          <w:r w:rsidRPr="00242EEC">
            <w:rPr>
              <w:rFonts w:ascii="Times New Roman" w:hAnsi="Times New Roman" w:cs="Times New Roman"/>
              <w:b/>
              <w:bCs/>
              <w:sz w:val="24"/>
              <w:szCs w:val="24"/>
            </w:rPr>
            <w:t xml:space="preserve">TARPTAUTINIO VIEŠOJO PIRKIMO </w:t>
          </w:r>
        </w:p>
        <w:p w14:paraId="05EABC66" w14:textId="7874BD0F" w:rsidR="00184B8C" w:rsidRPr="002A1A3A" w:rsidRDefault="002A1A3A" w:rsidP="00242EEC">
          <w:pPr>
            <w:jc w:val="center"/>
            <w:rPr>
              <w:rFonts w:ascii="Times New Roman" w:hAnsi="Times New Roman" w:cs="Times New Roman"/>
              <w:b/>
              <w:bCs/>
              <w:sz w:val="24"/>
              <w:szCs w:val="24"/>
            </w:rPr>
          </w:pPr>
          <w:r w:rsidRPr="002A1A3A">
            <w:rPr>
              <w:rFonts w:ascii="Times New Roman" w:hAnsi="Times New Roman" w:cs="Times New Roman"/>
              <w:b/>
              <w:bCs/>
              <w:sz w:val="24"/>
              <w:szCs w:val="24"/>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CD176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BF7600" w:rsidRDefault="00BF7600" w:rsidP="00BF7600">
          <w:pPr>
            <w:pStyle w:val="Turinioantrat"/>
            <w:pBdr>
              <w:bottom w:val="none" w:sz="0" w:space="0" w:color="auto"/>
            </w:pBdr>
            <w:spacing w:line="276" w:lineRule="auto"/>
            <w:jc w:val="center"/>
            <w:rPr>
              <w:rFonts w:ascii="Times New Roman" w:hAnsi="Times New Roman" w:cs="Times New Roman"/>
              <w:b/>
              <w:bCs/>
              <w:color w:val="auto"/>
              <w:sz w:val="24"/>
              <w:szCs w:val="24"/>
              <w:lang w:val="lt-LT"/>
            </w:rPr>
          </w:pPr>
          <w:r w:rsidRPr="00BF7600">
            <w:rPr>
              <w:rFonts w:ascii="Times New Roman" w:hAnsi="Times New Roman" w:cs="Times New Roman"/>
              <w:b/>
              <w:bCs/>
              <w:color w:val="auto"/>
              <w:sz w:val="24"/>
              <w:szCs w:val="24"/>
              <w:lang w:val="lt-LT"/>
            </w:rPr>
            <w:t>TURINYS</w:t>
          </w:r>
        </w:p>
        <w:p w14:paraId="79141239" w14:textId="60215EB2" w:rsidR="00B47B9A" w:rsidRPr="00BF7600" w:rsidRDefault="00FE2F38" w:rsidP="00D567F5">
          <w:pPr>
            <w:pStyle w:val="Turinys1"/>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D567F5">
          <w:pPr>
            <w:spacing w:after="100"/>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D567F5">
      <w:pPr>
        <w:spacing w:after="0"/>
        <w:rPr>
          <w:lang w:val="lt-LT"/>
        </w:rPr>
      </w:pPr>
      <w:r w:rsidRPr="0036054C">
        <w:rPr>
          <w:lang w:val="lt-LT"/>
        </w:rPr>
        <w:br w:type="page"/>
      </w:r>
    </w:p>
    <w:p w14:paraId="5CD6D699" w14:textId="23FD2A27" w:rsidR="00184B8C" w:rsidRPr="00AC3CB7" w:rsidRDefault="00AC3CB7" w:rsidP="00D567F5">
      <w:pPr>
        <w:pStyle w:val="Antrat1"/>
        <w:pBdr>
          <w:bottom w:val="none" w:sz="0" w:space="0" w:color="auto"/>
        </w:pBdr>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497A39DB"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B64D42" w:rsidRPr="00BA66F2">
          <w:rPr>
            <w:rStyle w:val="Hipersaitas"/>
            <w:rFonts w:ascii="Times New Roman" w:hAnsi="Times New Roman" w:cs="Times New Roman"/>
            <w:sz w:val="22"/>
            <w:szCs w:val="22"/>
            <w:u w:val="single"/>
          </w:rPr>
          <w:t>https://viesiejipirkimai.lt/epps/home.do</w:t>
        </w:r>
      </w:hyperlink>
      <w:r w:rsidR="00B64D42" w:rsidRPr="00BA66F2">
        <w:rPr>
          <w:rFonts w:ascii="Times New Roman" w:hAnsi="Times New Roman" w:cs="Times New Roman"/>
          <w:sz w:val="22"/>
          <w:szCs w:val="22"/>
          <w:u w:val="single"/>
        </w:rPr>
        <w:t>.</w:t>
      </w:r>
      <w:r w:rsidR="00B64D42" w:rsidRPr="00B64D42">
        <w:rPr>
          <w:sz w:val="22"/>
          <w:szCs w:val="22"/>
        </w:rPr>
        <w:t xml:space="preserve"> </w:t>
      </w:r>
    </w:p>
    <w:p w14:paraId="6D2FA0B8" w14:textId="5F0A21A1" w:rsidR="00E2488F"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717F6010"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w:t>
      </w:r>
      <w:r w:rsidR="00184B8C" w:rsidRPr="00D03AE6">
        <w:rPr>
          <w:rFonts w:ascii="Times New Roman" w:hAnsi="Times New Roman" w:cs="Times New Roman"/>
          <w:sz w:val="22"/>
          <w:szCs w:val="22"/>
          <w:lang w:val="lt-LT"/>
        </w:rPr>
        <w:t xml:space="preserve">svetainėje </w:t>
      </w:r>
      <w:hyperlink r:id="rId13" w:history="1">
        <w:r w:rsidR="00BA66F2" w:rsidRPr="00BA66F2">
          <w:rPr>
            <w:rStyle w:val="Hipersaitas"/>
            <w:rFonts w:ascii="Times New Roman" w:hAnsi="Times New Roman" w:cs="Times New Roman"/>
            <w:sz w:val="22"/>
            <w:szCs w:val="22"/>
            <w:u w:val="single"/>
          </w:rPr>
          <w:t>https://ebvpd.eviesiejipirkimai.lt/espd-web/</w:t>
        </w:r>
      </w:hyperlink>
      <w:r w:rsidR="00BA66F2" w:rsidRPr="00BA66F2">
        <w:rPr>
          <w:rFonts w:ascii="Times New Roman" w:hAnsi="Times New Roman" w:cs="Times New Roman"/>
          <w:sz w:val="22"/>
          <w:szCs w:val="22"/>
          <w:u w:val="single"/>
        </w:rPr>
        <w:t>.</w:t>
      </w:r>
      <w:r w:rsidR="00BA66F2" w:rsidRPr="00BA66F2">
        <w:rPr>
          <w:sz w:val="22"/>
          <w:szCs w:val="22"/>
        </w:rPr>
        <w:t xml:space="preserve"> </w:t>
      </w:r>
    </w:p>
    <w:p w14:paraId="1EEF1EAD" w14:textId="6A155E7C"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8B77CC">
      <w:pPr>
        <w:spacing w:after="0"/>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8B77CC">
      <w:pPr>
        <w:spacing w:after="0"/>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8B77CC">
      <w:pPr>
        <w:spacing w:after="0"/>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8B77CC">
      <w:pPr>
        <w:spacing w:after="0"/>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proofErr w:type="spellStart"/>
      <w:r w:rsidR="00E869DD" w:rsidRPr="008B77CC">
        <w:rPr>
          <w:rFonts w:ascii="Times New Roman" w:hAnsi="Times New Roman" w:cs="Times New Roman"/>
          <w:b/>
          <w:sz w:val="22"/>
          <w:szCs w:val="22"/>
          <w:lang w:val="lt-LT"/>
        </w:rPr>
        <w:t>Kvazisubtiekėjas</w:t>
      </w:r>
      <w:proofErr w:type="spellEnd"/>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8B77CC">
      <w:pPr>
        <w:spacing w:after="0"/>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FF0DFD">
      <w:pPr>
        <w:pStyle w:val="Antrat1"/>
        <w:pBdr>
          <w:bottom w:val="none" w:sz="0" w:space="0" w:color="auto"/>
        </w:pBdr>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63A01A54" w:rsidR="00333DA7" w:rsidRPr="00FF0DFD" w:rsidRDefault="00FF0DFD" w:rsidP="00FF0DFD">
      <w:pPr>
        <w:tabs>
          <w:tab w:val="left" w:pos="1134"/>
        </w:tabs>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irkime, atliekamame</w:t>
      </w:r>
      <w:r w:rsidR="00005094">
        <w:rPr>
          <w:rFonts w:ascii="Times New Roman" w:eastAsia="Calibri" w:hAnsi="Times New Roman" w:cs="Times New Roman"/>
          <w:sz w:val="22"/>
          <w:szCs w:val="22"/>
          <w:lang w:val="lt-LT"/>
        </w:rPr>
        <w:t xml:space="preserve">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FF0DFD">
      <w:pPr>
        <w:tabs>
          <w:tab w:val="left" w:pos="1134"/>
        </w:tabs>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FF0DFD">
      <w:pPr>
        <w:spacing w:after="0"/>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510A19">
        <w:rPr>
          <w:rFonts w:ascii="Times New Roman" w:hAnsi="Times New Roman" w:cs="Times New Roman"/>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w:t>
      </w:r>
      <w:r w:rsidR="003D57D4" w:rsidRPr="00FF0DFD">
        <w:rPr>
          <w:rFonts w:ascii="Times New Roman" w:hAnsi="Times New Roman" w:cs="Times New Roman"/>
          <w:sz w:val="22"/>
          <w:szCs w:val="22"/>
          <w:lang w:val="lt-LT"/>
        </w:rPr>
        <w:lastRenderedPageBreak/>
        <w:t xml:space="preserve">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2B0206">
      <w:pPr>
        <w:spacing w:after="0"/>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2B0206">
      <w:pPr>
        <w:pStyle w:val="Antrat1"/>
        <w:pBdr>
          <w:bottom w:val="none" w:sz="0" w:space="0" w:color="auto"/>
        </w:pBdr>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2B0206">
      <w:pPr>
        <w:pStyle w:val="Betarp"/>
        <w:spacing w:line="276" w:lineRule="auto"/>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F073DC">
      <w:pPr>
        <w:pStyle w:val="Betarp"/>
        <w:spacing w:line="276" w:lineRule="auto"/>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F073DC">
      <w:pPr>
        <w:pStyle w:val="Betarp"/>
        <w:spacing w:line="276" w:lineRule="auto"/>
        <w:contextualSpacing/>
        <w:jc w:val="both"/>
        <w:rPr>
          <w:rStyle w:val="cf01"/>
          <w:rFonts w:ascii="Times New Roman" w:hAnsi="Times New Roman" w:cs="Times New Roman"/>
          <w:sz w:val="22"/>
          <w:szCs w:val="22"/>
          <w:lang w:val="lt-LT"/>
        </w:rPr>
      </w:pPr>
    </w:p>
    <w:p w14:paraId="5FB10D31" w14:textId="7958A3DD" w:rsidR="00F42204" w:rsidRPr="00F073DC" w:rsidRDefault="00F073DC" w:rsidP="00F073DC">
      <w:pPr>
        <w:pStyle w:val="Betarp"/>
        <w:spacing w:after="240" w:line="276" w:lineRule="auto"/>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B4573C4"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r w:rsidR="0068378B" w:rsidRPr="00CE70A4">
        <w:rPr>
          <w:rFonts w:ascii="Times New Roman" w:hAnsi="Times New Roman" w:cs="Times New Roman"/>
          <w:sz w:val="22"/>
          <w:szCs w:val="22"/>
          <w:u w:val="single"/>
        </w:rPr>
        <w:t>https://viesiejipirkimai.lt/epps/home.do.</w:t>
      </w:r>
      <w:r w:rsidR="0068378B" w:rsidRPr="0068378B">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7E1C08AF" w:rsidR="00F42204"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r w:rsidR="00CE70A4" w:rsidRPr="00CE70A4">
        <w:rPr>
          <w:rFonts w:ascii="Times New Roman" w:hAnsi="Times New Roman" w:cs="Times New Roman"/>
          <w:sz w:val="22"/>
          <w:szCs w:val="22"/>
          <w:u w:val="single"/>
        </w:rPr>
        <w:t>https://viesiejipirkimai.lt/epps/home.do.</w:t>
      </w:r>
    </w:p>
    <w:p w14:paraId="4185C944" w14:textId="46138D4C"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F073DC">
      <w:pPr>
        <w:tabs>
          <w:tab w:val="left" w:pos="1418"/>
        </w:tabs>
        <w:spacing w:after="0"/>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lastRenderedPageBreak/>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F073DC">
      <w:pPr>
        <w:tabs>
          <w:tab w:val="left" w:pos="1134"/>
        </w:tabs>
        <w:spacing w:after="0"/>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4E4B90">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4E4B90">
      <w:pPr>
        <w:spacing w:after="0"/>
        <w:jc w:val="both"/>
        <w:rPr>
          <w:rFonts w:ascii="Times New Roman" w:hAnsi="Times New Roman" w:cs="Times New Roman"/>
          <w:bCs/>
          <w:sz w:val="22"/>
          <w:szCs w:val="22"/>
          <w:lang w:val="lt-LT"/>
        </w:rPr>
      </w:pPr>
    </w:p>
    <w:p w14:paraId="3D7D092A" w14:textId="613D069C" w:rsidR="00F42204" w:rsidRPr="004E4B90" w:rsidRDefault="004E4B90" w:rsidP="004E4B90">
      <w:pPr>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4E4B90">
      <w:pPr>
        <w:spacing w:after="0"/>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4E4B90">
      <w:pPr>
        <w:spacing w:after="0"/>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4E4B90">
      <w:pPr>
        <w:spacing w:after="0"/>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4E4B90">
      <w:pPr>
        <w:spacing w:after="0"/>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0C7C039B" w14:textId="77777777" w:rsidR="00D5409B" w:rsidRDefault="004E4B90" w:rsidP="00D5409B">
      <w:pPr>
        <w:spacing w:after="0"/>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6335391F" w14:textId="77777777" w:rsidR="00D5409B" w:rsidRDefault="00D5409B" w:rsidP="00D5409B">
      <w:pPr>
        <w:spacing w:after="0"/>
        <w:jc w:val="both"/>
        <w:rPr>
          <w:rFonts w:ascii="Times New Roman" w:hAnsi="Times New Roman" w:cs="Times New Roman"/>
          <w:sz w:val="22"/>
          <w:szCs w:val="22"/>
          <w:lang w:val="lt-LT"/>
        </w:rPr>
      </w:pPr>
    </w:p>
    <w:p w14:paraId="4965B630" w14:textId="77777777" w:rsidR="00D5409B" w:rsidRDefault="00D5409B" w:rsidP="00D5409B">
      <w:pPr>
        <w:spacing w:after="0"/>
        <w:jc w:val="both"/>
        <w:rPr>
          <w:rFonts w:ascii="Times New Roman" w:hAnsi="Times New Roman" w:cs="Times New Roman"/>
          <w:sz w:val="22"/>
          <w:szCs w:val="22"/>
          <w:lang w:val="lt-LT"/>
        </w:rPr>
      </w:pPr>
    </w:p>
    <w:p w14:paraId="46BB599D" w14:textId="77777777" w:rsidR="00D5409B" w:rsidRDefault="00D5409B" w:rsidP="00D5409B">
      <w:pPr>
        <w:spacing w:after="0"/>
        <w:jc w:val="both"/>
        <w:rPr>
          <w:rFonts w:ascii="Times New Roman" w:hAnsi="Times New Roman" w:cs="Times New Roman"/>
          <w:sz w:val="22"/>
          <w:szCs w:val="22"/>
          <w:lang w:val="lt-LT"/>
        </w:rPr>
      </w:pPr>
    </w:p>
    <w:p w14:paraId="1C793AD0" w14:textId="77777777" w:rsidR="00D5409B" w:rsidRDefault="00D5409B" w:rsidP="00D5409B">
      <w:pPr>
        <w:spacing w:after="0"/>
        <w:jc w:val="both"/>
        <w:rPr>
          <w:rFonts w:ascii="Times New Roman" w:hAnsi="Times New Roman" w:cs="Times New Roman"/>
          <w:sz w:val="22"/>
          <w:szCs w:val="22"/>
          <w:lang w:val="lt-LT"/>
        </w:rPr>
      </w:pPr>
    </w:p>
    <w:p w14:paraId="14B9DB08" w14:textId="4361992A" w:rsidR="00E90B75" w:rsidRPr="00D5409B" w:rsidRDefault="00D5409B" w:rsidP="00D5409B">
      <w:pPr>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lastRenderedPageBreak/>
        <w:t>6. TIEKĖJŲ PAŠALINIMO PAGRINDAI</w:t>
      </w:r>
      <w:bookmarkEnd w:id="20"/>
      <w:bookmarkEnd w:id="21"/>
      <w:bookmarkEnd w:id="22"/>
      <w:bookmarkEnd w:id="23"/>
      <w:bookmarkEnd w:id="24"/>
    </w:p>
    <w:p w14:paraId="257E9B44" w14:textId="4E7101F7"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D14338C" w:rsidR="00172D74" w:rsidRPr="00D5409B" w:rsidRDefault="00D5409B" w:rsidP="00D5409B">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0A393E">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0A393E">
      <w:pPr>
        <w:tabs>
          <w:tab w:val="left" w:pos="567"/>
        </w:tabs>
        <w:spacing w:after="0"/>
        <w:jc w:val="both"/>
        <w:rPr>
          <w:rFonts w:ascii="Times New Roman" w:eastAsia="Arial" w:hAnsi="Times New Roman" w:cs="Times New Roman"/>
          <w:sz w:val="22"/>
          <w:szCs w:val="22"/>
          <w:lang w:val="lt-LT"/>
        </w:rPr>
      </w:pPr>
    </w:p>
    <w:p w14:paraId="48105710" w14:textId="35068161" w:rsidR="00F31804" w:rsidRPr="000A393E" w:rsidRDefault="000A393E" w:rsidP="000A393E">
      <w:pPr>
        <w:tabs>
          <w:tab w:val="left" w:pos="567"/>
        </w:tabs>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0A393E">
      <w:pPr>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0A393E">
      <w:pPr>
        <w:tabs>
          <w:tab w:val="left" w:pos="567"/>
        </w:tabs>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0A393E">
      <w:pPr>
        <w:tabs>
          <w:tab w:val="left" w:pos="567"/>
        </w:tabs>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0A393E">
      <w:pPr>
        <w:tabs>
          <w:tab w:val="left" w:pos="567"/>
        </w:tabs>
        <w:spacing w:after="0"/>
        <w:jc w:val="both"/>
        <w:rPr>
          <w:rFonts w:ascii="Times New Roman" w:hAnsi="Times New Roman" w:cs="Times New Roman"/>
          <w:sz w:val="22"/>
          <w:szCs w:val="22"/>
          <w:lang w:val="lt-LT"/>
        </w:rPr>
      </w:pPr>
    </w:p>
    <w:p w14:paraId="6760971A" w14:textId="63907996" w:rsidR="005B08B2" w:rsidRPr="000A393E" w:rsidRDefault="000A393E" w:rsidP="000A393E">
      <w:pPr>
        <w:tabs>
          <w:tab w:val="left" w:pos="567"/>
        </w:tabs>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0A393E">
      <w:pPr>
        <w:spacing w:after="0"/>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0A393E">
      <w:pPr>
        <w:spacing w:after="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0A393E">
      <w:pPr>
        <w:spacing w:after="0"/>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lastRenderedPageBreak/>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0A393E">
      <w:pPr>
        <w:spacing w:after="0"/>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0A393E">
      <w:pPr>
        <w:spacing w:after="0"/>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B71340">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B71340">
      <w:pPr>
        <w:spacing w:after="0"/>
        <w:jc w:val="both"/>
        <w:rPr>
          <w:rFonts w:ascii="Times New Roman" w:hAnsi="Times New Roman" w:cs="Times New Roman"/>
          <w:color w:val="000000"/>
          <w:sz w:val="22"/>
          <w:szCs w:val="22"/>
          <w:lang w:val="lt-LT"/>
        </w:rPr>
      </w:pPr>
    </w:p>
    <w:p w14:paraId="18A715F2" w14:textId="57E58816" w:rsidR="00546C35" w:rsidRPr="00B71340" w:rsidRDefault="00B71340" w:rsidP="00B71340">
      <w:pPr>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B71340">
      <w:pPr>
        <w:spacing w:after="0"/>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B71340">
      <w:pPr>
        <w:spacing w:after="0"/>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lastRenderedPageBreak/>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w:t>
      </w:r>
      <w:proofErr w:type="spellStart"/>
      <w:r w:rsidR="00622A08" w:rsidRPr="00B71340">
        <w:rPr>
          <w:rFonts w:ascii="Times New Roman" w:hAnsi="Times New Roman" w:cs="Times New Roman"/>
          <w:sz w:val="22"/>
          <w:szCs w:val="22"/>
          <w:lang w:val="lt-LT"/>
        </w:rPr>
        <w:t>kvazisubtiekėjai</w:t>
      </w:r>
      <w:proofErr w:type="spellEnd"/>
      <w:r w:rsidR="00622A08" w:rsidRPr="00B71340">
        <w:rPr>
          <w:rFonts w:ascii="Times New Roman" w:hAnsi="Times New Roman" w:cs="Times New Roman"/>
          <w:sz w:val="22"/>
          <w:szCs w:val="22"/>
          <w:lang w:val="lt-LT"/>
        </w:rPr>
        <w:t>)</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2A52C581" w:rsidR="00546C35" w:rsidRPr="00B71340" w:rsidRDefault="00B71340" w:rsidP="00B71340">
      <w:pPr>
        <w:spacing w:after="0"/>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r w:rsidR="00CD176D" w:rsidRPr="00CD176D">
        <w:rPr>
          <w:rFonts w:ascii="Times New Roman" w:hAnsi="Times New Roman" w:cs="Times New Roman"/>
          <w:sz w:val="22"/>
          <w:szCs w:val="22"/>
          <w:u w:val="single"/>
        </w:rPr>
        <w:t>https://ebvpd.eviesiejipirkimai.lt/espd-web/</w:t>
      </w:r>
      <w:r w:rsidR="00CD176D" w:rsidRPr="00CD176D">
        <w:rPr>
          <w:rFonts w:ascii="Times New Roman" w:hAnsi="Times New Roman" w:cs="Times New Roman"/>
          <w:sz w:val="22"/>
          <w:szCs w:val="22"/>
          <w:u w:val="single"/>
        </w:rPr>
        <w:t>.</w:t>
      </w:r>
      <w:r w:rsidR="00CD176D" w:rsidRPr="00CD176D">
        <w:rPr>
          <w:rFonts w:ascii="Times New Roman" w:eastAsia="Calibri" w:hAnsi="Times New Roman" w:cs="Times New Roman"/>
          <w:sz w:val="24"/>
          <w:szCs w:val="24"/>
          <w:lang w:val="lt-LT"/>
        </w:rPr>
        <w:t xml:space="preserve"> </w:t>
      </w:r>
      <w:r w:rsidR="00CD176D">
        <w:rPr>
          <w:rFonts w:ascii="Times New Roman" w:eastAsia="Calibri" w:hAnsi="Times New Roman" w:cs="Times New Roman"/>
          <w:sz w:val="24"/>
          <w:szCs w:val="24"/>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B71340">
      <w:pPr>
        <w:spacing w:after="0"/>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07D49915" w:rsidR="0076192A" w:rsidRPr="00B71340" w:rsidRDefault="00B71340" w:rsidP="00B71340">
      <w:pPr>
        <w:spacing w:after="0"/>
        <w:jc w:val="both"/>
        <w:rPr>
          <w:rFonts w:ascii="Times New Roman" w:hAnsi="Times New Roman" w:cs="Times New Roman"/>
          <w:sz w:val="22"/>
          <w:szCs w:val="22"/>
          <w:lang w:val="lt-LT"/>
        </w:rPr>
      </w:pPr>
      <w:r w:rsidRPr="00C358D3">
        <w:rPr>
          <w:rFonts w:ascii="Times New Roman" w:hAnsi="Times New Roman" w:cs="Times New Roman"/>
          <w:sz w:val="22"/>
          <w:szCs w:val="22"/>
          <w:lang w:val="lt-LT"/>
        </w:rPr>
        <w:t xml:space="preserve">9.6. </w:t>
      </w:r>
      <w:r w:rsidR="00C358D3" w:rsidRPr="00C358D3">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CB0D268"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B71340">
      <w:pPr>
        <w:tabs>
          <w:tab w:val="left" w:pos="993"/>
        </w:tabs>
        <w:spacing w:after="0"/>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 xml:space="preserve">) tvarkos aprašu, patvirtintu Lietuvos Respublikos Vyriausybės 2006 m. spalio 30 d. nutarimu Nr. 1079, ir 1961 m. spalio 5 d. Hagos konvencija dėl užsienio valstybėse išduotų dokumentų legalizavimo </w:t>
      </w:r>
      <w:r w:rsidR="00546C35" w:rsidRPr="00B71340">
        <w:rPr>
          <w:rFonts w:ascii="Times New Roman" w:hAnsi="Times New Roman" w:cs="Times New Roman"/>
          <w:sz w:val="22"/>
          <w:szCs w:val="22"/>
          <w:lang w:val="lt-LT"/>
        </w:rPr>
        <w:lastRenderedPageBreak/>
        <w:t>panaikinimo, išskyrus atvejus, kai pagal Lietuvos Respublikos tarptautines sutartis ar Europos Sąjungos teisės aktus dokumentas yra atleistas nuo legalizavimo ir (ar) tvirtinimo žymos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B71340">
      <w:pPr>
        <w:tabs>
          <w:tab w:val="left" w:pos="993"/>
        </w:tabs>
        <w:spacing w:after="0"/>
        <w:jc w:val="both"/>
        <w:rPr>
          <w:rFonts w:ascii="Times New Roman" w:hAnsi="Times New Roman" w:cs="Times New Roman"/>
          <w:sz w:val="22"/>
          <w:szCs w:val="22"/>
          <w:lang w:val="lt-LT"/>
        </w:rPr>
      </w:pPr>
    </w:p>
    <w:p w14:paraId="05692DDE" w14:textId="32552954" w:rsidR="008F7425" w:rsidRPr="00B71340" w:rsidRDefault="00B71340" w:rsidP="00B71340">
      <w:pPr>
        <w:tabs>
          <w:tab w:val="left" w:pos="993"/>
        </w:tabs>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w:t>
      </w:r>
      <w:proofErr w:type="spellStart"/>
      <w:r w:rsidR="00D21561" w:rsidRPr="00B71340">
        <w:rPr>
          <w:rFonts w:ascii="Times New Roman" w:hAnsi="Times New Roman" w:cs="Times New Roman"/>
          <w:sz w:val="22"/>
          <w:szCs w:val="22"/>
          <w:lang w:val="lt-LT"/>
        </w:rPr>
        <w:t>kvazisubtiekėjai</w:t>
      </w:r>
      <w:proofErr w:type="spellEnd"/>
      <w:r w:rsidR="00D21561" w:rsidRPr="00B71340">
        <w:rPr>
          <w:rFonts w:ascii="Times New Roman" w:hAnsi="Times New Roman" w:cs="Times New Roman"/>
          <w:sz w:val="22"/>
          <w:szCs w:val="22"/>
          <w:lang w:val="lt-LT"/>
        </w:rPr>
        <w:t>)</w:t>
      </w:r>
      <w:r w:rsidR="004F6A9A" w:rsidRPr="00B71340">
        <w:rPr>
          <w:rFonts w:ascii="Times New Roman" w:hAnsi="Times New Roman" w:cs="Times New Roman"/>
          <w:sz w:val="22"/>
          <w:szCs w:val="22"/>
          <w:lang w:val="lt-LT"/>
        </w:rPr>
        <w:t>.</w:t>
      </w:r>
    </w:p>
    <w:p w14:paraId="5F181728" w14:textId="37D420CF" w:rsidR="004F6A9A" w:rsidRPr="00B71340" w:rsidRDefault="00B71340" w:rsidP="00B71340">
      <w:pPr>
        <w:pStyle w:val="Body2"/>
        <w:tabs>
          <w:tab w:val="left" w:pos="1134"/>
        </w:tabs>
        <w:spacing w:after="0" w:line="276" w:lineRule="auto"/>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FC3B83">
      <w:pPr>
        <w:tabs>
          <w:tab w:val="left" w:pos="1134"/>
        </w:tabs>
        <w:spacing w:after="0"/>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FC3B83">
      <w:pPr>
        <w:tabs>
          <w:tab w:val="left" w:pos="1134"/>
        </w:tabs>
        <w:spacing w:after="0"/>
        <w:jc w:val="both"/>
        <w:rPr>
          <w:rFonts w:ascii="Times New Roman" w:hAnsi="Times New Roman" w:cs="Times New Roman"/>
          <w:color w:val="FF0000"/>
          <w:sz w:val="22"/>
          <w:szCs w:val="22"/>
          <w:lang w:val="lt-LT"/>
        </w:rPr>
      </w:pPr>
    </w:p>
    <w:p w14:paraId="42A9ADC0" w14:textId="293FC0BA" w:rsidR="003B359D" w:rsidRPr="00FC3B83" w:rsidRDefault="00FC3B83" w:rsidP="00FC3B83">
      <w:pPr>
        <w:tabs>
          <w:tab w:val="left" w:pos="1134"/>
        </w:tabs>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5935BB">
      <w:pPr>
        <w:spacing w:after="0"/>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28507C2" w14:textId="77777777" w:rsidR="00B92134" w:rsidRDefault="00B92134" w:rsidP="005935BB">
      <w:pPr>
        <w:spacing w:after="0"/>
        <w:jc w:val="both"/>
        <w:rPr>
          <w:rFonts w:ascii="Times New Roman" w:hAnsi="Times New Roman" w:cs="Times New Roman"/>
          <w:sz w:val="22"/>
          <w:szCs w:val="22"/>
          <w:lang w:val="lt-LT"/>
        </w:rPr>
      </w:pPr>
    </w:p>
    <w:p w14:paraId="43CA1A4D" w14:textId="77777777" w:rsidR="005935BB" w:rsidRDefault="005935BB" w:rsidP="005935BB">
      <w:pPr>
        <w:spacing w:after="0"/>
        <w:jc w:val="center"/>
        <w:rPr>
          <w:rFonts w:ascii="Times New Roman" w:hAnsi="Times New Roman" w:cs="Times New Roman"/>
          <w:b/>
          <w:bCs/>
          <w:sz w:val="22"/>
          <w:szCs w:val="22"/>
          <w:lang w:val="lt-LT"/>
        </w:rPr>
      </w:pPr>
    </w:p>
    <w:p w14:paraId="1863C057" w14:textId="0DCE70CD" w:rsidR="00D531A6" w:rsidRPr="005935BB" w:rsidRDefault="005935BB" w:rsidP="005935BB">
      <w:pPr>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lastRenderedPageBreak/>
        <w:t>12. TIEKĖJŲ GRUPĖS DALYVAVIMAS</w:t>
      </w:r>
      <w:bookmarkEnd w:id="68"/>
      <w:bookmarkEnd w:id="69"/>
      <w:bookmarkEnd w:id="70"/>
      <w:bookmarkEnd w:id="71"/>
    </w:p>
    <w:p w14:paraId="77623249" w14:textId="3CC71287" w:rsidR="001F20C8" w:rsidRPr="005935BB" w:rsidRDefault="005935BB" w:rsidP="005935BB">
      <w:pPr>
        <w:spacing w:after="0"/>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5935BB">
      <w:pPr>
        <w:tabs>
          <w:tab w:val="left" w:pos="709"/>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4B2CC8">
      <w:pPr>
        <w:tabs>
          <w:tab w:val="left" w:pos="1276"/>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7B046468" w14:textId="77777777" w:rsidR="004B2CC8" w:rsidRDefault="004B2CC8" w:rsidP="004B2CC8">
      <w:pPr>
        <w:tabs>
          <w:tab w:val="left" w:pos="1276"/>
        </w:tabs>
        <w:spacing w:after="0"/>
        <w:jc w:val="both"/>
        <w:rPr>
          <w:rFonts w:ascii="Times New Roman" w:hAnsi="Times New Roman" w:cs="Times New Roman"/>
          <w:sz w:val="22"/>
          <w:szCs w:val="22"/>
          <w:lang w:val="lt-LT"/>
        </w:rPr>
      </w:pPr>
    </w:p>
    <w:p w14:paraId="21CAC95E" w14:textId="63B6FC57" w:rsidR="001F20C8" w:rsidRPr="004B2CC8" w:rsidRDefault="004B2CC8" w:rsidP="004B2CC8">
      <w:pPr>
        <w:tabs>
          <w:tab w:val="left" w:pos="1276"/>
        </w:tabs>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t>13. REIKALAVIMAI PASIŪLYMŲ RENGIMUI IR PATEIKIMUI</w:t>
      </w:r>
      <w:bookmarkEnd w:id="81"/>
      <w:bookmarkEnd w:id="82"/>
      <w:bookmarkEnd w:id="83"/>
      <w:bookmarkEnd w:id="84"/>
    </w:p>
    <w:p w14:paraId="580D2E7B" w14:textId="42BFCF21" w:rsidR="000D6EBE"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4B2CC8">
      <w:pPr>
        <w:spacing w:after="0"/>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 xml:space="preserve">perkančiojo </w:t>
      </w:r>
      <w:r w:rsidR="00C37A09">
        <w:rPr>
          <w:rFonts w:ascii="Times New Roman" w:hAnsi="Times New Roman" w:cs="Times New Roman"/>
          <w:sz w:val="22"/>
          <w:szCs w:val="22"/>
          <w:lang w:val="lt-LT"/>
        </w:rPr>
        <w:lastRenderedPageBreak/>
        <w:t>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723A4">
      <w:pPr>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723A4">
      <w:pPr>
        <w:spacing w:after="0"/>
        <w:jc w:val="both"/>
        <w:rPr>
          <w:rFonts w:ascii="Times New Roman" w:hAnsi="Times New Roman" w:cs="Times New Roman"/>
          <w:sz w:val="22"/>
          <w:szCs w:val="22"/>
          <w:lang w:val="lt-LT"/>
        </w:rPr>
      </w:pPr>
    </w:p>
    <w:p w14:paraId="34FBBDEC" w14:textId="3A4E1762" w:rsidR="0017028B" w:rsidRPr="00E723A4" w:rsidRDefault="00E723A4" w:rsidP="00E723A4">
      <w:pPr>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723A4">
      <w:pPr>
        <w:tabs>
          <w:tab w:val="left" w:pos="1134"/>
        </w:tabs>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4"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lastRenderedPageBreak/>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723A4">
      <w:pPr>
        <w:spacing w:after="0"/>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CA5156">
      <w:pPr>
        <w:spacing w:after="0"/>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CA5156">
      <w:pPr>
        <w:spacing w:after="0"/>
        <w:jc w:val="both"/>
        <w:rPr>
          <w:rFonts w:ascii="Times New Roman" w:hAnsi="Times New Roman" w:cs="Times New Roman"/>
          <w:sz w:val="22"/>
          <w:szCs w:val="22"/>
          <w:lang w:val="lt-LT"/>
        </w:rPr>
      </w:pPr>
    </w:p>
    <w:p w14:paraId="39CC42F2" w14:textId="37350F50" w:rsidR="003D3124" w:rsidRPr="00CA5156" w:rsidRDefault="00CA5156" w:rsidP="00CA5156">
      <w:pPr>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lastRenderedPageBreak/>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2C5AD2">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2C5AD2">
      <w:pPr>
        <w:autoSpaceDE w:val="0"/>
        <w:autoSpaceDN w:val="0"/>
        <w:adjustRightInd w:val="0"/>
        <w:spacing w:after="0"/>
        <w:jc w:val="both"/>
        <w:rPr>
          <w:rFonts w:ascii="Times New Roman" w:hAnsi="Times New Roman" w:cs="Times New Roman"/>
          <w:bCs/>
          <w:sz w:val="22"/>
          <w:szCs w:val="22"/>
          <w:lang w:val="lt-LT"/>
        </w:rPr>
      </w:pPr>
    </w:p>
    <w:p w14:paraId="2DBD25F7" w14:textId="77777777" w:rsidR="002C5AD2" w:rsidRDefault="002C5AD2" w:rsidP="002C5AD2">
      <w:pPr>
        <w:autoSpaceDE w:val="0"/>
        <w:autoSpaceDN w:val="0"/>
        <w:adjustRightInd w:val="0"/>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B422B1">
      <w:pPr>
        <w:autoSpaceDE w:val="0"/>
        <w:autoSpaceDN w:val="0"/>
        <w:adjustRightInd w:val="0"/>
        <w:spacing w:after="0"/>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B422B1">
      <w:pPr>
        <w:autoSpaceDE w:val="0"/>
        <w:autoSpaceDN w:val="0"/>
        <w:adjustRightInd w:val="0"/>
        <w:spacing w:after="0"/>
        <w:jc w:val="both"/>
        <w:rPr>
          <w:rFonts w:ascii="Times New Roman" w:hAnsi="Times New Roman" w:cs="Times New Roman"/>
          <w:bCs/>
          <w:sz w:val="22"/>
          <w:szCs w:val="22"/>
          <w:lang w:val="lt-LT"/>
        </w:rPr>
      </w:pPr>
    </w:p>
    <w:p w14:paraId="444AFC52" w14:textId="6C39D4A2" w:rsidR="00BB30D9" w:rsidRPr="00B422B1" w:rsidRDefault="00B422B1" w:rsidP="00B422B1">
      <w:pPr>
        <w:autoSpaceDE w:val="0"/>
        <w:autoSpaceDN w:val="0"/>
        <w:adjustRightInd w:val="0"/>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B422B1">
      <w:pPr>
        <w:tabs>
          <w:tab w:val="left" w:pos="1418"/>
        </w:tabs>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B422B1">
      <w:pPr>
        <w:shd w:val="clear" w:color="auto" w:fill="FFFFFF"/>
        <w:spacing w:after="0"/>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B422B1">
      <w:pPr>
        <w:spacing w:after="0"/>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w:t>
      </w:r>
      <w:r w:rsidR="00F7047C" w:rsidRPr="00B422B1">
        <w:rPr>
          <w:rFonts w:ascii="Times New Roman" w:hAnsi="Times New Roman" w:cs="Times New Roman"/>
          <w:bCs/>
          <w:iCs/>
          <w:sz w:val="22"/>
          <w:szCs w:val="22"/>
          <w:lang w:val="lt-LT"/>
        </w:rPr>
        <w:lastRenderedPageBreak/>
        <w:t xml:space="preserve">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22C64FED" w14:textId="77777777" w:rsidR="00EE3F00" w:rsidRDefault="00B422B1" w:rsidP="00EE3F00">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F55B2D8" w14:textId="77777777" w:rsidR="00EE3F00" w:rsidRDefault="00EE3F00" w:rsidP="00EE3F00">
      <w:pPr>
        <w:spacing w:after="0"/>
        <w:jc w:val="both"/>
        <w:rPr>
          <w:rFonts w:ascii="Times New Roman" w:hAnsi="Times New Roman" w:cs="Times New Roman"/>
          <w:sz w:val="22"/>
          <w:szCs w:val="22"/>
          <w:lang w:val="lt-LT"/>
        </w:rPr>
      </w:pPr>
    </w:p>
    <w:p w14:paraId="682293E7" w14:textId="61D79342" w:rsidR="00E37239" w:rsidRPr="00EE3F00" w:rsidRDefault="00EE3F00" w:rsidP="00EE3F00">
      <w:pPr>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3F00">
      <w:pPr>
        <w:tabs>
          <w:tab w:val="left" w:pos="1418"/>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3F00">
      <w:pPr>
        <w:tabs>
          <w:tab w:val="left" w:pos="1560"/>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3F00">
      <w:pPr>
        <w:tabs>
          <w:tab w:val="left" w:pos="1418"/>
          <w:tab w:val="left" w:pos="1701"/>
          <w:tab w:val="left" w:pos="1843"/>
        </w:tabs>
        <w:spacing w:after="0"/>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lastRenderedPageBreak/>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3F00">
      <w:pPr>
        <w:tabs>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3F00">
      <w:pPr>
        <w:spacing w:after="0"/>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324890">
      <w:pPr>
        <w:tabs>
          <w:tab w:val="left" w:pos="1276"/>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324890">
      <w:pPr>
        <w:tabs>
          <w:tab w:val="left" w:pos="1276"/>
        </w:tabs>
        <w:spacing w:after="0"/>
        <w:jc w:val="both"/>
        <w:rPr>
          <w:rFonts w:ascii="Times New Roman" w:hAnsi="Times New Roman" w:cs="Times New Roman"/>
          <w:sz w:val="22"/>
          <w:szCs w:val="22"/>
          <w:lang w:val="lt-LT"/>
        </w:rPr>
      </w:pPr>
    </w:p>
    <w:p w14:paraId="2CAA6A97" w14:textId="75D21664" w:rsidR="00C36A61" w:rsidRPr="00324890" w:rsidRDefault="00324890" w:rsidP="00324890">
      <w:pPr>
        <w:tabs>
          <w:tab w:val="left" w:pos="1276"/>
        </w:tabs>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324890">
      <w:pPr>
        <w:tabs>
          <w:tab w:val="left" w:pos="1418"/>
        </w:tabs>
        <w:spacing w:after="0"/>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324890">
      <w:pPr>
        <w:spacing w:after="0"/>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324890">
      <w:pPr>
        <w:spacing w:after="0"/>
        <w:jc w:val="both"/>
        <w:rPr>
          <w:rFonts w:ascii="Times New Roman" w:hAnsi="Times New Roman" w:cs="Times New Roman"/>
          <w:sz w:val="22"/>
          <w:szCs w:val="22"/>
          <w:lang w:val="lt-LT"/>
        </w:rPr>
      </w:pPr>
    </w:p>
    <w:p w14:paraId="04B49802" w14:textId="15FD7191" w:rsidR="009641A6" w:rsidRPr="00324890" w:rsidRDefault="00324890" w:rsidP="00324890">
      <w:pPr>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lastRenderedPageBreak/>
        <w:t>20. INFORMAVIMAS APIE PIRKIMO PROCEDŪRŲ REZULTATUS</w:t>
      </w:r>
      <w:bookmarkEnd w:id="115"/>
    </w:p>
    <w:bookmarkEnd w:id="116"/>
    <w:p w14:paraId="3F0A54A9" w14:textId="0E9F5E1F" w:rsidR="0053096C" w:rsidRPr="00324890" w:rsidRDefault="00324890" w:rsidP="00324890">
      <w:pPr>
        <w:spacing w:after="0"/>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8451B8">
      <w:pPr>
        <w:spacing w:after="0"/>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8451B8">
      <w:pPr>
        <w:spacing w:after="0"/>
        <w:jc w:val="both"/>
        <w:rPr>
          <w:rStyle w:val="cf01"/>
          <w:rFonts w:ascii="Times New Roman" w:hAnsi="Times New Roman" w:cs="Times New Roman"/>
          <w:sz w:val="22"/>
          <w:szCs w:val="22"/>
          <w:lang w:val="lt-LT"/>
        </w:rPr>
      </w:pPr>
    </w:p>
    <w:p w14:paraId="03F3E26D" w14:textId="2FA3175C" w:rsidR="0038274D" w:rsidRPr="008451B8" w:rsidRDefault="008451B8" w:rsidP="008451B8">
      <w:pPr>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8451B8">
      <w:pPr>
        <w:spacing w:after="0"/>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F87ECC">
      <w:pPr>
        <w:spacing w:after="0"/>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lastRenderedPageBreak/>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F87ECC">
      <w:pPr>
        <w:spacing w:after="0"/>
        <w:jc w:val="both"/>
        <w:rPr>
          <w:rFonts w:ascii="Times New Roman" w:hAnsi="Times New Roman" w:cs="Times New Roman"/>
          <w:sz w:val="22"/>
          <w:szCs w:val="22"/>
          <w:lang w:val="lt-LT"/>
        </w:rPr>
      </w:pPr>
    </w:p>
    <w:p w14:paraId="654056F0" w14:textId="68B1C0D8" w:rsidR="006B5699" w:rsidRPr="00F87ECC" w:rsidRDefault="00F87ECC" w:rsidP="00F87ECC">
      <w:pPr>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9641A6">
      <w:pPr>
        <w:pStyle w:val="Sraopastraipa"/>
        <w:spacing w:line="240" w:lineRule="auto"/>
        <w:ind w:left="567"/>
        <w:jc w:val="center"/>
        <w:rPr>
          <w:rFonts w:cstheme="minorHAnsi"/>
          <w:lang w:val="lt-LT"/>
        </w:rPr>
      </w:pPr>
    </w:p>
    <w:p w14:paraId="1646DA1A" w14:textId="395B0177" w:rsidR="009B1639" w:rsidRPr="0036054C" w:rsidRDefault="009641A6" w:rsidP="00F309F4">
      <w:pPr>
        <w:pStyle w:val="Sraopastraipa"/>
        <w:spacing w:line="240" w:lineRule="auto"/>
        <w:ind w:left="0"/>
        <w:jc w:val="center"/>
        <w:rPr>
          <w:rFonts w:cstheme="minorHAnsi"/>
          <w:lang w:val="lt-LT"/>
        </w:rPr>
      </w:pPr>
      <w:r w:rsidRPr="0036054C">
        <w:rPr>
          <w:rFonts w:cstheme="minorHAnsi"/>
          <w:lang w:val="lt-LT"/>
        </w:rPr>
        <w:t>_______</w:t>
      </w:r>
      <w:r w:rsidR="00F309F4">
        <w:rPr>
          <w:rFonts w:cstheme="minorHAnsi"/>
          <w:lang w:val="lt-LT"/>
        </w:rPr>
        <w:t>_____________</w:t>
      </w:r>
      <w:r w:rsidRPr="0036054C">
        <w:rPr>
          <w:rFonts w:cstheme="minorHAnsi"/>
          <w:lang w:val="lt-LT"/>
        </w:rPr>
        <w:t>______</w:t>
      </w:r>
    </w:p>
    <w:sectPr w:rsidR="009B1639" w:rsidRPr="0036054C" w:rsidSect="00F42204">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1DB2" w14:textId="77777777" w:rsidR="008C724B" w:rsidRDefault="008C724B" w:rsidP="00184B8C">
      <w:pPr>
        <w:spacing w:after="0" w:line="240" w:lineRule="auto"/>
      </w:pPr>
      <w:r>
        <w:separator/>
      </w:r>
    </w:p>
  </w:endnote>
  <w:endnote w:type="continuationSeparator" w:id="0">
    <w:p w14:paraId="77B85C6F" w14:textId="77777777" w:rsidR="008C724B" w:rsidRDefault="008C724B" w:rsidP="00184B8C">
      <w:pPr>
        <w:spacing w:after="0" w:line="240" w:lineRule="auto"/>
      </w:pPr>
      <w:r>
        <w:continuationSeparator/>
      </w:r>
    </w:p>
  </w:endnote>
  <w:endnote w:type="continuationNotice" w:id="1">
    <w:p w14:paraId="1991CEE5" w14:textId="77777777" w:rsidR="008C724B" w:rsidRDefault="008C7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38A5" w14:textId="77777777" w:rsidR="008C724B" w:rsidRDefault="008C724B" w:rsidP="00184B8C">
      <w:pPr>
        <w:spacing w:after="0" w:line="240" w:lineRule="auto"/>
      </w:pPr>
      <w:r>
        <w:separator/>
      </w:r>
    </w:p>
  </w:footnote>
  <w:footnote w:type="continuationSeparator" w:id="0">
    <w:p w14:paraId="762604E3" w14:textId="77777777" w:rsidR="008C724B" w:rsidRDefault="008C724B" w:rsidP="00184B8C">
      <w:pPr>
        <w:spacing w:after="0" w:line="240" w:lineRule="auto"/>
      </w:pPr>
      <w:r>
        <w:continuationSeparator/>
      </w:r>
    </w:p>
  </w:footnote>
  <w:footnote w:type="continuationNotice" w:id="1">
    <w:p w14:paraId="46E506C4" w14:textId="77777777" w:rsidR="008C724B" w:rsidRDefault="008C724B">
      <w:pPr>
        <w:spacing w:after="0" w:line="240" w:lineRule="auto"/>
      </w:pPr>
    </w:p>
  </w:footnote>
  <w:footnote w:id="2">
    <w:p w14:paraId="007E516C" w14:textId="172496B7" w:rsidR="0041281F" w:rsidRPr="00C3144C" w:rsidRDefault="0041281F" w:rsidP="0041281F">
      <w:pPr>
        <w:pStyle w:val="Puslapioinaostekstas"/>
        <w:spacing w:after="0"/>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532A68">
      <w:pPr>
        <w:pStyle w:val="Puslapioinaostekstas"/>
        <w:spacing w:after="0"/>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17028B">
      <w:pPr>
        <w:pStyle w:val="Puslapioinaostekstas"/>
        <w:spacing w:after="0" w:line="240" w:lineRule="auto"/>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12645D">
      <w:pPr>
        <w:pStyle w:val="Puslapioinaostekstas"/>
        <w:spacing w:after="0"/>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12645D">
      <w:pPr>
        <w:pStyle w:val="Puslapioinaostekstas"/>
        <w:spacing w:after="0"/>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094"/>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A0"/>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574"/>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67D"/>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EEC"/>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9B4"/>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5B0"/>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A19"/>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78B"/>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544"/>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D42"/>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134"/>
    <w:rsid w:val="00B92A68"/>
    <w:rsid w:val="00B94E3C"/>
    <w:rsid w:val="00B9567F"/>
    <w:rsid w:val="00B96765"/>
    <w:rsid w:val="00B96861"/>
    <w:rsid w:val="00B97A87"/>
    <w:rsid w:val="00B97DB1"/>
    <w:rsid w:val="00B97DF3"/>
    <w:rsid w:val="00BA364A"/>
    <w:rsid w:val="00BA3CFD"/>
    <w:rsid w:val="00BA4004"/>
    <w:rsid w:val="00BA4F35"/>
    <w:rsid w:val="00BA50AF"/>
    <w:rsid w:val="00BA66F2"/>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CCE"/>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8D3"/>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4DC4"/>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176D"/>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0A4"/>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AE6"/>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3D1"/>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EC7"/>
    <w:rsid w:val="00EE3F00"/>
    <w:rsid w:val="00EE470E"/>
    <w:rsid w:val="00EE4FF8"/>
    <w:rsid w:val="00EE64B2"/>
    <w:rsid w:val="00EE723D"/>
    <w:rsid w:val="00EF0093"/>
    <w:rsid w:val="00EF069B"/>
    <w:rsid w:val="00EF2351"/>
    <w:rsid w:val="00EF3486"/>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9F4"/>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bvpd.eviesiejipirkimai.lt/espd-we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17</Pages>
  <Words>9372</Words>
  <Characters>53426</Characters>
  <Application>Microsoft Office Word</Application>
  <DocSecurity>0</DocSecurity>
  <Lines>445</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62673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473</cp:revision>
  <dcterms:created xsi:type="dcterms:W3CDTF">2023-01-10T08:21:00Z</dcterms:created>
  <dcterms:modified xsi:type="dcterms:W3CDTF">2025-04-29T06:00:00Z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