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4C41" w14:textId="74B5FC8A" w:rsidR="00863A9A" w:rsidRDefault="00826EA4" w:rsidP="00826EA4">
      <w:pPr>
        <w:jc w:val="right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Pirkimo sąlygų </w:t>
      </w:r>
      <w:r w:rsidR="008B57C2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7 </w:t>
      </w:r>
      <w:r w:rsidR="00863A9A" w:rsidRPr="00863A9A">
        <w:rPr>
          <w:rFonts w:ascii="Times New Roman" w:hAnsi="Times New Roman"/>
          <w:color w:val="000000" w:themeColor="text1"/>
          <w:sz w:val="24"/>
          <w:szCs w:val="24"/>
          <w:lang w:val="lt-LT"/>
        </w:rPr>
        <w:t>priedas</w:t>
      </w:r>
    </w:p>
    <w:p w14:paraId="6795A852" w14:textId="77777777" w:rsidR="00D34B38" w:rsidRPr="00863A9A" w:rsidRDefault="00D34B38" w:rsidP="00826EA4">
      <w:pPr>
        <w:jc w:val="right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EC607E6" w14:textId="5A342E28" w:rsidR="00D34B38" w:rsidRPr="00D34B38" w:rsidRDefault="00D34B38" w:rsidP="00D34B38">
      <w:pPr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lt-LT"/>
        </w:rPr>
      </w:pPr>
      <w:r w:rsidRPr="00D34B38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lt-LT"/>
        </w:rPr>
        <w:t>Pasiūlymų vertinimo kriterijai ir sąlygos</w:t>
      </w:r>
    </w:p>
    <w:p w14:paraId="5AA47037" w14:textId="77777777" w:rsidR="003D4B39" w:rsidRDefault="003D4B39" w:rsidP="008B57C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1. Perkančiosios organizacijos neatmesti pasiūlymai vertinami taikant ekonomiškai naudingiausio pasiūlymo vertinimo kriterijus, kai vertinama kaina ir kokybė.</w:t>
      </w:r>
    </w:p>
    <w:p w14:paraId="7171CE7C" w14:textId="77777777" w:rsidR="003D4B39" w:rsidRDefault="003D4B39" w:rsidP="008B57C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2. Ekonomiškai naudingiausias pasiūlymas – tai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pasiūlymas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, kurio balų suma,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apskaičiuota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pagal toliau nustatytus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pasiūlymu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̨ vertinimo kriterijus ir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sąlygas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, yra didžiausia.</w:t>
      </w:r>
    </w:p>
    <w:p w14:paraId="360B6974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</w:p>
    <w:p w14:paraId="6ED94B19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Numatytų vertinimo kriterijų lyginamieji svoriai:</w:t>
      </w:r>
    </w:p>
    <w:p w14:paraId="2122F49F" w14:textId="77777777" w:rsidR="003D4B39" w:rsidRDefault="003D4B39" w:rsidP="003D4B39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Kaina (K) – </w:t>
      </w:r>
      <w:r w:rsidR="005244D2">
        <w:rPr>
          <w:rFonts w:ascii="Times New Roman" w:hAnsi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50F3906" w14:textId="77777777" w:rsidR="003D4B39" w:rsidRDefault="003D4B39" w:rsidP="003D4B39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Techniniai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pranašumai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(T) – </w:t>
      </w:r>
      <w:r w:rsidR="005244D2">
        <w:rPr>
          <w:rFonts w:ascii="Times New Roman" w:hAnsi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C8A4A7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Vertinimo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kriterijai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ir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jų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parametrų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lyginamieji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svoriai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3"/>
        <w:gridCol w:w="3442"/>
        <w:gridCol w:w="1669"/>
        <w:gridCol w:w="1690"/>
        <w:gridCol w:w="2651"/>
      </w:tblGrid>
      <w:tr w:rsidR="003D4B39" w14:paraId="570AED9F" w14:textId="77777777" w:rsidTr="000379B1">
        <w:trPr>
          <w:trHeight w:val="700"/>
        </w:trPr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761611A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kriterijai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DD6F265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A1DDF44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svoris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ekonominio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naudingumo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įvertinime</w:t>
            </w:r>
            <w:proofErr w:type="spellEnd"/>
          </w:p>
        </w:tc>
      </w:tr>
      <w:tr w:rsidR="003D4B39" w14:paraId="5C8CA0EF" w14:textId="77777777" w:rsidTr="000379B1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94AD642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Kaina (K)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70A9897" w14:textId="77777777" w:rsidR="003D4B39" w:rsidRDefault="003D4B39" w:rsidP="005244D2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X = </w:t>
            </w:r>
            <w:r w:rsidR="005244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3D4B39" w14:paraId="23978906" w14:textId="77777777" w:rsidTr="000379B1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A06E6FD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pranašumai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(T)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5D83C8C" w14:textId="77777777" w:rsidR="003D4B39" w:rsidRDefault="003D4B39" w:rsidP="005244D2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Y = </w:t>
            </w:r>
            <w:r w:rsidR="005244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3D4B39" w14:paraId="0B94F8EC" w14:textId="77777777" w:rsidTr="000379B1">
        <w:trPr>
          <w:trHeight w:val="36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7706D92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F282AF7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3053706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yra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nėra</w:t>
            </w:r>
            <w:proofErr w:type="spellEnd"/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1CAD3C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92E9848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D4B39" w14:paraId="3C4166CC" w14:textId="77777777" w:rsidTr="000379B1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1E2576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014C2" w14:textId="77777777" w:rsidR="003D4B39" w:rsidRPr="005B06B8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 w:rsidRPr="005B06B8">
              <w:rPr>
                <w:rFonts w:ascii="Times New Roman" w:hAnsi="Times New Roman"/>
                <w:sz w:val="24"/>
                <w:szCs w:val="24"/>
              </w:rPr>
              <w:t>Bendrasis</w:t>
            </w:r>
            <w:proofErr w:type="spellEnd"/>
            <w:r w:rsidRPr="005B0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C59" w:rsidRPr="005B06B8">
              <w:rPr>
                <w:rFonts w:ascii="Times New Roman" w:hAnsi="Times New Roman"/>
                <w:sz w:val="24"/>
                <w:szCs w:val="24"/>
              </w:rPr>
              <w:t>dinaminis</w:t>
            </w:r>
            <w:proofErr w:type="spellEnd"/>
            <w:r w:rsidR="00BC7C59" w:rsidRPr="005B0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C59" w:rsidRPr="005B06B8">
              <w:rPr>
                <w:rFonts w:ascii="Times New Roman" w:hAnsi="Times New Roman"/>
                <w:sz w:val="24"/>
                <w:szCs w:val="24"/>
              </w:rPr>
              <w:t>diapazonas</w:t>
            </w:r>
            <w:proofErr w:type="spellEnd"/>
            <w:r w:rsidR="00BC7C59" w:rsidRPr="005B06B8">
              <w:rPr>
                <w:rFonts w:ascii="Times New Roman" w:hAnsi="Times New Roman"/>
                <w:sz w:val="24"/>
                <w:szCs w:val="24"/>
              </w:rPr>
              <w:t xml:space="preserve"> ≥ 39</w:t>
            </w:r>
            <w:r w:rsidRPr="005B06B8">
              <w:rPr>
                <w:rFonts w:ascii="Times New Roman" w:hAnsi="Times New Roman"/>
                <w:sz w:val="24"/>
                <w:szCs w:val="24"/>
              </w:rPr>
              <w:t>0 dB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A7917BE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2908F84" w14:textId="77777777" w:rsidR="003D4B39" w:rsidRPr="005B06B8" w:rsidRDefault="003D4B39" w:rsidP="00BC7C5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BC7C59"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E9D55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1D46B2AD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50FF91FE" w14:textId="77777777" w:rsidTr="000379B1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41172AE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5D7F" w14:textId="77777777" w:rsidR="003D4B39" w:rsidRDefault="003D4B39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>Komplektuojami monokristalinės arba matricinės technologijos konveksinio ir linijinio tipo davikliai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1349447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92911AE" w14:textId="77777777" w:rsidR="003D4B39" w:rsidRPr="005B06B8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8084B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0E82F50C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79602385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90A5CC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56BDD" w14:textId="77777777" w:rsidR="003D4B39" w:rsidRDefault="003D4B39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Linijinio daviklio elementų skaičius ≥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377AE5D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168FEA8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3 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E277C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483D7938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245ACEC3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83F9EC6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T4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AFCB4" w14:textId="77777777" w:rsidR="003D4B39" w:rsidRDefault="003D4B39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Komplektuojamas monokristalinės technologijos aukšto dažnio sektorinis daviklis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F7D5917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6CF76B6" w14:textId="77777777" w:rsidR="003D4B39" w:rsidRPr="005B06B8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BC7C59"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9F629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49357F20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158D9720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ABAC40A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T5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F8C1F" w14:textId="77777777" w:rsidR="003D4B39" w:rsidRDefault="003D4B39" w:rsidP="000379B1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Automatiniai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kairiojo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skilvelio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įtempių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(strain) </w:t>
            </w:r>
            <w:proofErr w:type="spellStart"/>
            <w:r>
              <w:rPr>
                <w:rFonts w:ascii="Times New Roman" w:hAnsi="Times New Roman"/>
                <w:sz w:val="24"/>
              </w:rPr>
              <w:t>matavimai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2D </w:t>
            </w:r>
            <w:proofErr w:type="spellStart"/>
            <w:r>
              <w:rPr>
                <w:rFonts w:ascii="Times New Roman" w:hAnsi="Times New Roman"/>
                <w:sz w:val="24"/>
              </w:rPr>
              <w:t>taškelių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sekimo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technologija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buliaus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akies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</w:rPr>
              <w:t>įtempių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segmentų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vaizdavimu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5BAF6EF5" w14:textId="77777777" w:rsidR="003D4B39" w:rsidRDefault="003D4B39" w:rsidP="000379B1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Automatiniai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dešiniojo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skilvelio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kairiojo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prieširdžio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įtempių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matavimai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2D </w:t>
            </w:r>
            <w:proofErr w:type="spellStart"/>
            <w:r>
              <w:rPr>
                <w:rFonts w:ascii="Times New Roman" w:hAnsi="Times New Roman"/>
                <w:sz w:val="24"/>
              </w:rPr>
              <w:t>taškelių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sekimo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technologija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744083D8" w14:textId="77777777" w:rsidR="003D4B39" w:rsidRDefault="003D4B39" w:rsidP="000379B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A0EE350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Statinis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83358FD" w14:textId="77777777" w:rsidR="003D4B39" w:rsidRPr="005B06B8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5 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</w:t>
            </w:r>
            <w:r w:rsidR="00BC7C59"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9D573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9AE7A10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55B9A73B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3EB5BE5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T6</w:t>
            </w:r>
          </w:p>
        </w:tc>
        <w:tc>
          <w:tcPr>
            <w:tcW w:w="344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16604" w14:textId="77777777" w:rsidR="003D4B39" w:rsidRDefault="003D4B39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Dirbtiniu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intelektu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paremta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dinaminio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širdies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modelio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programinė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įranga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gebanti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sekti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kiekvieną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širdies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ciklo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kadrą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pasitelkiant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3D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taškelių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sekimo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technologiją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Dinaminis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LV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kontūrų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sekimas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vienu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metu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bendrojo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tūrio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kreivės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automatiniai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tūrių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LAEF, LAVI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matavimai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rezultatų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vidurkio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pasirenkamus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širdies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ciklus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išvedimas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D236AD1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2C592B7" w14:textId="77777777" w:rsidR="003D4B39" w:rsidRPr="005B06B8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6 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A5890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2C445D3D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5244D2" w14:paraId="64A01902" w14:textId="77777777" w:rsidTr="005244D2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E515381" w14:textId="77777777" w:rsidR="005244D2" w:rsidRPr="005B06B8" w:rsidRDefault="005244D2" w:rsidP="009D0AF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T7</w:t>
            </w:r>
          </w:p>
        </w:tc>
        <w:tc>
          <w:tcPr>
            <w:tcW w:w="344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D6A3C" w14:textId="77777777" w:rsidR="005244D2" w:rsidRPr="005B06B8" w:rsidRDefault="005244D2" w:rsidP="009D0AF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Automatin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ė kairiojo skilvelio širdies sienelių judesio vertinimo programinė įranga, automatiškai </w:t>
            </w:r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 segment</w:t>
            </w:r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ų įvertinanti širdies sienelių būklę (norma,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hipokinezė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ar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akinezė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  <w:r w:rsidR="00E50CFA"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be</w:t>
            </w:r>
            <w:r w:rsidR="00BC7C59"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</w:t>
            </w:r>
            <w:r w:rsidR="00E50CFA"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atvaizduojanti „buliaus akyje“. Matavimo parametrai- greitis, judėjimas vaizdo plokštumoje, bendras atstumas, segmentinis deformacijos rodiklis (</w:t>
            </w:r>
            <w:proofErr w:type="spellStart"/>
            <w:r w:rsidR="00E50CFA"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strain</w:t>
            </w:r>
            <w:proofErr w:type="spellEnd"/>
            <w:r w:rsidR="00E50CFA"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), kreivumas.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4E148A1" w14:textId="77777777" w:rsidR="005244D2" w:rsidRPr="005B06B8" w:rsidRDefault="005244D2" w:rsidP="009D0AF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1AC113E" w14:textId="77777777" w:rsidR="005244D2" w:rsidRPr="005B06B8" w:rsidRDefault="005244D2" w:rsidP="009D0AF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L7 = 0,</w:t>
            </w:r>
            <w:r w:rsidR="00BC7C59"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E5FAE" w14:textId="77777777" w:rsidR="005244D2" w:rsidRPr="005B06B8" w:rsidRDefault="005244D2" w:rsidP="009D0AF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5B06B8"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 w:rsidRPr="005B06B8"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 w:rsidRPr="005B06B8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054935C2" w14:textId="77777777" w:rsidR="005244D2" w:rsidRPr="005B06B8" w:rsidRDefault="005244D2" w:rsidP="009D0AF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5B06B8"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 w:rsidRPr="005B06B8"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5244D2" w14:paraId="00D7B680" w14:textId="77777777" w:rsidTr="005244D2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CEC5CA4" w14:textId="77777777" w:rsidR="005244D2" w:rsidRPr="005B06B8" w:rsidRDefault="005244D2" w:rsidP="00E50CF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E50CFA"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4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AE448" w14:textId="77777777" w:rsidR="005244D2" w:rsidRPr="005B06B8" w:rsidRDefault="00E50CFA" w:rsidP="009D0AF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Papildomai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standartin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ė</w:t>
            </w:r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mis (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Autoscan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Adaptive contrast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enchancement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Automatic tissue optimization, Auto TEQ)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vaizdo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apdorojimo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programomis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veikianti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kardiologiniams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TTE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TEE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tyrimams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specializuota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signal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duomenų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apdorojimo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funkcija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kuri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slopina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trikdžių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signalus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sustiprina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pageidaujamus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miokardo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kardiologinių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struktūrų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signalus</w:t>
            </w:r>
            <w:proofErr w:type="spellEnd"/>
            <w:r w:rsidRPr="005B06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1047CCB" w14:textId="77777777" w:rsidR="005244D2" w:rsidRPr="005B06B8" w:rsidRDefault="005244D2" w:rsidP="009D0AF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Statinis</w:t>
            </w:r>
            <w:proofErr w:type="spellEnd"/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4343B09" w14:textId="77777777" w:rsidR="005244D2" w:rsidRPr="005B06B8" w:rsidRDefault="005244D2" w:rsidP="005244D2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L8 = 0,1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98018" w14:textId="77777777" w:rsidR="005244D2" w:rsidRPr="005B06B8" w:rsidRDefault="005244D2" w:rsidP="009D0AF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5B06B8"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 w:rsidRPr="005B06B8"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 w:rsidRPr="005B06B8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7743D88E" w14:textId="77777777" w:rsidR="005244D2" w:rsidRPr="005B06B8" w:rsidRDefault="005244D2" w:rsidP="009D0AF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5B06B8"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 w:rsidRPr="005B06B8"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</w:tbl>
    <w:p w14:paraId="418364B7" w14:textId="77777777" w:rsidR="00A01B10" w:rsidRPr="00A01B10" w:rsidRDefault="00A01B10" w:rsidP="00A01B1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01B1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Pastaba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Tiekėjas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kartu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su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pasiūlymu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turi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pateikti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dokumentus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įrodančius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atitiktį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pasirinktiems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Techninių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pranašumų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 xml:space="preserve"> (T) </w:t>
      </w:r>
      <w:proofErr w:type="spellStart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parametrams</w:t>
      </w:r>
      <w:proofErr w:type="spellEnd"/>
      <w:r w:rsidRPr="00A01B1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E810A2A" w14:textId="77777777" w:rsidR="003D4B39" w:rsidRDefault="003D4B39" w:rsidP="003D4B3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676FD9E7" w14:textId="77777777" w:rsidR="003D4B39" w:rsidRDefault="003D4B39" w:rsidP="003D4B3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0" w:name="_Hlk132893549"/>
      <w:proofErr w:type="spellStart"/>
      <w:r>
        <w:rPr>
          <w:rFonts w:ascii="Times New Roman" w:eastAsia="Times New Roman" w:hAnsi="Times New Roman"/>
          <w:b/>
          <w:bCs/>
          <w:color w:val="000000"/>
        </w:rPr>
        <w:t>Pasiūlymo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ekonominio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naudingumo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kainos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ir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kokybės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santykio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apskaičiavimo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tvarka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formulė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yra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pateikiama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žemiau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>:</w:t>
      </w:r>
      <w:bookmarkEnd w:id="0"/>
    </w:p>
    <w:p w14:paraId="490766D5" w14:textId="77777777" w:rsidR="003D4B39" w:rsidRDefault="003D4B39" w:rsidP="003D4B39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Pasiūlymo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ekonominio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naudingumo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kainos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ir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kokybės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santykio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apskaičiavimo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tvarka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formulė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yra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pateikiama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žemiau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:</w:t>
      </w:r>
    </w:p>
    <w:p w14:paraId="3C00D325" w14:textId="77777777" w:rsidR="003D4B39" w:rsidRDefault="003D4B39" w:rsidP="003D4B39">
      <w:pPr>
        <w:pStyle w:val="ListParagraph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ekonominis naudingumas (E) apskaičiuojamas sudedant tiekėjo pasiūlymo kainos (K), techninių pranašumų (T) balus;</w:t>
      </w:r>
    </w:p>
    <w:p w14:paraId="06B0FD26" w14:textId="77777777" w:rsidR="003D4B39" w:rsidRDefault="003D4B39" w:rsidP="003D4B39">
      <w:pPr>
        <w:pStyle w:val="ListParagraph"/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E = K + T;</w:t>
      </w:r>
    </w:p>
    <w:p w14:paraId="4EEC51F4" w14:textId="77777777" w:rsidR="003D4B39" w:rsidRDefault="003D4B39" w:rsidP="003D4B39">
      <w:pPr>
        <w:pStyle w:val="ListParagraph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kainos (K) balai apskaičiuojami mažiausios pasiūlytos kainos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Kmin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) ir vertinamo pasiūlymo kainos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Kv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) santykį padauginant iš kainos lyginamojo svorio (X):</w:t>
      </w:r>
    </w:p>
    <w:p w14:paraId="5B10CB7D" w14:textId="77777777" w:rsidR="003D4B39" w:rsidRDefault="003D4B39" w:rsidP="003D4B39">
      <w:pPr>
        <w:pStyle w:val="ListParagraph"/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2E5B700D" w14:textId="77777777" w:rsidR="003D4B39" w:rsidRDefault="003D4B39" w:rsidP="003D4B39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04E65CF2" w14:textId="77777777" w:rsidR="003D4B39" w:rsidRDefault="003D4B39" w:rsidP="003D4B39">
      <w:pPr>
        <w:pStyle w:val="ListParagraph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techniniai pranašumai apskaičiuojami statiniu metodu:</w:t>
      </w:r>
    </w:p>
    <w:p w14:paraId="14886890" w14:textId="77777777" w:rsidR="003D4B39" w:rsidRDefault="003D4B39" w:rsidP="003D4B39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50201C13" w14:textId="5D152EED" w:rsidR="003D4B39" w:rsidRDefault="003D4B39" w:rsidP="003D4B39">
      <w:pPr>
        <w:pStyle w:val="ListParagraph"/>
        <w:numPr>
          <w:ilvl w:val="1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T1, T2, T3, T4, T5, T6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,T7, T8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techniniai parametrai apskaičiuojamas pagal metodiką:</w:t>
      </w:r>
    </w:p>
    <w:p w14:paraId="7AE1F4D8" w14:textId="13A9EFC7" w:rsidR="003D4B39" w:rsidRDefault="003D4B39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turi nurodytą pranašumą gauna maksimalų balų skaičių pagal lyginamąjį svorį: T1 = L1 = 0.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05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 T2 = L2 = 0.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10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 T3 = L3 = 0.20, T4 = L4 = 0.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15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 T5 = L5 = 0.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1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T6 = L6 = 0.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10, T7 = L7 = 0.20, T8 = L8 = 0.10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Jei siūlomas objektas neturi nurodyto pranašumo, gauna 0 balų: T1 = L1 = T2 = L2 = T3 = L3 = T4 = L4 = T5 = L5 = T6 = L6 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>= T</w:t>
      </w:r>
      <w:r w:rsidR="00714277">
        <w:rPr>
          <w:rFonts w:ascii="Times New Roman" w:hAnsi="Times New Roman"/>
          <w:i/>
          <w:iCs/>
          <w:color w:val="000000"/>
          <w:sz w:val="20"/>
          <w:szCs w:val="20"/>
        </w:rPr>
        <w:t>7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 xml:space="preserve"> = L</w:t>
      </w:r>
      <w:r w:rsidR="00714277">
        <w:rPr>
          <w:rFonts w:ascii="Times New Roman" w:hAnsi="Times New Roman"/>
          <w:i/>
          <w:iCs/>
          <w:color w:val="000000"/>
          <w:sz w:val="20"/>
          <w:szCs w:val="20"/>
        </w:rPr>
        <w:t>7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 xml:space="preserve"> = T</w:t>
      </w:r>
      <w:r w:rsidR="00714277">
        <w:rPr>
          <w:rFonts w:ascii="Times New Roman" w:hAnsi="Times New Roman"/>
          <w:i/>
          <w:iCs/>
          <w:color w:val="000000"/>
          <w:sz w:val="20"/>
          <w:szCs w:val="20"/>
        </w:rPr>
        <w:t>8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 xml:space="preserve"> = L</w:t>
      </w:r>
      <w:r w:rsidR="00714277">
        <w:rPr>
          <w:rFonts w:ascii="Times New Roman" w:hAnsi="Times New Roman"/>
          <w:i/>
          <w:iCs/>
          <w:color w:val="000000"/>
          <w:sz w:val="20"/>
          <w:szCs w:val="20"/>
        </w:rPr>
        <w:t>8</w:t>
      </w:r>
      <w:r w:rsidR="00984629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714277">
        <w:rPr>
          <w:rFonts w:ascii="Times New Roman" w:hAnsi="Times New Roman"/>
          <w:i/>
          <w:iCs/>
          <w:color w:val="000000"/>
          <w:sz w:val="20"/>
          <w:szCs w:val="20"/>
        </w:rPr>
        <w:t>=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0.</w:t>
      </w:r>
    </w:p>
    <w:p w14:paraId="497AEA8B" w14:textId="77777777" w:rsidR="003D4B39" w:rsidRDefault="003D4B39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0B84BBE1" w14:textId="77777777" w:rsidR="003D4B39" w:rsidRDefault="003D4B39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Techninių pranašumų (T) balai apskaičiuojami visų techninių kriterijų parametrų įvertinimų sumą padauginant iš techninių pranašumų lyginamojo svorio (Y):</w:t>
      </w:r>
    </w:p>
    <w:p w14:paraId="7E2850FF" w14:textId="77777777" w:rsidR="003D4B39" w:rsidRDefault="00000000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noProof/>
          <w:color w:val="000000"/>
          <w:sz w:val="20"/>
          <w:szCs w:val="20"/>
        </w:rPr>
        <w:pict w14:anchorId="6AB184CD">
          <v:rect id="Text Box 8" o:spid="_x0000_s1026" style="position:absolute;left:0;text-align:left;margin-left:199.7pt;margin-top:19.1pt;width:157pt;height: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" o:allowincell="f" filled="f" stroked="f" strokeweight="0">
            <v:textbox inset="0,0,0,0">
              <w:txbxContent>
                <w:p w14:paraId="55032500" w14:textId="0C58CB9A" w:rsidR="003D4B39" w:rsidRDefault="003D4B39" w:rsidP="003D4B39">
                  <w:pPr>
                    <w:spacing w:after="0"/>
                    <w:jc w:val="center"/>
                    <w:rPr>
                      <w:i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T=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  <m:r>
                        <w:rPr>
                          <w:rFonts w:ascii="Cambria Math" w:hAnsi="Cambria Math"/>
                        </w:rPr>
                        <m:t>xY</m:t>
                      </m:r>
                    </m:oMath>
                  </m:oMathPara>
                </w:p>
              </w:txbxContent>
            </v:textbox>
            <w10:wrap type="tight"/>
          </v:rect>
        </w:pict>
      </w:r>
    </w:p>
    <w:p w14:paraId="6BB8318F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14521C95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D1F4DAE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4F3E5FA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4. </w:t>
      </w:r>
      <w:r w:rsidRPr="00625857">
        <w:rPr>
          <w:rFonts w:ascii="Times New Roman" w:hAnsi="Times New Roman" w:cs="Times New Roman"/>
          <w:i/>
          <w:iCs/>
        </w:rPr>
        <w:t>Apskaičiuojant ekonominio naudingumo balą (E) tiekėjams skirtų kriterijų balai apvalinami iki šimtųjų dalių.</w:t>
      </w:r>
    </w:p>
    <w:p w14:paraId="3BCA7286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</w:p>
    <w:p w14:paraId="60985C30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5. </w:t>
      </w:r>
      <w:r w:rsidRPr="00625857">
        <w:rPr>
          <w:rFonts w:ascii="Times New Roman" w:hAnsi="Times New Roman" w:cs="Times New Roman"/>
          <w:i/>
          <w:iCs/>
        </w:rPr>
        <w:t>Jeigu tiekėjas pasiūlyme nenurodo (nepasirenka) parametro reikšmės, ar nepateikia dokumentų, įrodančių atitiktį parametrui, laikoma, kad parametrui yra suteikiama nulis balų.</w:t>
      </w:r>
    </w:p>
    <w:p w14:paraId="501591A7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</w:p>
    <w:p w14:paraId="668182F1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6. </w:t>
      </w:r>
      <w:r w:rsidRPr="00625857">
        <w:rPr>
          <w:rFonts w:ascii="Times New Roman" w:hAnsi="Times New Roman" w:cs="Times New Roman"/>
          <w:i/>
          <w:iCs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11893823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</w:p>
    <w:p w14:paraId="583B4F5C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7. </w:t>
      </w:r>
      <w:r w:rsidRPr="00625857">
        <w:rPr>
          <w:rFonts w:ascii="Times New Roman" w:hAnsi="Times New Roman" w:cs="Times New Roman"/>
          <w:i/>
          <w:iCs/>
        </w:rPr>
        <w:t>Suteikti balai perskaičiuojami, kai jau atlikus balų apskaičiavimą vienas iš tiekėjų iš pirkimo  pasitraukia (ar yra pašalinamas).</w:t>
      </w:r>
    </w:p>
    <w:p w14:paraId="7660628C" w14:textId="77777777" w:rsidR="003D4B39" w:rsidRPr="00625857" w:rsidRDefault="003D4B39" w:rsidP="003D4B39">
      <w:pPr>
        <w:rPr>
          <w:rFonts w:ascii="Times New Roman" w:hAnsi="Times New Roman"/>
          <w:i/>
          <w:iCs/>
          <w:color w:val="000000" w:themeColor="text1"/>
          <w:sz w:val="24"/>
          <w:szCs w:val="24"/>
          <w:lang w:val="lt-LT"/>
        </w:rPr>
      </w:pPr>
    </w:p>
    <w:sectPr w:rsidR="003D4B39" w:rsidRPr="00625857" w:rsidSect="00512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080" w:bottom="777" w:left="1080" w:header="720" w:footer="72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4E29" w14:textId="77777777" w:rsidR="00914628" w:rsidRDefault="00914628">
      <w:pPr>
        <w:spacing w:after="0" w:line="240" w:lineRule="auto"/>
      </w:pPr>
      <w:r>
        <w:separator/>
      </w:r>
    </w:p>
  </w:endnote>
  <w:endnote w:type="continuationSeparator" w:id="0">
    <w:p w14:paraId="732165FA" w14:textId="77777777" w:rsidR="00914628" w:rsidRDefault="0091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B068" w14:textId="77777777" w:rsidR="005D5569" w:rsidRDefault="005D5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318022"/>
      <w:docPartObj>
        <w:docPartGallery w:val="Page Numbers (Bottom of Page)"/>
        <w:docPartUnique/>
      </w:docPartObj>
    </w:sdtPr>
    <w:sdtContent>
      <w:p w14:paraId="167EB64A" w14:textId="77777777" w:rsidR="005D5569" w:rsidRDefault="00547085">
        <w:pPr>
          <w:pStyle w:val="Footer"/>
          <w:jc w:val="right"/>
        </w:pPr>
        <w:r>
          <w:fldChar w:fldCharType="begin"/>
        </w:r>
        <w:r w:rsidR="00C6596F">
          <w:instrText xml:space="preserve"> PAGE </w:instrText>
        </w:r>
        <w:r>
          <w:fldChar w:fldCharType="separate"/>
        </w:r>
        <w:r w:rsidR="00BC7C59">
          <w:rPr>
            <w:noProof/>
          </w:rPr>
          <w:t>1</w:t>
        </w:r>
        <w:r>
          <w:fldChar w:fldCharType="end"/>
        </w:r>
      </w:p>
    </w:sdtContent>
  </w:sdt>
  <w:p w14:paraId="1624018A" w14:textId="77777777" w:rsidR="005D5569" w:rsidRDefault="005D5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457181"/>
      <w:docPartObj>
        <w:docPartGallery w:val="Page Numbers (Bottom of Page)"/>
        <w:docPartUnique/>
      </w:docPartObj>
    </w:sdtPr>
    <w:sdtContent>
      <w:p w14:paraId="32BF91A9" w14:textId="77777777" w:rsidR="005D5569" w:rsidRDefault="00547085">
        <w:pPr>
          <w:pStyle w:val="Footer"/>
          <w:jc w:val="right"/>
        </w:pPr>
        <w:r>
          <w:fldChar w:fldCharType="begin"/>
        </w:r>
        <w:r w:rsidR="00C6596F">
          <w:instrText xml:space="preserve"> PAGE </w:instrText>
        </w:r>
        <w:r>
          <w:fldChar w:fldCharType="separate"/>
        </w:r>
        <w:r w:rsidR="00C6596F">
          <w:t>6</w:t>
        </w:r>
        <w:r>
          <w:fldChar w:fldCharType="end"/>
        </w:r>
      </w:p>
    </w:sdtContent>
  </w:sdt>
  <w:p w14:paraId="7A43DCA1" w14:textId="77777777" w:rsidR="005D5569" w:rsidRDefault="005D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3B02" w14:textId="77777777" w:rsidR="00914628" w:rsidRDefault="00914628">
      <w:pPr>
        <w:spacing w:after="0" w:line="240" w:lineRule="auto"/>
      </w:pPr>
      <w:r>
        <w:separator/>
      </w:r>
    </w:p>
  </w:footnote>
  <w:footnote w:type="continuationSeparator" w:id="0">
    <w:p w14:paraId="49242CC6" w14:textId="77777777" w:rsidR="00914628" w:rsidRDefault="0091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C505" w14:textId="77777777" w:rsidR="005D5569" w:rsidRDefault="005D5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29D5" w14:textId="77777777" w:rsidR="005D5569" w:rsidRDefault="005D5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E460" w14:textId="77777777" w:rsidR="005D5569" w:rsidRDefault="005D5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1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5499182">
    <w:abstractNumId w:val="1"/>
  </w:num>
  <w:num w:numId="2" w16cid:durableId="1340623857">
    <w:abstractNumId w:val="0"/>
  </w:num>
  <w:num w:numId="3" w16cid:durableId="959608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B39"/>
    <w:rsid w:val="0009006F"/>
    <w:rsid w:val="0027650E"/>
    <w:rsid w:val="00294A1A"/>
    <w:rsid w:val="002B425C"/>
    <w:rsid w:val="003D4B39"/>
    <w:rsid w:val="003F6A1B"/>
    <w:rsid w:val="004D00B3"/>
    <w:rsid w:val="0051260A"/>
    <w:rsid w:val="005244D2"/>
    <w:rsid w:val="00547085"/>
    <w:rsid w:val="005B06B8"/>
    <w:rsid w:val="005D4958"/>
    <w:rsid w:val="005D5569"/>
    <w:rsid w:val="006C4AD1"/>
    <w:rsid w:val="006D0C26"/>
    <w:rsid w:val="006F1A5C"/>
    <w:rsid w:val="00714277"/>
    <w:rsid w:val="007448BF"/>
    <w:rsid w:val="007B7EA4"/>
    <w:rsid w:val="007C36EC"/>
    <w:rsid w:val="00826EA4"/>
    <w:rsid w:val="00863A9A"/>
    <w:rsid w:val="00875BF0"/>
    <w:rsid w:val="008B57C2"/>
    <w:rsid w:val="00914628"/>
    <w:rsid w:val="00984629"/>
    <w:rsid w:val="009C4740"/>
    <w:rsid w:val="00A01B10"/>
    <w:rsid w:val="00A03174"/>
    <w:rsid w:val="00B5026D"/>
    <w:rsid w:val="00B95A5A"/>
    <w:rsid w:val="00BC7C59"/>
    <w:rsid w:val="00BD0B67"/>
    <w:rsid w:val="00C6596F"/>
    <w:rsid w:val="00D00B0E"/>
    <w:rsid w:val="00D34B38"/>
    <w:rsid w:val="00DB0A7D"/>
    <w:rsid w:val="00E37EB8"/>
    <w:rsid w:val="00E402F8"/>
    <w:rsid w:val="00E50CFA"/>
    <w:rsid w:val="00E74ADD"/>
    <w:rsid w:val="00E80BE1"/>
    <w:rsid w:val="00EB62EF"/>
    <w:rsid w:val="00F57DD1"/>
    <w:rsid w:val="00FB1DAA"/>
    <w:rsid w:val="00FE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9BBBAD"/>
  <w15:docId w15:val="{09820E04-54EC-4D12-8247-193F8A04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39"/>
    <w:pPr>
      <w:suppressAutoHyphens/>
    </w:pPr>
    <w:rPr>
      <w:rFonts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D4B3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D4B3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sid w:val="003D4B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3D4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3D4B39"/>
    <w:pPr>
      <w:ind w:left="720"/>
      <w:contextualSpacing/>
    </w:pPr>
    <w:rPr>
      <w:rFonts w:ascii="Calibri" w:eastAsia="Calibri" w:hAnsi="Calibri"/>
      <w:kern w:val="2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D4B39"/>
    <w:pPr>
      <w:tabs>
        <w:tab w:val="center" w:pos="4986"/>
        <w:tab w:val="right" w:pos="9972"/>
      </w:tabs>
      <w:spacing w:after="0" w:line="240" w:lineRule="auto"/>
    </w:pPr>
    <w:rPr>
      <w:rFonts w:ascii="Calibri" w:eastAsia="Calibri" w:hAnsi="Calibri"/>
      <w:kern w:val="2"/>
      <w:lang w:val="lt-LT"/>
    </w:rPr>
  </w:style>
  <w:style w:type="character" w:customStyle="1" w:styleId="AntratsDiagrama1">
    <w:name w:val="Antraštės Diagrama1"/>
    <w:basedOn w:val="DefaultParagraphFont"/>
    <w:uiPriority w:val="99"/>
    <w:semiHidden/>
    <w:rsid w:val="003D4B39"/>
    <w:rPr>
      <w:rFonts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4B39"/>
    <w:pPr>
      <w:tabs>
        <w:tab w:val="center" w:pos="4986"/>
        <w:tab w:val="right" w:pos="9972"/>
      </w:tabs>
      <w:spacing w:after="0" w:line="240" w:lineRule="auto"/>
    </w:pPr>
    <w:rPr>
      <w:rFonts w:ascii="Calibri" w:eastAsia="Calibri" w:hAnsi="Calibri"/>
      <w:kern w:val="2"/>
      <w:lang w:val="lt-LT"/>
    </w:rPr>
  </w:style>
  <w:style w:type="character" w:customStyle="1" w:styleId="PoratDiagrama1">
    <w:name w:val="Poraštė Diagrama1"/>
    <w:basedOn w:val="DefaultParagraphFont"/>
    <w:uiPriority w:val="99"/>
    <w:semiHidden/>
    <w:rsid w:val="003D4B39"/>
    <w:rPr>
      <w:rFonts w:cs="Times New Roman"/>
      <w:kern w:val="0"/>
      <w:lang w:val="en-US"/>
    </w:rPr>
  </w:style>
  <w:style w:type="paragraph" w:customStyle="1" w:styleId="Body2">
    <w:name w:val="Body 2"/>
    <w:qFormat/>
    <w:rsid w:val="003D4B39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B39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D2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6866-2EB7-49ED-A730-82481651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donatas.stelmokas83@gmail.com</cp:lastModifiedBy>
  <cp:revision>6</cp:revision>
  <dcterms:created xsi:type="dcterms:W3CDTF">2025-02-26T13:16:00Z</dcterms:created>
  <dcterms:modified xsi:type="dcterms:W3CDTF">2025-06-06T07:00:00Z</dcterms:modified>
</cp:coreProperties>
</file>