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8AE39A6"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0E1E4F">
              <w:rPr>
                <w:rFonts w:ascii="Times New Roman" w:hAnsi="Times New Roman" w:cs="Times New Roman"/>
                <w:lang w:val="lt-LT"/>
              </w:rPr>
              <w:t>liepos</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3741EACC"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8F11EE">
              <w:rPr>
                <w:rFonts w:ascii="Times New Roman" w:hAnsi="Times New Roman" w:cs="Times New Roman"/>
                <w:lang w:val="lt-LT"/>
              </w:rPr>
              <w:t xml:space="preserve"> </w:t>
            </w:r>
            <w:r w:rsidR="000E1E4F">
              <w:rPr>
                <w:rFonts w:ascii="Times New Roman" w:hAnsi="Times New Roman" w:cs="Times New Roman"/>
                <w:lang w:val="lt-LT"/>
              </w:rPr>
              <w:t>Dmitrij Tatol; Tel. Nr. +370 706 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0E1E4F">
              <w:rPr>
                <w:rFonts w:ascii="Times New Roman" w:hAnsi="Times New Roman" w:cs="Times New Roman"/>
                <w:lang w:val="lt-LT"/>
              </w:rPr>
              <w:t>dmitrij</w:t>
            </w:r>
            <w:r w:rsidR="008E19A0">
              <w:rPr>
                <w:rFonts w:ascii="Times New Roman" w:hAnsi="Times New Roman" w:cs="Times New Roman"/>
                <w:lang w:val="lt-LT"/>
              </w:rPr>
              <w:t>.</w:t>
            </w:r>
            <w:r w:rsidR="000E1E4F">
              <w:rPr>
                <w:rFonts w:ascii="Times New Roman" w:hAnsi="Times New Roman" w:cs="Times New Roman"/>
                <w:lang w:val="lt-LT"/>
              </w:rPr>
              <w:t>tatol</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w:t>
      </w:r>
      <w:proofErr w:type="spellStart"/>
      <w:r w:rsidRPr="007D16E5">
        <w:rPr>
          <w:rFonts w:ascii="Times New Roman" w:hAnsi="Times New Roman" w:cs="Times New Roman"/>
          <w:sz w:val="24"/>
          <w:szCs w:val="24"/>
          <w:lang w:val="it-IT"/>
        </w:rPr>
        <w:t>Prekių</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pavadinimai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reikalavimai</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prekėms</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mato</w:t>
      </w:r>
      <w:proofErr w:type="spellEnd"/>
      <w:r w:rsidRPr="007D16E5">
        <w:rPr>
          <w:rFonts w:ascii="Times New Roman" w:hAnsi="Times New Roman" w:cs="Times New Roman"/>
          <w:sz w:val="24"/>
          <w:szCs w:val="24"/>
          <w:lang w:val="it-IT"/>
        </w:rPr>
        <w:t xml:space="preserve"> </w:t>
      </w:r>
      <w:proofErr w:type="spellStart"/>
      <w:r w:rsidRPr="007D16E5">
        <w:rPr>
          <w:rFonts w:ascii="Times New Roman" w:hAnsi="Times New Roman" w:cs="Times New Roman"/>
          <w:sz w:val="24"/>
          <w:szCs w:val="24"/>
          <w:lang w:val="it-IT"/>
        </w:rPr>
        <w:t>vienetai</w:t>
      </w:r>
      <w:proofErr w:type="spellEnd"/>
      <w:r w:rsidRPr="007D16E5">
        <w:rPr>
          <w:rFonts w:ascii="Times New Roman" w:hAnsi="Times New Roman" w:cs="Times New Roman"/>
          <w:sz w:val="24"/>
          <w:szCs w:val="24"/>
          <w:lang w:val="it-IT"/>
        </w:rPr>
        <w:t xml:space="preserve">, </w:t>
      </w:r>
      <w:proofErr w:type="spellStart"/>
      <w:proofErr w:type="gramStart"/>
      <w:r w:rsidRPr="007D16E5">
        <w:rPr>
          <w:rFonts w:ascii="Times New Roman" w:hAnsi="Times New Roman" w:cs="Times New Roman"/>
          <w:sz w:val="24"/>
          <w:szCs w:val="24"/>
          <w:lang w:val="it-IT"/>
        </w:rPr>
        <w:t>kiekiai</w:t>
      </w:r>
      <w:proofErr w:type="spellEnd"/>
      <w:r w:rsidRPr="007D16E5">
        <w:rPr>
          <w:rFonts w:ascii="Times New Roman" w:hAnsi="Times New Roman" w:cs="Times New Roman"/>
          <w:sz w:val="24"/>
          <w:szCs w:val="24"/>
          <w:lang w:val="it-IT"/>
        </w:rPr>
        <w:t>“</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bookmarkStart w:id="0" w:name="_GoBack"/>
      <w:bookmarkEnd w:id="0"/>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Eil</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Nr</w:t>
            </w:r>
            <w:proofErr w:type="spellEnd"/>
            <w:r w:rsidRPr="00284A47">
              <w:rPr>
                <w:rFonts w:ascii="Times New Roman" w:hAnsi="Times New Roman" w:cs="Times New Roman"/>
              </w:rPr>
              <w:t xml:space="preserve">. </w:t>
            </w:r>
          </w:p>
        </w:tc>
        <w:tc>
          <w:tcPr>
            <w:tcW w:w="2694" w:type="dxa"/>
          </w:tcPr>
          <w:p w14:paraId="6A543A02" w14:textId="3B0EA899"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Perkamo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objekto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pavadinimas</w:t>
            </w:r>
            <w:proofErr w:type="spellEnd"/>
          </w:p>
        </w:tc>
        <w:tc>
          <w:tcPr>
            <w:tcW w:w="4677" w:type="dxa"/>
          </w:tcPr>
          <w:p w14:paraId="3C4257D0" w14:textId="2294EA0C" w:rsidR="005C484F" w:rsidRPr="00284A47" w:rsidRDefault="005C484F" w:rsidP="005075B1">
            <w:pPr>
              <w:rPr>
                <w:rFonts w:ascii="Times New Roman" w:hAnsi="Times New Roman" w:cs="Times New Roman"/>
              </w:rPr>
            </w:pPr>
            <w:proofErr w:type="spellStart"/>
            <w:r w:rsidRPr="00284A47">
              <w:rPr>
                <w:rFonts w:ascii="Times New Roman" w:hAnsi="Times New Roman" w:cs="Times New Roman"/>
              </w:rPr>
              <w:t>Reikalavimai</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prekei</w:t>
            </w:r>
            <w:proofErr w:type="spellEnd"/>
          </w:p>
        </w:tc>
        <w:tc>
          <w:tcPr>
            <w:tcW w:w="1559" w:type="dxa"/>
          </w:tcPr>
          <w:p w14:paraId="582F8E6B" w14:textId="2DBC4AA8" w:rsidR="005C484F" w:rsidRPr="00284A47" w:rsidRDefault="005C484F" w:rsidP="005C484F">
            <w:pPr>
              <w:ind w:left="390" w:hanging="390"/>
              <w:rPr>
                <w:rFonts w:ascii="Times New Roman" w:hAnsi="Times New Roman" w:cs="Times New Roman"/>
              </w:rPr>
            </w:pPr>
            <w:proofErr w:type="spellStart"/>
            <w:r w:rsidRPr="00284A47">
              <w:rPr>
                <w:rFonts w:ascii="Times New Roman" w:hAnsi="Times New Roman" w:cs="Times New Roman"/>
              </w:rPr>
              <w:t>Mato</w:t>
            </w:r>
            <w:proofErr w:type="spellEnd"/>
            <w:r w:rsidRPr="00284A47">
              <w:rPr>
                <w:rFonts w:ascii="Times New Roman" w:hAnsi="Times New Roman" w:cs="Times New Roman"/>
              </w:rPr>
              <w:t xml:space="preserve"> </w:t>
            </w:r>
            <w:proofErr w:type="spellStart"/>
            <w:r w:rsidRPr="00284A47">
              <w:rPr>
                <w:rFonts w:ascii="Times New Roman" w:hAnsi="Times New Roman" w:cs="Times New Roman"/>
              </w:rPr>
              <w:t>vnt</w:t>
            </w:r>
            <w:proofErr w:type="spellEnd"/>
            <w:r w:rsidRPr="00284A47">
              <w:rPr>
                <w:rFonts w:ascii="Times New Roman" w:hAnsi="Times New Roman" w:cs="Times New Roman"/>
              </w:rPr>
              <w:t>.</w:t>
            </w:r>
          </w:p>
        </w:tc>
        <w:tc>
          <w:tcPr>
            <w:tcW w:w="997" w:type="dxa"/>
          </w:tcPr>
          <w:p w14:paraId="33778021" w14:textId="462C4652" w:rsidR="005C484F" w:rsidRPr="00284A47" w:rsidRDefault="00284A47" w:rsidP="005075B1">
            <w:pPr>
              <w:rPr>
                <w:rFonts w:ascii="Times New Roman" w:hAnsi="Times New Roman" w:cs="Times New Roman"/>
              </w:rPr>
            </w:pPr>
            <w:proofErr w:type="spellStart"/>
            <w:r w:rsidRPr="00284A47">
              <w:rPr>
                <w:rFonts w:ascii="Times New Roman" w:hAnsi="Times New Roman" w:cs="Times New Roman"/>
              </w:rPr>
              <w:t>K</w:t>
            </w:r>
            <w:r w:rsidR="005C484F" w:rsidRPr="00284A47">
              <w:rPr>
                <w:rFonts w:ascii="Times New Roman" w:hAnsi="Times New Roman" w:cs="Times New Roman"/>
              </w:rPr>
              <w:t>iekis</w:t>
            </w:r>
            <w:proofErr w:type="spellEnd"/>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7CFED380" w:rsidR="00B34ED1" w:rsidRPr="00284A47" w:rsidRDefault="000E1E4F" w:rsidP="00284A47">
            <w:pPr>
              <w:rPr>
                <w:rFonts w:ascii="Times New Roman" w:hAnsi="Times New Roman" w:cs="Times New Roman"/>
              </w:rPr>
            </w:pPr>
            <w:proofErr w:type="spellStart"/>
            <w:r w:rsidRPr="000E1E4F">
              <w:rPr>
                <w:rFonts w:ascii="Times New Roman" w:hAnsi="Times New Roman" w:cs="Times New Roman"/>
              </w:rPr>
              <w:t>Procesorius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stacionariam</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kompiuteriui</w:t>
            </w:r>
            <w:proofErr w:type="spellEnd"/>
          </w:p>
        </w:tc>
        <w:tc>
          <w:tcPr>
            <w:tcW w:w="4677" w:type="dxa"/>
          </w:tcPr>
          <w:p w14:paraId="48625ED0" w14:textId="3E2A1A1F" w:rsidR="00B34ED1" w:rsidRPr="00284A47" w:rsidRDefault="000E1E4F" w:rsidP="008E19A0">
            <w:pPr>
              <w:jc w:val="both"/>
              <w:rPr>
                <w:rFonts w:ascii="Times New Roman" w:hAnsi="Times New Roman" w:cs="Times New Roman"/>
              </w:rPr>
            </w:pPr>
            <w:r w:rsidRPr="000E1E4F">
              <w:rPr>
                <w:rFonts w:ascii="Times New Roman" w:hAnsi="Times New Roman" w:cs="Times New Roman"/>
              </w:rPr>
              <w:t xml:space="preserve">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8 </w:t>
            </w:r>
            <w:proofErr w:type="spellStart"/>
            <w:r w:rsidRPr="000E1E4F">
              <w:rPr>
                <w:rFonts w:ascii="Times New Roman" w:hAnsi="Times New Roman" w:cs="Times New Roman"/>
              </w:rPr>
              <w:t>branduolių</w:t>
            </w:r>
            <w:proofErr w:type="spellEnd"/>
            <w:r w:rsidRPr="000E1E4F">
              <w:rPr>
                <w:rFonts w:ascii="Times New Roman" w:hAnsi="Times New Roman" w:cs="Times New Roman"/>
              </w:rPr>
              <w:t xml:space="preserve"> / 16 </w:t>
            </w:r>
            <w:proofErr w:type="spellStart"/>
            <w:r w:rsidRPr="000E1E4F">
              <w:rPr>
                <w:rFonts w:ascii="Times New Roman" w:hAnsi="Times New Roman" w:cs="Times New Roman"/>
              </w:rPr>
              <w:t>skaičiavimo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gijų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taktinis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dažnis</w:t>
            </w:r>
            <w:proofErr w:type="spellEnd"/>
            <w:r w:rsidRPr="000E1E4F">
              <w:rPr>
                <w:rFonts w:ascii="Times New Roman" w:hAnsi="Times New Roman" w:cs="Times New Roman"/>
              </w:rPr>
              <w:t xml:space="preserve">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4,2 </w:t>
            </w:r>
            <w:proofErr w:type="spellStart"/>
            <w:r w:rsidRPr="000E1E4F">
              <w:rPr>
                <w:rFonts w:ascii="Times New Roman" w:hAnsi="Times New Roman" w:cs="Times New Roman"/>
              </w:rPr>
              <w:t>Ghz</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Jungties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tipas</w:t>
            </w:r>
            <w:proofErr w:type="spellEnd"/>
            <w:r w:rsidRPr="000E1E4F">
              <w:rPr>
                <w:rFonts w:ascii="Times New Roman" w:hAnsi="Times New Roman" w:cs="Times New Roman"/>
              </w:rPr>
              <w:t xml:space="preserve"> AM5, </w:t>
            </w:r>
            <w:proofErr w:type="spellStart"/>
            <w:r w:rsidRPr="000E1E4F">
              <w:rPr>
                <w:rFonts w:ascii="Times New Roman" w:hAnsi="Times New Roman" w:cs="Times New Roman"/>
              </w:rPr>
              <w:t>spartinančioji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atmintis</w:t>
            </w:r>
            <w:proofErr w:type="spellEnd"/>
            <w:r w:rsidRPr="000E1E4F">
              <w:rPr>
                <w:rFonts w:ascii="Times New Roman" w:hAnsi="Times New Roman" w:cs="Times New Roman"/>
              </w:rPr>
              <w:t xml:space="preserve">: L2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8 MB, L3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16 MB, </w:t>
            </w:r>
            <w:proofErr w:type="spellStart"/>
            <w:r w:rsidRPr="000E1E4F">
              <w:rPr>
                <w:rFonts w:ascii="Times New Roman" w:hAnsi="Times New Roman" w:cs="Times New Roman"/>
              </w:rPr>
              <w:t>integruota</w:t>
            </w:r>
            <w:proofErr w:type="spellEnd"/>
            <w:r w:rsidRPr="000E1E4F">
              <w:rPr>
                <w:rFonts w:ascii="Times New Roman" w:hAnsi="Times New Roman" w:cs="Times New Roman"/>
              </w:rPr>
              <w:t xml:space="preserve"> GPU.</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gramStart"/>
            <w:r w:rsidRPr="00284A47">
              <w:rPr>
                <w:rFonts w:ascii="Times New Roman" w:hAnsi="Times New Roman" w:cs="Times New Roman"/>
              </w:rPr>
              <w:t>vnt</w:t>
            </w:r>
            <w:proofErr w:type="gramEnd"/>
            <w:r w:rsidRPr="00284A47">
              <w:rPr>
                <w:rFonts w:ascii="Times New Roman" w:hAnsi="Times New Roman" w:cs="Times New Roman"/>
              </w:rPr>
              <w:t>.</w:t>
            </w:r>
          </w:p>
        </w:tc>
        <w:tc>
          <w:tcPr>
            <w:tcW w:w="997" w:type="dxa"/>
            <w:vAlign w:val="center"/>
          </w:tcPr>
          <w:p w14:paraId="1C2BC10E" w14:textId="1C55F38C" w:rsidR="00284A47" w:rsidRPr="00284A47" w:rsidRDefault="000E1E4F" w:rsidP="00284A47">
            <w:pPr>
              <w:rPr>
                <w:rFonts w:ascii="Times New Roman" w:hAnsi="Times New Roman" w:cs="Times New Roman"/>
              </w:rPr>
            </w:pPr>
            <w:r>
              <w:rPr>
                <w:rFonts w:ascii="Times New Roman" w:hAnsi="Times New Roman" w:cs="Times New Roman"/>
              </w:rPr>
              <w:t>12</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135F265A" w:rsidR="000E1E4F" w:rsidRPr="000E1E4F" w:rsidRDefault="000E1E4F" w:rsidP="00284A47">
            <w:pPr>
              <w:rPr>
                <w:rFonts w:ascii="Times New Roman" w:hAnsi="Times New Roman" w:cs="Times New Roman"/>
              </w:rPr>
            </w:pPr>
            <w:proofErr w:type="spellStart"/>
            <w:r w:rsidRPr="000E1E4F">
              <w:rPr>
                <w:rFonts w:ascii="Times New Roman" w:hAnsi="Times New Roman" w:cs="Times New Roman"/>
              </w:rPr>
              <w:t>Procesorius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stacionariam</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kompiuteriui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integruota</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grafika</w:t>
            </w:r>
            <w:proofErr w:type="spellEnd"/>
            <w:r w:rsidRPr="000E1E4F">
              <w:rPr>
                <w:rFonts w:ascii="Times New Roman" w:hAnsi="Times New Roman" w:cs="Times New Roman"/>
              </w:rPr>
              <w:t>)</w:t>
            </w:r>
          </w:p>
        </w:tc>
        <w:tc>
          <w:tcPr>
            <w:tcW w:w="4677" w:type="dxa"/>
          </w:tcPr>
          <w:p w14:paraId="1E52C63C" w14:textId="253E31B5" w:rsidR="000E1E4F" w:rsidRPr="000E1E4F" w:rsidRDefault="000E1E4F" w:rsidP="008E19A0">
            <w:pPr>
              <w:jc w:val="both"/>
              <w:rPr>
                <w:rFonts w:ascii="Times New Roman" w:hAnsi="Times New Roman" w:cs="Times New Roman"/>
              </w:rPr>
            </w:pPr>
            <w:r w:rsidRPr="000E1E4F">
              <w:rPr>
                <w:rFonts w:ascii="Times New Roman" w:hAnsi="Times New Roman" w:cs="Times New Roman"/>
              </w:rPr>
              <w:t xml:space="preserve">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12 </w:t>
            </w:r>
            <w:proofErr w:type="spellStart"/>
            <w:r w:rsidRPr="000E1E4F">
              <w:rPr>
                <w:rFonts w:ascii="Times New Roman" w:hAnsi="Times New Roman" w:cs="Times New Roman"/>
              </w:rPr>
              <w:t>branduolių</w:t>
            </w:r>
            <w:proofErr w:type="spellEnd"/>
            <w:r w:rsidRPr="000E1E4F">
              <w:rPr>
                <w:rFonts w:ascii="Times New Roman" w:hAnsi="Times New Roman" w:cs="Times New Roman"/>
              </w:rPr>
              <w:t xml:space="preserve"> / 24 </w:t>
            </w:r>
            <w:proofErr w:type="spellStart"/>
            <w:r w:rsidRPr="000E1E4F">
              <w:rPr>
                <w:rFonts w:ascii="Times New Roman" w:hAnsi="Times New Roman" w:cs="Times New Roman"/>
              </w:rPr>
              <w:t>skaičiavimo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gijų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taktinis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dažnis</w:t>
            </w:r>
            <w:proofErr w:type="spellEnd"/>
            <w:r w:rsidRPr="000E1E4F">
              <w:rPr>
                <w:rFonts w:ascii="Times New Roman" w:hAnsi="Times New Roman" w:cs="Times New Roman"/>
              </w:rPr>
              <w:t xml:space="preserve">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3,7 </w:t>
            </w:r>
            <w:proofErr w:type="spellStart"/>
            <w:r w:rsidRPr="000E1E4F">
              <w:rPr>
                <w:rFonts w:ascii="Times New Roman" w:hAnsi="Times New Roman" w:cs="Times New Roman"/>
              </w:rPr>
              <w:t>Ghz</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Jungties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tipas</w:t>
            </w:r>
            <w:proofErr w:type="spellEnd"/>
            <w:r w:rsidRPr="000E1E4F">
              <w:rPr>
                <w:rFonts w:ascii="Times New Roman" w:hAnsi="Times New Roman" w:cs="Times New Roman"/>
              </w:rPr>
              <w:t xml:space="preserve"> AM5, </w:t>
            </w:r>
            <w:proofErr w:type="spellStart"/>
            <w:r w:rsidRPr="000E1E4F">
              <w:rPr>
                <w:rFonts w:ascii="Times New Roman" w:hAnsi="Times New Roman" w:cs="Times New Roman"/>
              </w:rPr>
              <w:t>litografija</w:t>
            </w:r>
            <w:proofErr w:type="spellEnd"/>
            <w:r w:rsidRPr="000E1E4F">
              <w:rPr>
                <w:rFonts w:ascii="Times New Roman" w:hAnsi="Times New Roman" w:cs="Times New Roman"/>
              </w:rPr>
              <w:t xml:space="preserve"> – 5 nm, </w:t>
            </w:r>
            <w:proofErr w:type="spellStart"/>
            <w:r w:rsidRPr="000E1E4F">
              <w:rPr>
                <w:rFonts w:ascii="Times New Roman" w:hAnsi="Times New Roman" w:cs="Times New Roman"/>
              </w:rPr>
              <w:t>spartinančioji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atmintis</w:t>
            </w:r>
            <w:proofErr w:type="spellEnd"/>
            <w:r w:rsidRPr="000E1E4F">
              <w:rPr>
                <w:rFonts w:ascii="Times New Roman" w:hAnsi="Times New Roman" w:cs="Times New Roman"/>
              </w:rPr>
              <w:t xml:space="preserve">: L2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12 MB, L3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64 MB. </w:t>
            </w:r>
            <w:proofErr w:type="spellStart"/>
            <w:r w:rsidRPr="000E1E4F">
              <w:rPr>
                <w:rFonts w:ascii="Times New Roman" w:hAnsi="Times New Roman" w:cs="Times New Roman"/>
              </w:rPr>
              <w:t>Integruota</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grafika</w:t>
            </w:r>
            <w:proofErr w:type="spellEnd"/>
          </w:p>
        </w:tc>
        <w:tc>
          <w:tcPr>
            <w:tcW w:w="1559" w:type="dxa"/>
            <w:vAlign w:val="center"/>
          </w:tcPr>
          <w:p w14:paraId="688B9E72" w14:textId="12CFDE0F" w:rsidR="000E1E4F" w:rsidRPr="00284A47"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4F4A7386" w14:textId="3A665D22" w:rsidR="000E1E4F" w:rsidRDefault="000E1E4F" w:rsidP="00284A47">
            <w:pPr>
              <w:rPr>
                <w:rFonts w:ascii="Times New Roman" w:hAnsi="Times New Roman" w:cs="Times New Roman"/>
              </w:rPr>
            </w:pPr>
            <w:r>
              <w:rPr>
                <w:rFonts w:ascii="Times New Roman" w:hAnsi="Times New Roman" w:cs="Times New Roman"/>
              </w:rPr>
              <w:t>2</w:t>
            </w:r>
          </w:p>
        </w:tc>
      </w:tr>
      <w:tr w:rsidR="000E1E4F" w:rsidRPr="00284A47" w14:paraId="1BC1524E" w14:textId="77777777" w:rsidTr="00F74D51">
        <w:tc>
          <w:tcPr>
            <w:tcW w:w="562" w:type="dxa"/>
            <w:vAlign w:val="center"/>
          </w:tcPr>
          <w:p w14:paraId="52AEB346" w14:textId="3D66ABA9" w:rsidR="000E1E4F" w:rsidRDefault="000E1E4F" w:rsidP="00284A47">
            <w:pPr>
              <w:rPr>
                <w:rFonts w:ascii="Times New Roman" w:hAnsi="Times New Roman" w:cs="Times New Roman"/>
              </w:rPr>
            </w:pPr>
            <w:r>
              <w:rPr>
                <w:rFonts w:ascii="Times New Roman" w:hAnsi="Times New Roman" w:cs="Times New Roman"/>
              </w:rPr>
              <w:t>3</w:t>
            </w:r>
          </w:p>
        </w:tc>
        <w:tc>
          <w:tcPr>
            <w:tcW w:w="2694" w:type="dxa"/>
          </w:tcPr>
          <w:p w14:paraId="132073DA" w14:textId="72883695" w:rsidR="000E1E4F" w:rsidRPr="000E1E4F" w:rsidRDefault="000E1E4F" w:rsidP="00284A47">
            <w:pPr>
              <w:rPr>
                <w:rFonts w:ascii="Times New Roman" w:hAnsi="Times New Roman" w:cs="Times New Roman"/>
              </w:rPr>
            </w:pPr>
            <w:proofErr w:type="spellStart"/>
            <w:r w:rsidRPr="000E1E4F">
              <w:rPr>
                <w:rFonts w:ascii="Times New Roman" w:hAnsi="Times New Roman" w:cs="Times New Roman"/>
              </w:rPr>
              <w:t>Pagrindinė</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plokštė</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stacionariam</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kompiuteriui</w:t>
            </w:r>
            <w:proofErr w:type="spellEnd"/>
          </w:p>
        </w:tc>
        <w:tc>
          <w:tcPr>
            <w:tcW w:w="4677" w:type="dxa"/>
          </w:tcPr>
          <w:p w14:paraId="5F09297E" w14:textId="1F234E13" w:rsidR="000E1E4F" w:rsidRPr="000E1E4F" w:rsidRDefault="000E1E4F" w:rsidP="008E19A0">
            <w:pPr>
              <w:jc w:val="both"/>
              <w:rPr>
                <w:rFonts w:ascii="Times New Roman" w:hAnsi="Times New Roman" w:cs="Times New Roman"/>
              </w:rPr>
            </w:pPr>
            <w:proofErr w:type="spellStart"/>
            <w:r w:rsidRPr="000E1E4F">
              <w:rPr>
                <w:rFonts w:ascii="Times New Roman" w:hAnsi="Times New Roman" w:cs="Times New Roman"/>
              </w:rPr>
              <w:t>Procesoriaus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lizdo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tipas</w:t>
            </w:r>
            <w:proofErr w:type="spellEnd"/>
            <w:r w:rsidRPr="000E1E4F">
              <w:rPr>
                <w:rFonts w:ascii="Times New Roman" w:hAnsi="Times New Roman" w:cs="Times New Roman"/>
              </w:rPr>
              <w:t xml:space="preserve"> AM5, </w:t>
            </w:r>
            <w:proofErr w:type="spellStart"/>
            <w:r w:rsidRPr="000E1E4F">
              <w:rPr>
                <w:rFonts w:ascii="Times New Roman" w:hAnsi="Times New Roman" w:cs="Times New Roman"/>
              </w:rPr>
              <w:t>palaikoma</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procesorių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karta</w:t>
            </w:r>
            <w:proofErr w:type="spellEnd"/>
            <w:r w:rsidRPr="000E1E4F">
              <w:rPr>
                <w:rFonts w:ascii="Times New Roman" w:hAnsi="Times New Roman" w:cs="Times New Roman"/>
              </w:rPr>
              <w:t xml:space="preserve"> ne </w:t>
            </w:r>
            <w:proofErr w:type="spellStart"/>
            <w:r w:rsidRPr="000E1E4F">
              <w:rPr>
                <w:rFonts w:ascii="Times New Roman" w:hAnsi="Times New Roman" w:cs="Times New Roman"/>
              </w:rPr>
              <w:t>mažesnė</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nei</w:t>
            </w:r>
            <w:proofErr w:type="spellEnd"/>
            <w:r w:rsidRPr="000E1E4F">
              <w:rPr>
                <w:rFonts w:ascii="Times New Roman" w:hAnsi="Times New Roman" w:cs="Times New Roman"/>
              </w:rPr>
              <w:t xml:space="preserve"> Ryzen 7000, </w:t>
            </w:r>
            <w:proofErr w:type="spellStart"/>
            <w:r w:rsidRPr="000E1E4F">
              <w:rPr>
                <w:rFonts w:ascii="Times New Roman" w:hAnsi="Times New Roman" w:cs="Times New Roman"/>
              </w:rPr>
              <w:t>lustų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rinkinys</w:t>
            </w:r>
            <w:proofErr w:type="spellEnd"/>
            <w:r w:rsidRPr="000E1E4F">
              <w:rPr>
                <w:rFonts w:ascii="Times New Roman" w:hAnsi="Times New Roman" w:cs="Times New Roman"/>
              </w:rPr>
              <w:t xml:space="preserve"> AMD B650, </w:t>
            </w:r>
            <w:proofErr w:type="spellStart"/>
            <w:r w:rsidRPr="000E1E4F">
              <w:rPr>
                <w:rFonts w:ascii="Times New Roman" w:hAnsi="Times New Roman" w:cs="Times New Roman"/>
              </w:rPr>
              <w:t>palaikomos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standžiojo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disko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sąsajos</w:t>
            </w:r>
            <w:proofErr w:type="spellEnd"/>
            <w:r w:rsidRPr="000E1E4F">
              <w:rPr>
                <w:rFonts w:ascii="Times New Roman" w:hAnsi="Times New Roman" w:cs="Times New Roman"/>
              </w:rPr>
              <w:t xml:space="preserve"> SATA, M.2, </w:t>
            </w:r>
            <w:proofErr w:type="spellStart"/>
            <w:r w:rsidRPr="000E1E4F">
              <w:rPr>
                <w:rFonts w:ascii="Times New Roman" w:hAnsi="Times New Roman" w:cs="Times New Roman"/>
              </w:rPr>
              <w:t>atminties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rūšis</w:t>
            </w:r>
            <w:proofErr w:type="spellEnd"/>
            <w:r w:rsidRPr="000E1E4F">
              <w:rPr>
                <w:rFonts w:ascii="Times New Roman" w:hAnsi="Times New Roman" w:cs="Times New Roman"/>
              </w:rPr>
              <w:t xml:space="preserve"> DDR 5, </w:t>
            </w:r>
            <w:proofErr w:type="spellStart"/>
            <w:r w:rsidRPr="000E1E4F">
              <w:rPr>
                <w:rFonts w:ascii="Times New Roman" w:hAnsi="Times New Roman" w:cs="Times New Roman"/>
              </w:rPr>
              <w:t>atminties</w:t>
            </w:r>
            <w:proofErr w:type="spellEnd"/>
            <w:r w:rsidRPr="000E1E4F">
              <w:rPr>
                <w:rFonts w:ascii="Times New Roman" w:hAnsi="Times New Roman" w:cs="Times New Roman"/>
              </w:rPr>
              <w:t xml:space="preserve"> DDR5 </w:t>
            </w:r>
            <w:proofErr w:type="spellStart"/>
            <w:r w:rsidRPr="000E1E4F">
              <w:rPr>
                <w:rFonts w:ascii="Times New Roman" w:hAnsi="Times New Roman" w:cs="Times New Roman"/>
              </w:rPr>
              <w:t>jungčiu</w:t>
            </w:r>
            <w:proofErr w:type="spellEnd"/>
            <w:r w:rsidRPr="000E1E4F">
              <w:rPr>
                <w:rFonts w:ascii="Times New Roman" w:hAnsi="Times New Roman" w:cs="Times New Roman"/>
              </w:rPr>
              <w:t xml:space="preserve"> 4, </w:t>
            </w:r>
            <w:proofErr w:type="spellStart"/>
            <w:r w:rsidRPr="000E1E4F">
              <w:rPr>
                <w:rFonts w:ascii="Times New Roman" w:hAnsi="Times New Roman" w:cs="Times New Roman"/>
              </w:rPr>
              <w:t>integruota</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tinklo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plokštė</w:t>
            </w:r>
            <w:proofErr w:type="spellEnd"/>
            <w:r w:rsidRPr="000E1E4F">
              <w:rPr>
                <w:rFonts w:ascii="Times New Roman" w:hAnsi="Times New Roman" w:cs="Times New Roman"/>
              </w:rPr>
              <w:t xml:space="preserve"> (100/1000/2500 Mbit/s), SATA 3 </w:t>
            </w:r>
            <w:proofErr w:type="spellStart"/>
            <w:r w:rsidRPr="000E1E4F">
              <w:rPr>
                <w:rFonts w:ascii="Times New Roman" w:hAnsi="Times New Roman" w:cs="Times New Roman"/>
              </w:rPr>
              <w:t>jungtys</w:t>
            </w:r>
            <w:proofErr w:type="spellEnd"/>
            <w:r w:rsidRPr="000E1E4F">
              <w:rPr>
                <w:rFonts w:ascii="Times New Roman" w:hAnsi="Times New Roman" w:cs="Times New Roman"/>
              </w:rPr>
              <w:t xml:space="preserve"> ne </w:t>
            </w:r>
            <w:proofErr w:type="spellStart"/>
            <w:r w:rsidRPr="000E1E4F">
              <w:rPr>
                <w:rFonts w:ascii="Times New Roman" w:hAnsi="Times New Roman" w:cs="Times New Roman"/>
              </w:rPr>
              <w:t>mažiau</w:t>
            </w:r>
            <w:proofErr w:type="spellEnd"/>
            <w:r w:rsidRPr="000E1E4F">
              <w:rPr>
                <w:rFonts w:ascii="Times New Roman" w:hAnsi="Times New Roman" w:cs="Times New Roman"/>
              </w:rPr>
              <w:t xml:space="preserve"> 3 </w:t>
            </w:r>
            <w:proofErr w:type="spellStart"/>
            <w:r w:rsidRPr="000E1E4F">
              <w:rPr>
                <w:rFonts w:ascii="Times New Roman" w:hAnsi="Times New Roman" w:cs="Times New Roman"/>
              </w:rPr>
              <w:t>vnt</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vaizdo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sąsajos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jungtys</w:t>
            </w:r>
            <w:proofErr w:type="spellEnd"/>
            <w:r w:rsidRPr="000E1E4F">
              <w:rPr>
                <w:rFonts w:ascii="Times New Roman" w:hAnsi="Times New Roman" w:cs="Times New Roman"/>
              </w:rPr>
              <w:t xml:space="preserve">: Display port </w:t>
            </w:r>
            <w:proofErr w:type="spellStart"/>
            <w:r w:rsidRPr="000E1E4F">
              <w:rPr>
                <w:rFonts w:ascii="Times New Roman" w:hAnsi="Times New Roman" w:cs="Times New Roman"/>
              </w:rPr>
              <w:t>ir</w:t>
            </w:r>
            <w:proofErr w:type="spellEnd"/>
            <w:r w:rsidRPr="000E1E4F">
              <w:rPr>
                <w:rFonts w:ascii="Times New Roman" w:hAnsi="Times New Roman" w:cs="Times New Roman"/>
              </w:rPr>
              <w:t xml:space="preserve"> HDMI. </w:t>
            </w:r>
            <w:proofErr w:type="spellStart"/>
            <w:r w:rsidRPr="000E1E4F">
              <w:rPr>
                <w:rFonts w:ascii="Times New Roman" w:hAnsi="Times New Roman" w:cs="Times New Roman"/>
              </w:rPr>
              <w:t>Procesoriaus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maitinimo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linijos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nemažiau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kaip</w:t>
            </w:r>
            <w:proofErr w:type="spellEnd"/>
            <w:r w:rsidRPr="000E1E4F">
              <w:rPr>
                <w:rFonts w:ascii="Times New Roman" w:hAnsi="Times New Roman" w:cs="Times New Roman"/>
              </w:rPr>
              <w:t xml:space="preserve"> Twin 12+2+2 Phases Digital VRM </w:t>
            </w:r>
            <w:proofErr w:type="spellStart"/>
            <w:r w:rsidRPr="000E1E4F">
              <w:rPr>
                <w:rFonts w:ascii="Times New Roman" w:hAnsi="Times New Roman" w:cs="Times New Roman"/>
              </w:rPr>
              <w:t>sprendimas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aušinimo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radiatoriais</w:t>
            </w:r>
            <w:proofErr w:type="spellEnd"/>
            <w:r w:rsidRPr="000E1E4F">
              <w:rPr>
                <w:rFonts w:ascii="Times New Roman" w:hAnsi="Times New Roman" w:cs="Times New Roman"/>
              </w:rPr>
              <w:t>.</w:t>
            </w:r>
          </w:p>
        </w:tc>
        <w:tc>
          <w:tcPr>
            <w:tcW w:w="1559" w:type="dxa"/>
            <w:vAlign w:val="center"/>
          </w:tcPr>
          <w:p w14:paraId="7D89A28F" w14:textId="2AD3FB4E" w:rsidR="000E1E4F" w:rsidRDefault="000E1E4F"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242E3559" w14:textId="73477A71" w:rsidR="000E1E4F" w:rsidRDefault="000E1E4F" w:rsidP="00284A47">
            <w:pPr>
              <w:rPr>
                <w:rFonts w:ascii="Times New Roman" w:hAnsi="Times New Roman" w:cs="Times New Roman"/>
              </w:rPr>
            </w:pPr>
            <w:r>
              <w:rPr>
                <w:rFonts w:ascii="Times New Roman" w:hAnsi="Times New Roman" w:cs="Times New Roman"/>
              </w:rPr>
              <w:t>14</w:t>
            </w:r>
          </w:p>
        </w:tc>
      </w:tr>
      <w:tr w:rsidR="000E1E4F" w:rsidRPr="00284A47" w14:paraId="542195E8" w14:textId="77777777" w:rsidTr="00F74D51">
        <w:tc>
          <w:tcPr>
            <w:tcW w:w="562" w:type="dxa"/>
            <w:vAlign w:val="center"/>
          </w:tcPr>
          <w:p w14:paraId="627F2BF0" w14:textId="1DCAA7BC" w:rsidR="000E1E4F" w:rsidRDefault="000E1E4F" w:rsidP="00284A47">
            <w:pPr>
              <w:rPr>
                <w:rFonts w:ascii="Times New Roman" w:hAnsi="Times New Roman" w:cs="Times New Roman"/>
              </w:rPr>
            </w:pPr>
            <w:r>
              <w:rPr>
                <w:rFonts w:ascii="Times New Roman" w:hAnsi="Times New Roman" w:cs="Times New Roman"/>
              </w:rPr>
              <w:t>4</w:t>
            </w:r>
          </w:p>
        </w:tc>
        <w:tc>
          <w:tcPr>
            <w:tcW w:w="2694" w:type="dxa"/>
          </w:tcPr>
          <w:p w14:paraId="43C57978" w14:textId="18F52210" w:rsidR="000E1E4F" w:rsidRPr="000E1E4F" w:rsidRDefault="000E1E4F" w:rsidP="00284A47">
            <w:pPr>
              <w:rPr>
                <w:rFonts w:ascii="Times New Roman" w:hAnsi="Times New Roman" w:cs="Times New Roman"/>
              </w:rPr>
            </w:pPr>
            <w:proofErr w:type="spellStart"/>
            <w:r w:rsidRPr="000E1E4F">
              <w:rPr>
                <w:rFonts w:ascii="Times New Roman" w:hAnsi="Times New Roman" w:cs="Times New Roman"/>
              </w:rPr>
              <w:t>Monitoriaus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laikiklis</w:t>
            </w:r>
            <w:proofErr w:type="spellEnd"/>
            <w:r w:rsidRPr="000E1E4F">
              <w:rPr>
                <w:rFonts w:ascii="Times New Roman" w:hAnsi="Times New Roman" w:cs="Times New Roman"/>
              </w:rPr>
              <w:t xml:space="preserve"> (2 </w:t>
            </w:r>
            <w:proofErr w:type="spellStart"/>
            <w:r w:rsidRPr="000E1E4F">
              <w:rPr>
                <w:rFonts w:ascii="Times New Roman" w:hAnsi="Times New Roman" w:cs="Times New Roman"/>
              </w:rPr>
              <w:t>monitoriams</w:t>
            </w:r>
            <w:proofErr w:type="spellEnd"/>
            <w:r w:rsidRPr="000E1E4F">
              <w:rPr>
                <w:rFonts w:ascii="Times New Roman" w:hAnsi="Times New Roman" w:cs="Times New Roman"/>
              </w:rPr>
              <w:t>)</w:t>
            </w:r>
          </w:p>
        </w:tc>
        <w:tc>
          <w:tcPr>
            <w:tcW w:w="4677" w:type="dxa"/>
          </w:tcPr>
          <w:p w14:paraId="09D1BDEC" w14:textId="0374522D" w:rsidR="000E1E4F" w:rsidRPr="000E1E4F" w:rsidRDefault="000E1E4F" w:rsidP="008E19A0">
            <w:pPr>
              <w:jc w:val="both"/>
              <w:rPr>
                <w:rFonts w:ascii="Times New Roman" w:hAnsi="Times New Roman" w:cs="Times New Roman"/>
              </w:rPr>
            </w:pPr>
            <w:proofErr w:type="spellStart"/>
            <w:r w:rsidRPr="000E1E4F">
              <w:rPr>
                <w:rFonts w:ascii="Times New Roman" w:hAnsi="Times New Roman" w:cs="Times New Roman"/>
              </w:rPr>
              <w:t>Monitoriaus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laikiklis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dviems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monitoriams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Galimų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pakabinti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monitorių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dydis</w:t>
            </w:r>
            <w:proofErr w:type="spellEnd"/>
            <w:r w:rsidRPr="000E1E4F">
              <w:rPr>
                <w:rFonts w:ascii="Times New Roman" w:hAnsi="Times New Roman" w:cs="Times New Roman"/>
              </w:rPr>
              <w:t xml:space="preserve"> ne </w:t>
            </w:r>
            <w:proofErr w:type="spellStart"/>
            <w:r w:rsidRPr="000E1E4F">
              <w:rPr>
                <w:rFonts w:ascii="Times New Roman" w:hAnsi="Times New Roman" w:cs="Times New Roman"/>
              </w:rPr>
              <w:t>mažesnis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nei</w:t>
            </w:r>
            <w:proofErr w:type="spellEnd"/>
            <w:r w:rsidRPr="000E1E4F">
              <w:rPr>
                <w:rFonts w:ascii="Times New Roman" w:hAnsi="Times New Roman" w:cs="Times New Roman"/>
              </w:rPr>
              <w:t xml:space="preserve"> 32". </w:t>
            </w:r>
            <w:proofErr w:type="spellStart"/>
            <w:r w:rsidRPr="000E1E4F">
              <w:rPr>
                <w:rFonts w:ascii="Times New Roman" w:hAnsi="Times New Roman" w:cs="Times New Roman"/>
              </w:rPr>
              <w:t>Tvirtinami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monitoriai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išdėstomi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horizontaliai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vienodame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aukštyje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Vieno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galimo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pakabinti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monitoriaus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svoris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iki</w:t>
            </w:r>
            <w:proofErr w:type="spellEnd"/>
            <w:r w:rsidRPr="000E1E4F">
              <w:rPr>
                <w:rFonts w:ascii="Times New Roman" w:hAnsi="Times New Roman" w:cs="Times New Roman"/>
              </w:rPr>
              <w:t xml:space="preserve"> 9 kg. </w:t>
            </w:r>
            <w:proofErr w:type="spellStart"/>
            <w:r w:rsidRPr="000E1E4F">
              <w:rPr>
                <w:rFonts w:ascii="Times New Roman" w:hAnsi="Times New Roman" w:cs="Times New Roman"/>
              </w:rPr>
              <w:t>Laikiklis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turi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būti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tvirtinamas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prie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stalviršio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Turi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būti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galimybe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keisti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abeju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monitorių</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pasukimo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kampa</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horizontalioje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ašyje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nemažiau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kaip</w:t>
            </w:r>
            <w:proofErr w:type="spellEnd"/>
            <w:r w:rsidRPr="000E1E4F">
              <w:rPr>
                <w:rFonts w:ascii="Times New Roman" w:hAnsi="Times New Roman" w:cs="Times New Roman"/>
              </w:rPr>
              <w:t xml:space="preserve"> 90 </w:t>
            </w:r>
            <w:proofErr w:type="spellStart"/>
            <w:r w:rsidRPr="000E1E4F">
              <w:rPr>
                <w:rFonts w:ascii="Times New Roman" w:hAnsi="Times New Roman" w:cs="Times New Roman"/>
              </w:rPr>
              <w:t>laipsnio</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kampu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vertikalioje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ašyje</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nemažiau</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kaip</w:t>
            </w:r>
            <w:proofErr w:type="spellEnd"/>
            <w:r w:rsidRPr="000E1E4F">
              <w:rPr>
                <w:rFonts w:ascii="Times New Roman" w:hAnsi="Times New Roman" w:cs="Times New Roman"/>
              </w:rPr>
              <w:t xml:space="preserve"> 45 </w:t>
            </w:r>
            <w:proofErr w:type="spellStart"/>
            <w:r w:rsidRPr="000E1E4F">
              <w:rPr>
                <w:rFonts w:ascii="Times New Roman" w:hAnsi="Times New Roman" w:cs="Times New Roman"/>
              </w:rPr>
              <w:t>laipsniai</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Suderinamas</w:t>
            </w:r>
            <w:proofErr w:type="spellEnd"/>
            <w:r w:rsidRPr="000E1E4F">
              <w:rPr>
                <w:rFonts w:ascii="Times New Roman" w:hAnsi="Times New Roman" w:cs="Times New Roman"/>
              </w:rPr>
              <w:t xml:space="preserve"> </w:t>
            </w:r>
            <w:proofErr w:type="spellStart"/>
            <w:r w:rsidRPr="000E1E4F">
              <w:rPr>
                <w:rFonts w:ascii="Times New Roman" w:hAnsi="Times New Roman" w:cs="Times New Roman"/>
              </w:rPr>
              <w:t>su</w:t>
            </w:r>
            <w:proofErr w:type="spellEnd"/>
            <w:r w:rsidRPr="000E1E4F">
              <w:rPr>
                <w:rFonts w:ascii="Times New Roman" w:hAnsi="Times New Roman" w:cs="Times New Roman"/>
              </w:rPr>
              <w:t xml:space="preserve"> VESA </w:t>
            </w:r>
            <w:proofErr w:type="spellStart"/>
            <w:r w:rsidRPr="000E1E4F">
              <w:rPr>
                <w:rFonts w:ascii="Times New Roman" w:hAnsi="Times New Roman" w:cs="Times New Roman"/>
              </w:rPr>
              <w:t>standartais</w:t>
            </w:r>
            <w:proofErr w:type="spellEnd"/>
            <w:r w:rsidRPr="000E1E4F">
              <w:rPr>
                <w:rFonts w:ascii="Times New Roman" w:hAnsi="Times New Roman" w:cs="Times New Roman"/>
              </w:rPr>
              <w:t xml:space="preserve"> - 100x100 mm, 75x75 mm.</w:t>
            </w:r>
          </w:p>
        </w:tc>
        <w:tc>
          <w:tcPr>
            <w:tcW w:w="1559" w:type="dxa"/>
            <w:vAlign w:val="center"/>
          </w:tcPr>
          <w:p w14:paraId="4E6FCB98" w14:textId="3A5E99DA" w:rsidR="000E1E4F" w:rsidRDefault="00E52E07" w:rsidP="00284A47">
            <w:pPr>
              <w:rPr>
                <w:rFonts w:ascii="Times New Roman" w:hAnsi="Times New Roman" w:cs="Times New Roman"/>
              </w:rPr>
            </w:pPr>
            <w:proofErr w:type="spellStart"/>
            <w:r>
              <w:rPr>
                <w:rFonts w:ascii="Times New Roman" w:hAnsi="Times New Roman" w:cs="Times New Roman"/>
              </w:rPr>
              <w:t>v</w:t>
            </w:r>
            <w:r w:rsidR="000E1E4F">
              <w:rPr>
                <w:rFonts w:ascii="Times New Roman" w:hAnsi="Times New Roman" w:cs="Times New Roman"/>
              </w:rPr>
              <w:t>nt</w:t>
            </w:r>
            <w:proofErr w:type="spellEnd"/>
          </w:p>
        </w:tc>
        <w:tc>
          <w:tcPr>
            <w:tcW w:w="997" w:type="dxa"/>
            <w:vAlign w:val="center"/>
          </w:tcPr>
          <w:p w14:paraId="31E25D49" w14:textId="22A0FC25" w:rsidR="000E1E4F" w:rsidRDefault="00E52E07" w:rsidP="00284A47">
            <w:pPr>
              <w:rPr>
                <w:rFonts w:ascii="Times New Roman" w:hAnsi="Times New Roman" w:cs="Times New Roman"/>
              </w:rPr>
            </w:pPr>
            <w:r>
              <w:rPr>
                <w:rFonts w:ascii="Times New Roman" w:hAnsi="Times New Roman" w:cs="Times New Roman"/>
              </w:rPr>
              <w:t>8</w:t>
            </w:r>
          </w:p>
        </w:tc>
      </w:tr>
      <w:tr w:rsidR="00E52E07" w:rsidRPr="00284A47" w14:paraId="5669AB9B" w14:textId="77777777" w:rsidTr="00F74D51">
        <w:tc>
          <w:tcPr>
            <w:tcW w:w="562" w:type="dxa"/>
            <w:vAlign w:val="center"/>
          </w:tcPr>
          <w:p w14:paraId="194B2DD2" w14:textId="257BC5A4" w:rsidR="00E52E07" w:rsidRDefault="00E52E07" w:rsidP="00284A47">
            <w:pPr>
              <w:rPr>
                <w:rFonts w:ascii="Times New Roman" w:hAnsi="Times New Roman" w:cs="Times New Roman"/>
              </w:rPr>
            </w:pPr>
            <w:r>
              <w:rPr>
                <w:rFonts w:ascii="Times New Roman" w:hAnsi="Times New Roman" w:cs="Times New Roman"/>
              </w:rPr>
              <w:t>5</w:t>
            </w:r>
          </w:p>
        </w:tc>
        <w:tc>
          <w:tcPr>
            <w:tcW w:w="2694" w:type="dxa"/>
          </w:tcPr>
          <w:p w14:paraId="7429818A" w14:textId="17E332D6" w:rsidR="00E52E07" w:rsidRPr="000E1E4F" w:rsidRDefault="00E52E07" w:rsidP="00284A47">
            <w:pPr>
              <w:rPr>
                <w:rFonts w:ascii="Times New Roman" w:hAnsi="Times New Roman" w:cs="Times New Roman"/>
              </w:rPr>
            </w:pPr>
            <w:proofErr w:type="spellStart"/>
            <w:r w:rsidRPr="00E52E07">
              <w:rPr>
                <w:rFonts w:ascii="Times New Roman" w:hAnsi="Times New Roman" w:cs="Times New Roman"/>
              </w:rPr>
              <w:t>Skirstytuvas</w:t>
            </w:r>
            <w:proofErr w:type="spellEnd"/>
            <w:r w:rsidRPr="00E52E07">
              <w:rPr>
                <w:rFonts w:ascii="Times New Roman" w:hAnsi="Times New Roman" w:cs="Times New Roman"/>
              </w:rPr>
              <w:t xml:space="preserve"> (HDMI splitter)</w:t>
            </w:r>
          </w:p>
        </w:tc>
        <w:tc>
          <w:tcPr>
            <w:tcW w:w="4677" w:type="dxa"/>
          </w:tcPr>
          <w:p w14:paraId="775B8A6F" w14:textId="091F3C5A" w:rsidR="00E52E07" w:rsidRPr="000E1E4F" w:rsidRDefault="00E52E07" w:rsidP="008E19A0">
            <w:pPr>
              <w:jc w:val="both"/>
              <w:rPr>
                <w:rFonts w:ascii="Times New Roman" w:hAnsi="Times New Roman" w:cs="Times New Roman"/>
              </w:rPr>
            </w:pPr>
            <w:proofErr w:type="spellStart"/>
            <w:r w:rsidRPr="00E52E07">
              <w:rPr>
                <w:rFonts w:ascii="Times New Roman" w:hAnsi="Times New Roman" w:cs="Times New Roman"/>
              </w:rPr>
              <w:t>Įrenginys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skirtas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vieną</w:t>
            </w:r>
            <w:proofErr w:type="spellEnd"/>
            <w:r w:rsidRPr="00E52E07">
              <w:rPr>
                <w:rFonts w:ascii="Times New Roman" w:hAnsi="Times New Roman" w:cs="Times New Roman"/>
              </w:rPr>
              <w:t xml:space="preserve"> HDMI </w:t>
            </w:r>
            <w:proofErr w:type="spellStart"/>
            <w:r w:rsidRPr="00E52E07">
              <w:rPr>
                <w:rFonts w:ascii="Times New Roman" w:hAnsi="Times New Roman" w:cs="Times New Roman"/>
              </w:rPr>
              <w:t>signalą</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siusti</w:t>
            </w:r>
            <w:proofErr w:type="spellEnd"/>
            <w:r w:rsidRPr="00E52E07">
              <w:rPr>
                <w:rFonts w:ascii="Times New Roman" w:hAnsi="Times New Roman" w:cs="Times New Roman"/>
              </w:rPr>
              <w:t xml:space="preserve"> į </w:t>
            </w:r>
            <w:proofErr w:type="spellStart"/>
            <w:r w:rsidRPr="00E52E07">
              <w:rPr>
                <w:rFonts w:ascii="Times New Roman" w:hAnsi="Times New Roman" w:cs="Times New Roman"/>
              </w:rPr>
              <w:t>nemažiau</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kaip</w:t>
            </w:r>
            <w:proofErr w:type="spellEnd"/>
            <w:r w:rsidRPr="00E52E07">
              <w:rPr>
                <w:rFonts w:ascii="Times New Roman" w:hAnsi="Times New Roman" w:cs="Times New Roman"/>
              </w:rPr>
              <w:t xml:space="preserve"> 4 </w:t>
            </w:r>
            <w:proofErr w:type="spellStart"/>
            <w:r w:rsidRPr="00E52E07">
              <w:rPr>
                <w:rFonts w:ascii="Times New Roman" w:hAnsi="Times New Roman" w:cs="Times New Roman"/>
              </w:rPr>
              <w:t>ekranus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Turi</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skaitmenini</w:t>
            </w:r>
            <w:proofErr w:type="spellEnd"/>
            <w:r w:rsidRPr="00E52E07">
              <w:rPr>
                <w:rFonts w:ascii="Times New Roman" w:hAnsi="Times New Roman" w:cs="Times New Roman"/>
              </w:rPr>
              <w:t xml:space="preserve"> 225 MHz </w:t>
            </w:r>
            <w:proofErr w:type="spellStart"/>
            <w:r w:rsidRPr="00E52E07">
              <w:rPr>
                <w:rFonts w:ascii="Times New Roman" w:hAnsi="Times New Roman" w:cs="Times New Roman"/>
              </w:rPr>
              <w:t>dažnių</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juostos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pločio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stiprintuvą</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Užtikrina</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kokybiško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vaizdo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perdavimo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atstumą</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apie</w:t>
            </w:r>
            <w:proofErr w:type="spellEnd"/>
            <w:r w:rsidRPr="00E52E07">
              <w:rPr>
                <w:rFonts w:ascii="Times New Roman" w:hAnsi="Times New Roman" w:cs="Times New Roman"/>
              </w:rPr>
              <w:t xml:space="preserve"> 10 </w:t>
            </w:r>
            <w:proofErr w:type="spellStart"/>
            <w:r w:rsidRPr="00E52E07">
              <w:rPr>
                <w:rFonts w:ascii="Times New Roman" w:hAnsi="Times New Roman" w:cs="Times New Roman"/>
              </w:rPr>
              <w:t>metrų</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Palaiko</w:t>
            </w:r>
            <w:proofErr w:type="spellEnd"/>
            <w:r w:rsidRPr="00E52E07">
              <w:rPr>
                <w:rFonts w:ascii="Times New Roman" w:hAnsi="Times New Roman" w:cs="Times New Roman"/>
              </w:rPr>
              <w:t xml:space="preserve"> 3D </w:t>
            </w:r>
            <w:proofErr w:type="spellStart"/>
            <w:r w:rsidRPr="00E52E07">
              <w:rPr>
                <w:rFonts w:ascii="Times New Roman" w:hAnsi="Times New Roman" w:cs="Times New Roman"/>
              </w:rPr>
              <w:t>vaizdo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įrašus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Sąsaja</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įvesties</w:t>
            </w:r>
            <w:proofErr w:type="spellEnd"/>
            <w:r w:rsidRPr="00E52E07">
              <w:rPr>
                <w:rFonts w:ascii="Times New Roman" w:hAnsi="Times New Roman" w:cs="Times New Roman"/>
              </w:rPr>
              <w:t xml:space="preserve"> 1xHDMI, </w:t>
            </w:r>
            <w:proofErr w:type="spellStart"/>
            <w:r w:rsidRPr="00E52E07">
              <w:rPr>
                <w:rFonts w:ascii="Times New Roman" w:hAnsi="Times New Roman" w:cs="Times New Roman"/>
              </w:rPr>
              <w:t>išvesties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nemažiau</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kaip</w:t>
            </w:r>
            <w:proofErr w:type="spellEnd"/>
            <w:r w:rsidRPr="00E52E07">
              <w:rPr>
                <w:rFonts w:ascii="Times New Roman" w:hAnsi="Times New Roman" w:cs="Times New Roman"/>
              </w:rPr>
              <w:t xml:space="preserve"> 4xHDMI v1.4 (</w:t>
            </w:r>
            <w:proofErr w:type="spellStart"/>
            <w:r w:rsidRPr="00E52E07">
              <w:rPr>
                <w:rFonts w:ascii="Times New Roman" w:hAnsi="Times New Roman" w:cs="Times New Roman"/>
              </w:rPr>
              <w:t>suderinama</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su</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visomis</w:t>
            </w:r>
            <w:proofErr w:type="spellEnd"/>
            <w:r w:rsidRPr="00E52E07">
              <w:rPr>
                <w:rFonts w:ascii="Times New Roman" w:hAnsi="Times New Roman" w:cs="Times New Roman"/>
              </w:rPr>
              <w:t xml:space="preserve"> HDMI </w:t>
            </w:r>
            <w:proofErr w:type="spellStart"/>
            <w:r w:rsidRPr="00E52E07">
              <w:rPr>
                <w:rFonts w:ascii="Times New Roman" w:hAnsi="Times New Roman" w:cs="Times New Roman"/>
              </w:rPr>
              <w:t>versijomis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Vaizdo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formatai</w:t>
            </w:r>
            <w:proofErr w:type="spellEnd"/>
            <w:r w:rsidRPr="00E52E07">
              <w:rPr>
                <w:rFonts w:ascii="Times New Roman" w:hAnsi="Times New Roman" w:cs="Times New Roman"/>
              </w:rPr>
              <w:t xml:space="preserve">: HDMI (480p / 576i / 576p / 720p / 1080i / 1080p). Į </w:t>
            </w:r>
            <w:proofErr w:type="spellStart"/>
            <w:r w:rsidRPr="00E52E07">
              <w:rPr>
                <w:rFonts w:ascii="Times New Roman" w:hAnsi="Times New Roman" w:cs="Times New Roman"/>
              </w:rPr>
              <w:t>komplektacija</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turi</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įeiti</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įrenginio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maitinimo</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šaltinis</w:t>
            </w:r>
            <w:proofErr w:type="spellEnd"/>
            <w:r w:rsidRPr="00E52E07">
              <w:rPr>
                <w:rFonts w:ascii="Times New Roman" w:hAnsi="Times New Roman" w:cs="Times New Roman"/>
              </w:rPr>
              <w:t xml:space="preserve"> (jai </w:t>
            </w:r>
            <w:proofErr w:type="spellStart"/>
            <w:r w:rsidRPr="00E52E07">
              <w:rPr>
                <w:rFonts w:ascii="Times New Roman" w:hAnsi="Times New Roman" w:cs="Times New Roman"/>
              </w:rPr>
              <w:t>įrangos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veikimui</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jis</w:t>
            </w:r>
            <w:proofErr w:type="spellEnd"/>
            <w:r w:rsidRPr="00E52E07">
              <w:rPr>
                <w:rFonts w:ascii="Times New Roman" w:hAnsi="Times New Roman" w:cs="Times New Roman"/>
              </w:rPr>
              <w:t xml:space="preserve"> </w:t>
            </w:r>
            <w:proofErr w:type="spellStart"/>
            <w:r w:rsidRPr="00E52E07">
              <w:rPr>
                <w:rFonts w:ascii="Times New Roman" w:hAnsi="Times New Roman" w:cs="Times New Roman"/>
              </w:rPr>
              <w:t>numatytas</w:t>
            </w:r>
            <w:proofErr w:type="spellEnd"/>
            <w:r w:rsidRPr="00E52E07">
              <w:rPr>
                <w:rFonts w:ascii="Times New Roman" w:hAnsi="Times New Roman" w:cs="Times New Roman"/>
              </w:rPr>
              <w:t>).</w:t>
            </w:r>
          </w:p>
        </w:tc>
        <w:tc>
          <w:tcPr>
            <w:tcW w:w="1559" w:type="dxa"/>
            <w:vAlign w:val="center"/>
          </w:tcPr>
          <w:p w14:paraId="0DDAB58B" w14:textId="034FDF60" w:rsidR="00E52E07" w:rsidRDefault="00E52E07" w:rsidP="00284A47">
            <w:pPr>
              <w:rPr>
                <w:rFonts w:ascii="Times New Roman" w:hAnsi="Times New Roman" w:cs="Times New Roman"/>
              </w:rPr>
            </w:pPr>
            <w:proofErr w:type="spellStart"/>
            <w:r>
              <w:rPr>
                <w:rFonts w:ascii="Times New Roman" w:hAnsi="Times New Roman" w:cs="Times New Roman"/>
              </w:rPr>
              <w:t>vnt</w:t>
            </w:r>
            <w:proofErr w:type="spellEnd"/>
          </w:p>
        </w:tc>
        <w:tc>
          <w:tcPr>
            <w:tcW w:w="997" w:type="dxa"/>
            <w:vAlign w:val="center"/>
          </w:tcPr>
          <w:p w14:paraId="1A735AA8" w14:textId="426EBAF3" w:rsidR="00E52E07" w:rsidRDefault="00E52E07" w:rsidP="00284A47">
            <w:pPr>
              <w:rPr>
                <w:rFonts w:ascii="Times New Roman" w:hAnsi="Times New Roman" w:cs="Times New Roman"/>
              </w:rPr>
            </w:pPr>
            <w:r>
              <w:rPr>
                <w:rFonts w:ascii="Times New Roman" w:hAnsi="Times New Roman" w:cs="Times New Roman"/>
              </w:rPr>
              <w:t>6</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E168" w14:textId="77777777" w:rsidR="004C3B2E" w:rsidRDefault="004C3B2E" w:rsidP="00C7623E">
      <w:pPr>
        <w:spacing w:after="0" w:line="240" w:lineRule="auto"/>
      </w:pPr>
      <w:r>
        <w:separator/>
      </w:r>
    </w:p>
  </w:endnote>
  <w:endnote w:type="continuationSeparator" w:id="0">
    <w:p w14:paraId="5EBCC095" w14:textId="77777777" w:rsidR="004C3B2E" w:rsidRDefault="004C3B2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2B1C3" w14:textId="77777777" w:rsidR="004C3B2E" w:rsidRDefault="004C3B2E" w:rsidP="00C7623E">
      <w:pPr>
        <w:spacing w:after="0" w:line="240" w:lineRule="auto"/>
      </w:pPr>
      <w:r>
        <w:separator/>
      </w:r>
    </w:p>
  </w:footnote>
  <w:footnote w:type="continuationSeparator" w:id="0">
    <w:p w14:paraId="3340562F" w14:textId="77777777" w:rsidR="004C3B2E" w:rsidRDefault="004C3B2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FB3A353" w:rsidR="00C7623E" w:rsidRDefault="00C7623E">
        <w:pPr>
          <w:pStyle w:val="Header"/>
          <w:jc w:val="center"/>
        </w:pPr>
        <w:r>
          <w:fldChar w:fldCharType="begin"/>
        </w:r>
        <w:r>
          <w:instrText xml:space="preserve"> PAGE   \* MERGEFORMAT </w:instrText>
        </w:r>
        <w:r>
          <w:fldChar w:fldCharType="separate"/>
        </w:r>
        <w:r w:rsidR="00E52E07">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31E20"/>
    <w:rsid w:val="00454A9D"/>
    <w:rsid w:val="004774B1"/>
    <w:rsid w:val="0048546D"/>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7FFB"/>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367D-77A3-4EFA-B361-7E5C4D29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23</cp:revision>
  <dcterms:created xsi:type="dcterms:W3CDTF">2024-01-16T13:20:00Z</dcterms:created>
  <dcterms:modified xsi:type="dcterms:W3CDTF">2025-06-06T10:11:00Z</dcterms:modified>
</cp:coreProperties>
</file>