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0A7F" w14:textId="77777777" w:rsidR="00C33FF3" w:rsidRPr="00A926A1" w:rsidRDefault="004B4016" w:rsidP="00A926A1">
      <w:pPr>
        <w:pStyle w:val="Heading1"/>
        <w:rPr>
          <w:lang w:val="lt-LT"/>
        </w:rPr>
      </w:pPr>
      <w:bookmarkStart w:id="0" w:name="_Ref199617347"/>
      <w:r w:rsidRPr="00A926A1">
        <w:rPr>
          <w:lang w:val="lt-LT"/>
        </w:rPr>
        <w:t>TECHNINĖ SPECIFIKACIJA</w:t>
      </w:r>
      <w:bookmarkEnd w:id="0"/>
    </w:p>
    <w:p w14:paraId="64B70A80" w14:textId="77777777" w:rsidR="00C33FF3" w:rsidRPr="00812A58" w:rsidRDefault="004B4016" w:rsidP="002A008C">
      <w:pPr>
        <w:pStyle w:val="Heading2"/>
        <w:ind w:firstLine="720"/>
      </w:pPr>
      <w:r w:rsidRPr="00812A58">
        <w:t>SĄVOKOS IR SANTRUMPOS</w:t>
      </w:r>
    </w:p>
    <w:p w14:paraId="3D304E06" w14:textId="275D7715" w:rsidR="00A926A1" w:rsidRPr="00A926A1" w:rsidRDefault="00F845B0" w:rsidP="00656FB9">
      <w:pPr>
        <w:pStyle w:val="Heading3"/>
        <w:rPr>
          <w:lang w:val="lt-LT"/>
        </w:rPr>
      </w:pPr>
      <w:r w:rsidRPr="00F845B0">
        <w:rPr>
          <w:lang w:val="lt-LT"/>
        </w:rPr>
        <w:t>Šioje techninėje specifikacijos vartojamos sąvokos ir trumpiniai:</w:t>
      </w:r>
    </w:p>
    <w:p w14:paraId="64B70A81" w14:textId="190A5A20" w:rsidR="00C33FF3" w:rsidRPr="00812A58" w:rsidRDefault="004B4016" w:rsidP="00656FB9">
      <w:pPr>
        <w:pStyle w:val="Heading4"/>
        <w:ind w:firstLine="720"/>
        <w:rPr>
          <w:lang w:val="lt-LT"/>
        </w:rPr>
      </w:pPr>
      <w:r w:rsidRPr="00812A58">
        <w:rPr>
          <w:b/>
          <w:bCs/>
          <w:lang w:val="lt-LT"/>
        </w:rPr>
        <w:t>Perkančioji organizacija</w:t>
      </w:r>
      <w:r w:rsidRPr="00812A58">
        <w:rPr>
          <w:lang w:val="lt-LT"/>
        </w:rPr>
        <w:t xml:space="preserve"> – Lietuvos Respublikos užsienio reikalų ministerija (toliau – </w:t>
      </w:r>
      <w:r w:rsidRPr="00812A58">
        <w:rPr>
          <w:b/>
          <w:bCs/>
          <w:lang w:val="lt-LT"/>
        </w:rPr>
        <w:t>URM</w:t>
      </w:r>
      <w:r w:rsidRPr="00812A58">
        <w:rPr>
          <w:lang w:val="lt-LT"/>
        </w:rPr>
        <w:t>)</w:t>
      </w:r>
      <w:r w:rsidR="004110CC" w:rsidRPr="00812A58">
        <w:rPr>
          <w:lang w:val="lt-LT"/>
        </w:rPr>
        <w:t>, juridinio asmens kodas 188613242, adresas: J. Tumo-Vaižganto g. 2, 01108 Vilnius</w:t>
      </w:r>
      <w:r w:rsidRPr="00812A58">
        <w:rPr>
          <w:lang w:val="lt-LT"/>
        </w:rPr>
        <w:t>.</w:t>
      </w:r>
    </w:p>
    <w:p w14:paraId="64B70A82" w14:textId="6949C0E9" w:rsidR="00C33FF3" w:rsidRPr="00812A58" w:rsidRDefault="004B4016" w:rsidP="00656FB9">
      <w:pPr>
        <w:pStyle w:val="Heading4"/>
        <w:ind w:firstLine="720"/>
        <w:rPr>
          <w:lang w:val="lt-LT"/>
        </w:rPr>
      </w:pPr>
      <w:r w:rsidRPr="00812A58">
        <w:rPr>
          <w:b/>
          <w:bCs/>
          <w:lang w:val="lt-LT"/>
        </w:rPr>
        <w:t>Paslaugų teikėjas</w:t>
      </w:r>
      <w:r w:rsidRPr="00812A58">
        <w:rPr>
          <w:lang w:val="lt-LT"/>
        </w:rPr>
        <w:t xml:space="preserve"> –</w:t>
      </w:r>
      <w:r w:rsidR="000C1BC0">
        <w:rPr>
          <w:lang w:val="lt-LT"/>
        </w:rPr>
        <w:t xml:space="preserve"> </w:t>
      </w:r>
      <w:r w:rsidRPr="00812A58">
        <w:rPr>
          <w:lang w:val="lt-LT"/>
        </w:rPr>
        <w:t>ūkio subjektas</w:t>
      </w:r>
      <w:r w:rsidR="00980D32" w:rsidRPr="00812A58">
        <w:rPr>
          <w:lang w:val="lt-LT"/>
        </w:rPr>
        <w:t xml:space="preserve"> (fizinis arba juridinis asmuo, taip pat jų grupė</w:t>
      </w:r>
      <w:r w:rsidRPr="00812A58">
        <w:rPr>
          <w:lang w:val="lt-LT"/>
        </w:rPr>
        <w:t>), su kuriuo</w:t>
      </w:r>
      <w:r w:rsidR="00094827" w:rsidRPr="00812A58">
        <w:rPr>
          <w:lang w:val="lt-LT"/>
        </w:rPr>
        <w:t xml:space="preserve"> Perkančioji organizacija</w:t>
      </w:r>
      <w:r w:rsidRPr="00812A58">
        <w:rPr>
          <w:lang w:val="lt-LT"/>
        </w:rPr>
        <w:t xml:space="preserve"> sudary</w:t>
      </w:r>
      <w:r w:rsidR="00094827" w:rsidRPr="00812A58">
        <w:rPr>
          <w:lang w:val="lt-LT"/>
        </w:rPr>
        <w:t>s</w:t>
      </w:r>
      <w:r w:rsidRPr="00812A58">
        <w:rPr>
          <w:lang w:val="lt-LT"/>
        </w:rPr>
        <w:t xml:space="preserve"> </w:t>
      </w:r>
      <w:r w:rsidR="00BE342B">
        <w:rPr>
          <w:lang w:val="lt-LT"/>
        </w:rPr>
        <w:t xml:space="preserve">pirkimo </w:t>
      </w:r>
      <w:r w:rsidRPr="00812A58">
        <w:rPr>
          <w:lang w:val="lt-LT"/>
        </w:rPr>
        <w:t>sutart</w:t>
      </w:r>
      <w:r w:rsidR="007C4536" w:rsidRPr="00812A58">
        <w:rPr>
          <w:lang w:val="lt-LT"/>
        </w:rPr>
        <w:t>į</w:t>
      </w:r>
      <w:r w:rsidRPr="00812A58">
        <w:rPr>
          <w:lang w:val="lt-LT"/>
        </w:rPr>
        <w:t xml:space="preserve"> dėl šio</w:t>
      </w:r>
      <w:r w:rsidR="007C4536" w:rsidRPr="00812A58">
        <w:rPr>
          <w:lang w:val="lt-LT"/>
        </w:rPr>
        <w:t>je</w:t>
      </w:r>
      <w:r w:rsidRPr="00812A58">
        <w:rPr>
          <w:lang w:val="lt-LT"/>
        </w:rPr>
        <w:t xml:space="preserve"> techninė</w:t>
      </w:r>
      <w:r w:rsidR="007C4536" w:rsidRPr="00812A58">
        <w:rPr>
          <w:lang w:val="lt-LT"/>
        </w:rPr>
        <w:t>je</w:t>
      </w:r>
      <w:r w:rsidRPr="00812A58">
        <w:rPr>
          <w:lang w:val="lt-LT"/>
        </w:rPr>
        <w:t xml:space="preserve"> specifikacijo</w:t>
      </w:r>
      <w:r w:rsidR="007C4536" w:rsidRPr="00812A58">
        <w:rPr>
          <w:lang w:val="lt-LT"/>
        </w:rPr>
        <w:t>je</w:t>
      </w:r>
      <w:r w:rsidRPr="00812A58">
        <w:rPr>
          <w:lang w:val="lt-LT"/>
        </w:rPr>
        <w:t xml:space="preserve"> </w:t>
      </w:r>
      <w:r w:rsidR="007C4536" w:rsidRPr="00812A58">
        <w:rPr>
          <w:lang w:val="lt-LT"/>
        </w:rPr>
        <w:t xml:space="preserve">nustatytų </w:t>
      </w:r>
      <w:r w:rsidRPr="00812A58">
        <w:rPr>
          <w:lang w:val="lt-LT"/>
        </w:rPr>
        <w:t>paslaugų teikimo.</w:t>
      </w:r>
    </w:p>
    <w:p w14:paraId="64B70A83" w14:textId="68F8C35F" w:rsidR="00C33FF3" w:rsidRPr="00812A58" w:rsidRDefault="004B4016" w:rsidP="00656FB9">
      <w:pPr>
        <w:pStyle w:val="Heading4"/>
        <w:ind w:firstLine="720"/>
        <w:rPr>
          <w:lang w:val="lt-LT"/>
        </w:rPr>
      </w:pPr>
      <w:r w:rsidRPr="00812A58">
        <w:rPr>
          <w:b/>
          <w:bCs/>
          <w:lang w:val="lt-LT"/>
        </w:rPr>
        <w:t>KSĮ</w:t>
      </w:r>
      <w:r w:rsidRPr="00812A58">
        <w:rPr>
          <w:lang w:val="lt-LT"/>
        </w:rPr>
        <w:t xml:space="preserve"> – Lietuvos Respublikos kibernetinio saugumo įstatymas.</w:t>
      </w:r>
    </w:p>
    <w:p w14:paraId="64B70A84" w14:textId="266AE3C5" w:rsidR="00C33FF3" w:rsidRPr="00812A58" w:rsidRDefault="00231D44" w:rsidP="00656FB9">
      <w:pPr>
        <w:pStyle w:val="Heading4"/>
        <w:ind w:firstLine="720"/>
        <w:rPr>
          <w:lang w:val="lt-LT"/>
        </w:rPr>
      </w:pPr>
      <w:r>
        <w:rPr>
          <w:b/>
          <w:bCs/>
          <w:lang w:val="lt-LT"/>
        </w:rPr>
        <w:t>A</w:t>
      </w:r>
      <w:r w:rsidR="004B4016" w:rsidRPr="00812A58">
        <w:rPr>
          <w:b/>
          <w:bCs/>
          <w:lang w:val="lt-LT"/>
        </w:rPr>
        <w:t>prašas</w:t>
      </w:r>
      <w:r w:rsidR="004B4016" w:rsidRPr="00812A58">
        <w:rPr>
          <w:lang w:val="lt-LT"/>
        </w:rPr>
        <w:t xml:space="preserve"> – </w:t>
      </w:r>
      <w:r w:rsidR="00D51A6D" w:rsidRPr="00812A58">
        <w:rPr>
          <w:lang w:val="lt-LT"/>
        </w:rPr>
        <w:t>Kibernetinio saugumo reikalavimų aprašas, patvirtinta</w:t>
      </w:r>
      <w:r w:rsidR="00F550E8">
        <w:rPr>
          <w:lang w:val="lt-LT"/>
        </w:rPr>
        <w:t>s</w:t>
      </w:r>
      <w:r w:rsidR="00D51A6D" w:rsidRPr="00812A58">
        <w:rPr>
          <w:lang w:val="lt-LT"/>
        </w:rPr>
        <w:t xml:space="preserve"> Lietuvos Respublikos Vyriausybės 2018 m. rugpjūčio 13 d. nutarimu Nr. 818 „Dėl Lietuvos Respublikos kibernetinio saugumo įstatymo įgyvendinimo“</w:t>
      </w:r>
      <w:r w:rsidR="004B4016" w:rsidRPr="00812A58">
        <w:rPr>
          <w:lang w:val="lt-LT"/>
        </w:rPr>
        <w:t>.</w:t>
      </w:r>
    </w:p>
    <w:p w14:paraId="64B70A85" w14:textId="32FBD284" w:rsidR="00C33FF3" w:rsidRPr="00812A58" w:rsidRDefault="004B4016" w:rsidP="00656FB9">
      <w:pPr>
        <w:pStyle w:val="Heading4"/>
        <w:ind w:firstLine="720"/>
        <w:rPr>
          <w:lang w:val="lt-LT"/>
        </w:rPr>
      </w:pPr>
      <w:r w:rsidRPr="00812A58">
        <w:rPr>
          <w:b/>
          <w:bCs/>
          <w:lang w:val="lt-LT"/>
        </w:rPr>
        <w:t>Saugumo operacijų centras (SOC)</w:t>
      </w:r>
      <w:r w:rsidRPr="00812A58">
        <w:rPr>
          <w:lang w:val="lt-LT"/>
        </w:rPr>
        <w:t xml:space="preserve"> – URM </w:t>
      </w:r>
      <w:r w:rsidR="00AB4DA1" w:rsidRPr="00812A58">
        <w:rPr>
          <w:lang w:val="lt-LT"/>
        </w:rPr>
        <w:t>pareigybė a</w:t>
      </w:r>
      <w:r w:rsidR="00B10893">
        <w:rPr>
          <w:lang w:val="lt-LT"/>
        </w:rPr>
        <w:t>r</w:t>
      </w:r>
      <w:r w:rsidR="00AB4DA1" w:rsidRPr="00812A58">
        <w:rPr>
          <w:lang w:val="lt-LT"/>
        </w:rPr>
        <w:t xml:space="preserve"> struktūrinis </w:t>
      </w:r>
      <w:r w:rsidRPr="00812A58">
        <w:rPr>
          <w:lang w:val="lt-LT"/>
        </w:rPr>
        <w:t>padalinys, atsakinga</w:t>
      </w:r>
      <w:r w:rsidR="00AB4DA1" w:rsidRPr="00812A58">
        <w:rPr>
          <w:lang w:val="lt-LT"/>
        </w:rPr>
        <w:t>s</w:t>
      </w:r>
      <w:r w:rsidRPr="00812A58">
        <w:rPr>
          <w:lang w:val="lt-LT"/>
        </w:rPr>
        <w:t xml:space="preserve"> už kibernetinio saugumo įvykių stebėseną, aptikimą ir reagavimą (analogiška CSIRT funkcijai).</w:t>
      </w:r>
    </w:p>
    <w:p w14:paraId="64B70A86" w14:textId="01C7E5A7" w:rsidR="00C33FF3" w:rsidRDefault="004B4016" w:rsidP="00656FB9">
      <w:pPr>
        <w:pStyle w:val="Heading4"/>
        <w:ind w:firstLine="720"/>
        <w:rPr>
          <w:lang w:val="lt-LT"/>
        </w:rPr>
      </w:pPr>
      <w:r w:rsidRPr="00812A58">
        <w:rPr>
          <w:b/>
          <w:bCs/>
          <w:lang w:val="lt-LT"/>
        </w:rPr>
        <w:t xml:space="preserve">FIRST CSIRT </w:t>
      </w:r>
      <w:proofErr w:type="spellStart"/>
      <w:r w:rsidRPr="00812A58">
        <w:rPr>
          <w:b/>
          <w:bCs/>
          <w:lang w:val="lt-LT"/>
        </w:rPr>
        <w:t>Services</w:t>
      </w:r>
      <w:proofErr w:type="spellEnd"/>
      <w:r w:rsidRPr="00812A58">
        <w:rPr>
          <w:b/>
          <w:bCs/>
          <w:lang w:val="lt-LT"/>
        </w:rPr>
        <w:t xml:space="preserve"> </w:t>
      </w:r>
      <w:proofErr w:type="spellStart"/>
      <w:r w:rsidRPr="00812A58">
        <w:rPr>
          <w:b/>
          <w:bCs/>
          <w:lang w:val="lt-LT"/>
        </w:rPr>
        <w:t>Framework</w:t>
      </w:r>
      <w:proofErr w:type="spellEnd"/>
      <w:r w:rsidRPr="00812A58">
        <w:rPr>
          <w:lang w:val="lt-LT"/>
        </w:rPr>
        <w:t xml:space="preserve"> – tarptautinis saugumo incidentų tyrimo padalinių paslaugų modelis, parengtas FIRST organizacijos (toliau – </w:t>
      </w:r>
      <w:r w:rsidRPr="00812A58">
        <w:rPr>
          <w:b/>
          <w:bCs/>
          <w:lang w:val="lt-LT"/>
        </w:rPr>
        <w:t>CSIRT paslaugų modelis</w:t>
      </w:r>
      <w:r w:rsidRPr="00812A58">
        <w:rPr>
          <w:lang w:val="lt-LT"/>
        </w:rPr>
        <w:t xml:space="preserve">). Ši sistema apibrėžia standartines </w:t>
      </w:r>
      <w:r w:rsidR="00475B51">
        <w:rPr>
          <w:lang w:val="lt-LT"/>
        </w:rPr>
        <w:t>SOC</w:t>
      </w:r>
      <w:r w:rsidRPr="00812A58">
        <w:rPr>
          <w:lang w:val="lt-LT"/>
        </w:rPr>
        <w:t xml:space="preserve"> teikiamas paslaugas ir veiklos procesus.</w:t>
      </w:r>
    </w:p>
    <w:p w14:paraId="4BB58DEF" w14:textId="4DF75C97" w:rsidR="008E6522" w:rsidRPr="008E6522" w:rsidRDefault="002A008C" w:rsidP="00656FB9">
      <w:pPr>
        <w:pStyle w:val="Heading4"/>
        <w:ind w:firstLine="720"/>
        <w:rPr>
          <w:lang w:val="lt-LT"/>
        </w:rPr>
      </w:pPr>
      <w:r w:rsidRPr="002A008C">
        <w:rPr>
          <w:lang w:val="lt-LT"/>
        </w:rPr>
        <w:t>Kitos šioje techninėje specifikacijoje vartojamos sąvokos suprantamos taip, kaip jos apibrėžtos Lietuvos Respublikos teisės aktuose, reglamentuojančiuose asmens duomenų apsaugą, informacinių sistemų saugumą, elektroninius ryšius ir diplomatinę tarnybą.</w:t>
      </w:r>
    </w:p>
    <w:p w14:paraId="64B70A87" w14:textId="1C7B1B46" w:rsidR="00C33FF3" w:rsidRPr="00812A58" w:rsidRDefault="004B4016" w:rsidP="002A008C">
      <w:pPr>
        <w:pStyle w:val="Heading2"/>
        <w:ind w:firstLine="720"/>
      </w:pPr>
      <w:r w:rsidRPr="00812A58">
        <w:t>PIRKIMO OBJEKTAS</w:t>
      </w:r>
    </w:p>
    <w:p w14:paraId="64B70A88" w14:textId="5D2AD4F1" w:rsidR="00C33FF3" w:rsidRPr="00812A58" w:rsidRDefault="004B4016" w:rsidP="00656FB9">
      <w:pPr>
        <w:pStyle w:val="Heading3"/>
        <w:rPr>
          <w:lang w:val="lt-LT"/>
        </w:rPr>
      </w:pPr>
      <w:r w:rsidRPr="03EA9A3F">
        <w:rPr>
          <w:b/>
          <w:bCs/>
          <w:lang w:val="lt-LT"/>
        </w:rPr>
        <w:t>Pirkimo objektas:</w:t>
      </w:r>
      <w:r w:rsidRPr="03EA9A3F">
        <w:rPr>
          <w:lang w:val="lt-LT"/>
        </w:rPr>
        <w:t xml:space="preserve"> URM </w:t>
      </w:r>
      <w:r w:rsidR="00A342A2" w:rsidRPr="03EA9A3F">
        <w:rPr>
          <w:lang w:val="lt-LT"/>
        </w:rPr>
        <w:t xml:space="preserve">elektroninės </w:t>
      </w:r>
      <w:r w:rsidRPr="03EA9A3F">
        <w:rPr>
          <w:lang w:val="lt-LT"/>
        </w:rPr>
        <w:t xml:space="preserve">informacijos ir kibernetinio saugumo valdymo procesų trūkumų (atotrūkio) </w:t>
      </w:r>
      <w:r w:rsidR="00815E00" w:rsidRPr="03EA9A3F">
        <w:rPr>
          <w:lang w:val="lt-LT"/>
        </w:rPr>
        <w:t>KSĮ ir jį įgyvendinamųjų teisės aktų</w:t>
      </w:r>
      <w:r w:rsidRPr="03EA9A3F">
        <w:rPr>
          <w:lang w:val="lt-LT"/>
        </w:rPr>
        <w:t xml:space="preserve"> reikalavimams vertinimo paslaugos ir kibernetinio saugumo valdymą bei SOC veiklą reglamentuojančių vidaus teisės aktų projektų parengimo paslaugos (toliau kartu – </w:t>
      </w:r>
      <w:r w:rsidRPr="03EA9A3F">
        <w:rPr>
          <w:b/>
          <w:bCs/>
          <w:lang w:val="lt-LT"/>
        </w:rPr>
        <w:t>Paslaugos</w:t>
      </w:r>
      <w:r w:rsidRPr="03EA9A3F">
        <w:rPr>
          <w:lang w:val="lt-LT"/>
        </w:rPr>
        <w:t>). Perkančioji organizacija numato įsigyti visas Paslaugas kompleksiškai, neskaidant pirkimo objekto į dalis.</w:t>
      </w:r>
    </w:p>
    <w:p w14:paraId="64B70A89" w14:textId="3828FCBA" w:rsidR="00C33FF3" w:rsidRPr="00812A58" w:rsidRDefault="004B4016" w:rsidP="00656FB9">
      <w:pPr>
        <w:pStyle w:val="Heading3"/>
        <w:rPr>
          <w:lang w:val="lt-LT"/>
        </w:rPr>
      </w:pPr>
      <w:r w:rsidRPr="00812A58">
        <w:rPr>
          <w:b/>
          <w:bCs/>
          <w:lang w:val="lt-LT"/>
        </w:rPr>
        <w:t>Paslaugų apimtis:</w:t>
      </w:r>
      <w:r w:rsidRPr="00812A58">
        <w:rPr>
          <w:lang w:val="lt-LT"/>
        </w:rPr>
        <w:t xml:space="preserve"> Paslaugos apima du pagrindinius </w:t>
      </w:r>
      <w:r w:rsidR="002F0E09">
        <w:rPr>
          <w:lang w:val="lt-LT"/>
        </w:rPr>
        <w:t>paslaugų teikimo</w:t>
      </w:r>
      <w:r w:rsidR="002F0E09" w:rsidRPr="00812A58">
        <w:rPr>
          <w:lang w:val="lt-LT"/>
        </w:rPr>
        <w:t xml:space="preserve"> </w:t>
      </w:r>
      <w:r w:rsidRPr="00812A58">
        <w:rPr>
          <w:lang w:val="lt-LT"/>
        </w:rPr>
        <w:t xml:space="preserve">etapus: </w:t>
      </w:r>
      <w:r w:rsidRPr="00812A58">
        <w:rPr>
          <w:b/>
          <w:bCs/>
          <w:lang w:val="lt-LT"/>
        </w:rPr>
        <w:t>(1)</w:t>
      </w:r>
      <w:r w:rsidRPr="00812A58">
        <w:rPr>
          <w:lang w:val="lt-LT"/>
        </w:rPr>
        <w:t xml:space="preserve"> URM esamų </w:t>
      </w:r>
      <w:r w:rsidR="007414F8">
        <w:rPr>
          <w:lang w:val="lt-LT"/>
        </w:rPr>
        <w:t xml:space="preserve">elektroninės </w:t>
      </w:r>
      <w:r w:rsidRPr="00812A58">
        <w:rPr>
          <w:lang w:val="lt-LT"/>
        </w:rPr>
        <w:t>informacijos ir kibernetinio saugumo valdymo procesų trūkumų (atotrūkio) KSĮ ir jį įgyvendina</w:t>
      </w:r>
      <w:r w:rsidR="00F81587" w:rsidRPr="00812A58">
        <w:rPr>
          <w:lang w:val="lt-LT"/>
        </w:rPr>
        <w:t>mųjų</w:t>
      </w:r>
      <w:r w:rsidRPr="00812A58">
        <w:rPr>
          <w:lang w:val="lt-LT"/>
        </w:rPr>
        <w:t xml:space="preserve"> teisės aktų reikalavimams </w:t>
      </w:r>
      <w:r w:rsidRPr="00812A58">
        <w:rPr>
          <w:b/>
          <w:bCs/>
          <w:lang w:val="lt-LT"/>
        </w:rPr>
        <w:t>vertinimą</w:t>
      </w:r>
      <w:r w:rsidR="00A33D5D" w:rsidRPr="006C36F1">
        <w:rPr>
          <w:lang w:val="lt-LT"/>
        </w:rPr>
        <w:t xml:space="preserve"> (toliau – </w:t>
      </w:r>
      <w:r w:rsidR="001762C5" w:rsidRPr="005D1766">
        <w:rPr>
          <w:b/>
          <w:bCs/>
          <w:lang w:val="lt-LT"/>
        </w:rPr>
        <w:t>T</w:t>
      </w:r>
      <w:r w:rsidR="00A33D5D" w:rsidRPr="005D1766">
        <w:rPr>
          <w:b/>
          <w:bCs/>
          <w:lang w:val="lt-LT"/>
        </w:rPr>
        <w:t>r</w:t>
      </w:r>
      <w:r w:rsidR="0054375D" w:rsidRPr="005D1766">
        <w:rPr>
          <w:b/>
          <w:bCs/>
          <w:lang w:val="lt-LT"/>
        </w:rPr>
        <w:t>ū</w:t>
      </w:r>
      <w:r w:rsidR="00A33D5D" w:rsidRPr="005D1766">
        <w:rPr>
          <w:b/>
          <w:bCs/>
          <w:lang w:val="lt-LT"/>
        </w:rPr>
        <w:t>kumų vertinimas</w:t>
      </w:r>
      <w:r w:rsidR="00A33D5D" w:rsidRPr="006C36F1">
        <w:rPr>
          <w:lang w:val="lt-LT"/>
        </w:rPr>
        <w:t>)</w:t>
      </w:r>
      <w:r w:rsidRPr="00812A58">
        <w:rPr>
          <w:lang w:val="lt-LT"/>
        </w:rPr>
        <w:t xml:space="preserve">; ir </w:t>
      </w:r>
      <w:r w:rsidRPr="00812A58">
        <w:rPr>
          <w:b/>
          <w:bCs/>
          <w:lang w:val="lt-LT"/>
        </w:rPr>
        <w:t>(2)</w:t>
      </w:r>
      <w:r w:rsidRPr="00812A58">
        <w:rPr>
          <w:lang w:val="lt-LT"/>
        </w:rPr>
        <w:t xml:space="preserve"> URM kibernetinio saugumo valdymo bei </w:t>
      </w:r>
      <w:r w:rsidR="00DD310F" w:rsidRPr="00812A58">
        <w:rPr>
          <w:lang w:val="lt-LT"/>
        </w:rPr>
        <w:t>SOC</w:t>
      </w:r>
      <w:r w:rsidRPr="00812A58">
        <w:rPr>
          <w:lang w:val="lt-LT"/>
        </w:rPr>
        <w:t xml:space="preserve"> veikl</w:t>
      </w:r>
      <w:r w:rsidR="00DD310F" w:rsidRPr="00812A58">
        <w:rPr>
          <w:lang w:val="lt-LT"/>
        </w:rPr>
        <w:t>ą</w:t>
      </w:r>
      <w:r w:rsidR="006C3839" w:rsidRPr="00812A58">
        <w:rPr>
          <w:lang w:val="lt-LT"/>
        </w:rPr>
        <w:t xml:space="preserve"> </w:t>
      </w:r>
      <w:r w:rsidR="00DD310F" w:rsidRPr="00812A58">
        <w:rPr>
          <w:lang w:val="lt-LT"/>
        </w:rPr>
        <w:t>reglamentuojančių</w:t>
      </w:r>
      <w:r w:rsidRPr="00812A58">
        <w:rPr>
          <w:lang w:val="lt-LT"/>
        </w:rPr>
        <w:t xml:space="preserve"> </w:t>
      </w:r>
      <w:r w:rsidRPr="00812A58">
        <w:rPr>
          <w:b/>
          <w:bCs/>
          <w:lang w:val="lt-LT"/>
        </w:rPr>
        <w:t xml:space="preserve">vidaus teisės aktų projektų </w:t>
      </w:r>
      <w:r w:rsidR="0054375D" w:rsidRPr="00812A58">
        <w:rPr>
          <w:lang w:val="lt-LT"/>
        </w:rPr>
        <w:t xml:space="preserve">(toliau – </w:t>
      </w:r>
      <w:r w:rsidR="0054375D" w:rsidRPr="005D1766">
        <w:rPr>
          <w:b/>
          <w:bCs/>
          <w:lang w:val="lt-LT"/>
        </w:rPr>
        <w:t>VTA projektai</w:t>
      </w:r>
      <w:r w:rsidR="0054375D" w:rsidRPr="00812A58">
        <w:rPr>
          <w:lang w:val="lt-LT"/>
        </w:rPr>
        <w:t xml:space="preserve">) </w:t>
      </w:r>
      <w:r w:rsidRPr="00812A58">
        <w:rPr>
          <w:b/>
          <w:bCs/>
          <w:lang w:val="lt-LT"/>
        </w:rPr>
        <w:t>parengimą</w:t>
      </w:r>
      <w:r w:rsidR="006C3839" w:rsidRPr="00812A58">
        <w:rPr>
          <w:lang w:val="lt-LT"/>
        </w:rPr>
        <w:t>.</w:t>
      </w:r>
      <w:r w:rsidRPr="00812A58">
        <w:rPr>
          <w:lang w:val="lt-LT"/>
        </w:rPr>
        <w:t xml:space="preserve"> Šie </w:t>
      </w:r>
      <w:r w:rsidR="008A0ED1">
        <w:rPr>
          <w:lang w:val="lt-LT"/>
        </w:rPr>
        <w:t>paslaugų teikimo</w:t>
      </w:r>
      <w:r w:rsidR="008A0ED1" w:rsidRPr="00812A58">
        <w:rPr>
          <w:lang w:val="lt-LT"/>
        </w:rPr>
        <w:t xml:space="preserve"> </w:t>
      </w:r>
      <w:r w:rsidRPr="00812A58">
        <w:rPr>
          <w:lang w:val="lt-LT"/>
        </w:rPr>
        <w:t xml:space="preserve">etapai tarpusavyje susiję ir turi būti įgyvendinami nuosekliai – pirmiausia atlikus </w:t>
      </w:r>
      <w:r w:rsidR="001C3D39">
        <w:rPr>
          <w:lang w:val="lt-LT"/>
        </w:rPr>
        <w:t>T</w:t>
      </w:r>
      <w:r w:rsidRPr="00812A58">
        <w:rPr>
          <w:lang w:val="lt-LT"/>
        </w:rPr>
        <w:t xml:space="preserve">rūkumų vertinimą, vėliau parengiant </w:t>
      </w:r>
      <w:r w:rsidR="00265E9F">
        <w:rPr>
          <w:lang w:val="lt-LT"/>
        </w:rPr>
        <w:t>VTA</w:t>
      </w:r>
      <w:r w:rsidRPr="00812A58">
        <w:rPr>
          <w:lang w:val="lt-LT"/>
        </w:rPr>
        <w:t xml:space="preserve"> projektus.</w:t>
      </w:r>
    </w:p>
    <w:p w14:paraId="64B70A8A" w14:textId="78D8379D" w:rsidR="00C33FF3" w:rsidRPr="00812A58" w:rsidRDefault="004B4016" w:rsidP="002A008C">
      <w:pPr>
        <w:pStyle w:val="Heading2"/>
        <w:ind w:firstLine="720"/>
        <w:rPr>
          <w:szCs w:val="24"/>
        </w:rPr>
      </w:pPr>
      <w:r w:rsidRPr="002A008C">
        <w:t>BENDRIEJI</w:t>
      </w:r>
      <w:r w:rsidRPr="00812A58">
        <w:rPr>
          <w:bCs/>
          <w:szCs w:val="24"/>
        </w:rPr>
        <w:t xml:space="preserve"> REIKALAVIMAI</w:t>
      </w:r>
    </w:p>
    <w:p w14:paraId="64B70A8B" w14:textId="6FAC416C" w:rsidR="00C33FF3" w:rsidRPr="00812A58" w:rsidRDefault="004B4016" w:rsidP="00656FB9">
      <w:pPr>
        <w:pStyle w:val="Heading3"/>
        <w:rPr>
          <w:lang w:val="lt-LT"/>
        </w:rPr>
      </w:pPr>
      <w:r w:rsidRPr="00812A58">
        <w:rPr>
          <w:lang w:val="lt-LT"/>
        </w:rPr>
        <w:t xml:space="preserve">Paslaugų teikėjas privalo turėti pakankamą kompetenciją ir pajėgumus atlikti </w:t>
      </w:r>
      <w:r w:rsidR="00265E9F">
        <w:rPr>
          <w:b/>
          <w:bCs/>
          <w:lang w:val="lt-LT"/>
        </w:rPr>
        <w:t>T</w:t>
      </w:r>
      <w:r w:rsidRPr="00812A58">
        <w:rPr>
          <w:b/>
          <w:bCs/>
          <w:lang w:val="lt-LT"/>
        </w:rPr>
        <w:t>rūkumų vertinimą</w:t>
      </w:r>
      <w:r w:rsidRPr="00812A58">
        <w:rPr>
          <w:lang w:val="lt-LT"/>
        </w:rPr>
        <w:t xml:space="preserve"> bei parengti </w:t>
      </w:r>
      <w:r w:rsidR="0054375D" w:rsidRPr="00812A58">
        <w:rPr>
          <w:b/>
          <w:bCs/>
          <w:lang w:val="lt-LT"/>
        </w:rPr>
        <w:t>VTA</w:t>
      </w:r>
      <w:r w:rsidRPr="00812A58">
        <w:rPr>
          <w:b/>
          <w:bCs/>
          <w:lang w:val="lt-LT"/>
        </w:rPr>
        <w:t xml:space="preserve"> projektus</w:t>
      </w:r>
      <w:r w:rsidRPr="00812A58">
        <w:rPr>
          <w:lang w:val="lt-LT"/>
        </w:rPr>
        <w:t xml:space="preserve"> per nustatytą terminą (žr. </w:t>
      </w:r>
      <w:r w:rsidR="00A407D4">
        <w:rPr>
          <w:lang w:val="lt-LT"/>
        </w:rPr>
        <w:t xml:space="preserve">techninės specifikacijos </w:t>
      </w:r>
      <w:r w:rsidR="00A407D4">
        <w:rPr>
          <w:lang w:val="lt-LT"/>
        </w:rPr>
        <w:fldChar w:fldCharType="begin"/>
      </w:r>
      <w:r w:rsidR="00A407D4">
        <w:rPr>
          <w:lang w:val="lt-LT"/>
        </w:rPr>
        <w:instrText xml:space="preserve"> REF _Ref199617341 \n \h </w:instrText>
      </w:r>
      <w:r w:rsidR="00A407D4">
        <w:rPr>
          <w:lang w:val="lt-LT"/>
        </w:rPr>
      </w:r>
      <w:r w:rsidR="00A407D4">
        <w:rPr>
          <w:lang w:val="lt-LT"/>
        </w:rPr>
        <w:fldChar w:fldCharType="separate"/>
      </w:r>
      <w:r w:rsidR="00A407D4">
        <w:rPr>
          <w:lang w:val="lt-LT"/>
        </w:rPr>
        <w:t>19</w:t>
      </w:r>
      <w:r w:rsidR="00A407D4">
        <w:rPr>
          <w:lang w:val="lt-LT"/>
        </w:rPr>
        <w:fldChar w:fldCharType="end"/>
      </w:r>
      <w:r w:rsidR="00A407D4">
        <w:rPr>
          <w:lang w:val="lt-LT"/>
        </w:rPr>
        <w:t xml:space="preserve"> punktą</w:t>
      </w:r>
      <w:r w:rsidRPr="00812A58">
        <w:rPr>
          <w:lang w:val="lt-LT"/>
        </w:rPr>
        <w:t xml:space="preserve">). </w:t>
      </w:r>
      <w:r w:rsidR="000C0B00" w:rsidRPr="00812A58">
        <w:rPr>
          <w:lang w:val="lt-LT"/>
        </w:rPr>
        <w:t xml:space="preserve">Paslaugos </w:t>
      </w:r>
      <w:r w:rsidRPr="00812A58">
        <w:rPr>
          <w:lang w:val="lt-LT"/>
        </w:rPr>
        <w:t xml:space="preserve">turi būti </w:t>
      </w:r>
      <w:r w:rsidR="000C0B00" w:rsidRPr="00812A58">
        <w:rPr>
          <w:lang w:val="lt-LT"/>
        </w:rPr>
        <w:t xml:space="preserve">teikiamo </w:t>
      </w:r>
      <w:r w:rsidRPr="00812A58">
        <w:rPr>
          <w:lang w:val="lt-LT"/>
        </w:rPr>
        <w:t xml:space="preserve">glaudžiai bendradarbiaujant su </w:t>
      </w:r>
      <w:r w:rsidRPr="00812A58">
        <w:rPr>
          <w:lang w:val="lt-LT"/>
        </w:rPr>
        <w:lastRenderedPageBreak/>
        <w:t xml:space="preserve">Perkančiąja organizacija – Paslaugų teikėjas įgyvendindamas Paslaugas privalo įsigilinti į URM vykdomus </w:t>
      </w:r>
      <w:r w:rsidR="00CD5FDA">
        <w:rPr>
          <w:lang w:val="lt-LT"/>
        </w:rPr>
        <w:t xml:space="preserve">elektroninės </w:t>
      </w:r>
      <w:r w:rsidRPr="00812A58">
        <w:rPr>
          <w:lang w:val="lt-LT"/>
        </w:rPr>
        <w:t xml:space="preserve">informacijos ir kibernetinio saugumo </w:t>
      </w:r>
      <w:r w:rsidR="00CD5FDA">
        <w:rPr>
          <w:lang w:val="lt-LT"/>
        </w:rPr>
        <w:t xml:space="preserve">(valdymo) </w:t>
      </w:r>
      <w:r w:rsidRPr="00812A58">
        <w:rPr>
          <w:lang w:val="lt-LT"/>
        </w:rPr>
        <w:t>procesus, esamą organizacinę struktūrą, turimus dokumentus ir praktikas.</w:t>
      </w:r>
    </w:p>
    <w:p w14:paraId="64B70A8C" w14:textId="36832D37" w:rsidR="00C33FF3" w:rsidRPr="00812A58" w:rsidRDefault="00812A58" w:rsidP="00656FB9">
      <w:pPr>
        <w:pStyle w:val="Heading3"/>
        <w:rPr>
          <w:lang w:val="lt-LT"/>
        </w:rPr>
      </w:pPr>
      <w:r>
        <w:rPr>
          <w:lang w:val="lt-LT"/>
        </w:rPr>
        <w:t>Teikiant paslaugas</w:t>
      </w:r>
      <w:r w:rsidR="004B4016" w:rsidRPr="00812A58">
        <w:rPr>
          <w:lang w:val="lt-LT"/>
        </w:rPr>
        <w:t xml:space="preserve">, Paslaugų </w:t>
      </w:r>
      <w:r w:rsidR="004B4016" w:rsidRPr="00656FB9">
        <w:rPr>
          <w:lang w:val="lt-LT"/>
        </w:rPr>
        <w:t>teikėjas</w:t>
      </w:r>
      <w:r w:rsidR="004B4016" w:rsidRPr="00812A58">
        <w:rPr>
          <w:lang w:val="lt-LT"/>
        </w:rPr>
        <w:t xml:space="preserve"> privalo vadovautis galiojančiais Lietuvos Respublikos </w:t>
      </w:r>
      <w:r w:rsidR="00184093">
        <w:rPr>
          <w:lang w:val="lt-LT"/>
        </w:rPr>
        <w:t>teisės akt</w:t>
      </w:r>
      <w:r w:rsidR="00F83A07">
        <w:rPr>
          <w:lang w:val="lt-LT"/>
        </w:rPr>
        <w:t>ų</w:t>
      </w:r>
      <w:r w:rsidR="00184093">
        <w:rPr>
          <w:lang w:val="lt-LT"/>
        </w:rPr>
        <w:t>, reglamentuojanči</w:t>
      </w:r>
      <w:r w:rsidR="00F83A07">
        <w:rPr>
          <w:lang w:val="lt-LT"/>
        </w:rPr>
        <w:t>ų</w:t>
      </w:r>
      <w:r w:rsidR="00184093">
        <w:rPr>
          <w:lang w:val="lt-LT"/>
        </w:rPr>
        <w:t xml:space="preserve"> </w:t>
      </w:r>
      <w:r w:rsidR="004B4016" w:rsidRPr="00812A58">
        <w:rPr>
          <w:lang w:val="lt-LT"/>
        </w:rPr>
        <w:t>kibernetin</w:t>
      </w:r>
      <w:r w:rsidR="00184093">
        <w:rPr>
          <w:lang w:val="lt-LT"/>
        </w:rPr>
        <w:t>į</w:t>
      </w:r>
      <w:r w:rsidR="004B4016" w:rsidRPr="00812A58">
        <w:rPr>
          <w:lang w:val="lt-LT"/>
        </w:rPr>
        <w:t xml:space="preserve"> saugum</w:t>
      </w:r>
      <w:r w:rsidR="00184093">
        <w:rPr>
          <w:lang w:val="lt-LT"/>
        </w:rPr>
        <w:t>ą</w:t>
      </w:r>
      <w:r w:rsidR="00F83A07">
        <w:rPr>
          <w:lang w:val="lt-LT"/>
        </w:rPr>
        <w:t>,</w:t>
      </w:r>
      <w:r w:rsidR="004B4016" w:rsidRPr="00812A58">
        <w:rPr>
          <w:lang w:val="lt-LT"/>
        </w:rPr>
        <w:t xml:space="preserve"> reikalavimais. Visos žemiau detalizuojamos užduotys turi būti vykdomos laikantis </w:t>
      </w:r>
      <w:r w:rsidR="004B4016" w:rsidRPr="00812A58">
        <w:rPr>
          <w:b/>
          <w:bCs/>
          <w:lang w:val="lt-LT"/>
        </w:rPr>
        <w:t>KSĮ</w:t>
      </w:r>
      <w:r w:rsidR="004B4016" w:rsidRPr="00812A58">
        <w:rPr>
          <w:lang w:val="lt-LT"/>
        </w:rPr>
        <w:t xml:space="preserve"> </w:t>
      </w:r>
      <w:r w:rsidR="00F66CED" w:rsidRPr="00F66CED">
        <w:rPr>
          <w:lang w:val="lt-LT"/>
        </w:rPr>
        <w:t>ir j</w:t>
      </w:r>
      <w:r w:rsidR="00F66CED">
        <w:rPr>
          <w:lang w:val="lt-LT"/>
        </w:rPr>
        <w:t>į</w:t>
      </w:r>
      <w:r w:rsidR="00F66CED" w:rsidRPr="00F66CED">
        <w:rPr>
          <w:lang w:val="lt-LT"/>
        </w:rPr>
        <w:t xml:space="preserve"> įgyvendinamųjų teisės aktų </w:t>
      </w:r>
      <w:r w:rsidR="00F66CED">
        <w:rPr>
          <w:lang w:val="lt-LT"/>
        </w:rPr>
        <w:t>(</w:t>
      </w:r>
      <w:r w:rsidR="003137AE" w:rsidRPr="003137AE">
        <w:rPr>
          <w:lang w:val="lt-LT"/>
        </w:rPr>
        <w:t xml:space="preserve">įskaitant, bet neapsiribojant </w:t>
      </w:r>
      <w:r w:rsidR="005E757B">
        <w:rPr>
          <w:b/>
          <w:bCs/>
          <w:lang w:val="lt-LT"/>
        </w:rPr>
        <w:t>A</w:t>
      </w:r>
      <w:r w:rsidR="003137AE" w:rsidRPr="0029362A">
        <w:rPr>
          <w:b/>
          <w:bCs/>
          <w:lang w:val="lt-LT"/>
        </w:rPr>
        <w:t>prašo</w:t>
      </w:r>
      <w:r w:rsidR="00F66CED">
        <w:rPr>
          <w:lang w:val="lt-LT"/>
        </w:rPr>
        <w:t xml:space="preserve">) </w:t>
      </w:r>
      <w:r w:rsidR="004B4016" w:rsidRPr="00812A58">
        <w:rPr>
          <w:lang w:val="lt-LT"/>
        </w:rPr>
        <w:t xml:space="preserve">nuostatų. Taip pat rengiant saugumo operacijų centro veiklos dokumentus </w:t>
      </w:r>
      <w:r w:rsidR="00F919F7">
        <w:rPr>
          <w:lang w:val="lt-LT"/>
        </w:rPr>
        <w:t>Paslaugų teikėjas turi</w:t>
      </w:r>
      <w:r w:rsidR="004B4016" w:rsidRPr="00812A58">
        <w:rPr>
          <w:lang w:val="lt-LT"/>
        </w:rPr>
        <w:t xml:space="preserve"> vadovautis gerąja tarptautine praktika – </w:t>
      </w:r>
      <w:r w:rsidR="004B4016" w:rsidRPr="00812A58">
        <w:rPr>
          <w:b/>
          <w:bCs/>
          <w:lang w:val="lt-LT"/>
        </w:rPr>
        <w:t>CSIRT paslaugų modelio</w:t>
      </w:r>
      <w:r w:rsidR="004B4016" w:rsidRPr="00812A58">
        <w:rPr>
          <w:lang w:val="lt-LT"/>
        </w:rPr>
        <w:t xml:space="preserve"> gaires (žr. </w:t>
      </w:r>
      <w:r w:rsidR="006543F8">
        <w:rPr>
          <w:lang w:val="lt-LT"/>
        </w:rPr>
        <w:t>techninės specifikacijos</w:t>
      </w:r>
      <w:r w:rsidR="00F2118A">
        <w:rPr>
          <w:lang w:val="lt-LT"/>
        </w:rPr>
        <w:t xml:space="preserve"> </w:t>
      </w:r>
      <w:r w:rsidR="00F2118A">
        <w:rPr>
          <w:lang w:val="lt-LT"/>
        </w:rPr>
        <w:fldChar w:fldCharType="begin"/>
      </w:r>
      <w:r w:rsidR="00F2118A">
        <w:rPr>
          <w:lang w:val="lt-LT"/>
        </w:rPr>
        <w:instrText xml:space="preserve"> REF _Ref199617454 \n \h </w:instrText>
      </w:r>
      <w:r w:rsidR="00F2118A">
        <w:rPr>
          <w:lang w:val="lt-LT"/>
        </w:rPr>
      </w:r>
      <w:r w:rsidR="00F2118A">
        <w:rPr>
          <w:lang w:val="lt-LT"/>
        </w:rPr>
        <w:fldChar w:fldCharType="separate"/>
      </w:r>
      <w:r w:rsidR="002C683D">
        <w:rPr>
          <w:lang w:val="lt-LT"/>
        </w:rPr>
        <w:t>12</w:t>
      </w:r>
      <w:r w:rsidR="00F2118A">
        <w:rPr>
          <w:lang w:val="lt-LT"/>
        </w:rPr>
        <w:fldChar w:fldCharType="end"/>
      </w:r>
      <w:r w:rsidR="006543F8">
        <w:rPr>
          <w:lang w:val="lt-LT"/>
        </w:rPr>
        <w:t xml:space="preserve"> </w:t>
      </w:r>
      <w:r w:rsidR="00F2118A">
        <w:rPr>
          <w:lang w:val="lt-LT"/>
        </w:rPr>
        <w:t>punktą</w:t>
      </w:r>
      <w:r w:rsidR="004B4016" w:rsidRPr="00812A58">
        <w:rPr>
          <w:lang w:val="lt-LT"/>
        </w:rPr>
        <w:t>).</w:t>
      </w:r>
    </w:p>
    <w:p w14:paraId="64B70A8D" w14:textId="60018E82" w:rsidR="00C33FF3" w:rsidRPr="00812A58" w:rsidRDefault="004B4016" w:rsidP="00656FB9">
      <w:pPr>
        <w:pStyle w:val="Heading3"/>
        <w:rPr>
          <w:lang w:val="lt-LT"/>
        </w:rPr>
      </w:pPr>
      <w:r w:rsidRPr="00812A58">
        <w:rPr>
          <w:lang w:val="lt-LT"/>
        </w:rPr>
        <w:t xml:space="preserve">Paslaugų teikėjas privalo užtikrinti, kad visi parengti dokumentai tarpusavyje derės ir sukurs vientisą </w:t>
      </w:r>
      <w:r w:rsidR="00AF3786">
        <w:rPr>
          <w:lang w:val="lt-LT"/>
        </w:rPr>
        <w:t xml:space="preserve">elektroninės informacijos ir </w:t>
      </w:r>
      <w:r w:rsidRPr="00812A58">
        <w:rPr>
          <w:lang w:val="lt-LT"/>
        </w:rPr>
        <w:t xml:space="preserve">kibernetinio saugumo valdymo sistemą URM. Dokumentuose turi būti aiškiai nustatytos atsakomybės, procedūros ir priemonės, reikalingos KSĮ </w:t>
      </w:r>
      <w:r w:rsidR="00136DD1">
        <w:rPr>
          <w:lang w:val="lt-LT"/>
        </w:rPr>
        <w:t xml:space="preserve">ir jį įgyvendinamųjų teisės aktų </w:t>
      </w:r>
      <w:r w:rsidRPr="00812A58">
        <w:rPr>
          <w:lang w:val="lt-LT"/>
        </w:rPr>
        <w:t>reikalavimams įgyvendinti URM veikloje.</w:t>
      </w:r>
    </w:p>
    <w:p w14:paraId="64B70A8E" w14:textId="5F15E287" w:rsidR="00C33FF3" w:rsidRPr="00812A58" w:rsidRDefault="004B4016" w:rsidP="002A008C">
      <w:pPr>
        <w:pStyle w:val="Heading2"/>
        <w:ind w:firstLine="720"/>
        <w:rPr>
          <w:szCs w:val="24"/>
        </w:rPr>
      </w:pPr>
      <w:r w:rsidRPr="002A008C">
        <w:t>REIKALAVIMAI</w:t>
      </w:r>
      <w:r w:rsidRPr="00812A58">
        <w:rPr>
          <w:bCs/>
          <w:szCs w:val="24"/>
        </w:rPr>
        <w:t xml:space="preserve"> TRŪKUMŲ VERTINIMO PASLAUGAI</w:t>
      </w:r>
    </w:p>
    <w:p w14:paraId="64B70A8F" w14:textId="432CA271" w:rsidR="00C33FF3" w:rsidRPr="00812A58" w:rsidRDefault="004B4016" w:rsidP="00656FB9">
      <w:pPr>
        <w:pStyle w:val="Heading3"/>
        <w:rPr>
          <w:lang w:val="lt-LT"/>
        </w:rPr>
      </w:pPr>
      <w:r w:rsidRPr="00812A58">
        <w:rPr>
          <w:b/>
          <w:bCs/>
          <w:lang w:val="lt-LT"/>
        </w:rPr>
        <w:t>Trūkumų vertinimo tikslas</w:t>
      </w:r>
      <w:r w:rsidRPr="00812A58">
        <w:rPr>
          <w:lang w:val="lt-LT"/>
        </w:rPr>
        <w:t xml:space="preserve"> – nustatyti, ko trūksta, kad Perkančioji organizacija visiškai atitiktų KSĮ ir </w:t>
      </w:r>
      <w:r w:rsidR="006734F6">
        <w:rPr>
          <w:lang w:val="lt-LT"/>
        </w:rPr>
        <w:t xml:space="preserve">jį įgyvendinamųjų </w:t>
      </w:r>
      <w:r w:rsidRPr="00812A58">
        <w:rPr>
          <w:lang w:val="lt-LT"/>
        </w:rPr>
        <w:t xml:space="preserve">teisės aktų reikalavimus </w:t>
      </w:r>
      <w:r w:rsidR="0077179D">
        <w:rPr>
          <w:lang w:val="lt-LT"/>
        </w:rPr>
        <w:t>elektroninės</w:t>
      </w:r>
      <w:r w:rsidR="00030BCB">
        <w:rPr>
          <w:lang w:val="lt-LT"/>
        </w:rPr>
        <w:t xml:space="preserve"> </w:t>
      </w:r>
      <w:r w:rsidRPr="00812A58">
        <w:rPr>
          <w:lang w:val="lt-LT"/>
        </w:rPr>
        <w:t xml:space="preserve">informacijos ir kibernetinio saugumo valdymo srityje. Šios paslaugos metu Paslaugų teikėjas turi įvertinti esamą URM </w:t>
      </w:r>
      <w:r w:rsidR="00B17AF1">
        <w:rPr>
          <w:lang w:val="lt-LT"/>
        </w:rPr>
        <w:t>elekt</w:t>
      </w:r>
      <w:r w:rsidR="002A6DA7">
        <w:rPr>
          <w:lang w:val="lt-LT"/>
        </w:rPr>
        <w:t>r</w:t>
      </w:r>
      <w:r w:rsidR="00B17AF1">
        <w:rPr>
          <w:lang w:val="lt-LT"/>
        </w:rPr>
        <w:t xml:space="preserve">oninės </w:t>
      </w:r>
      <w:r w:rsidRPr="00812A58">
        <w:rPr>
          <w:lang w:val="lt-LT"/>
        </w:rPr>
        <w:t>informacijos ir kibernetinio saugumo valdymo būklę ir palyginti ją su minėtų teisės aktų nustatytais standartais.</w:t>
      </w:r>
    </w:p>
    <w:p w14:paraId="64B70A90" w14:textId="77777777" w:rsidR="00C33FF3" w:rsidRPr="00812A58" w:rsidRDefault="004B4016" w:rsidP="00656FB9">
      <w:pPr>
        <w:pStyle w:val="Heading3"/>
        <w:rPr>
          <w:lang w:val="lt-LT"/>
        </w:rPr>
      </w:pPr>
      <w:r w:rsidRPr="00812A58">
        <w:rPr>
          <w:b/>
          <w:bCs/>
          <w:lang w:val="lt-LT"/>
        </w:rPr>
        <w:t>Trūkumų vertinimo uždaviniai:</w:t>
      </w:r>
      <w:r w:rsidRPr="00812A58">
        <w:rPr>
          <w:lang w:val="lt-LT"/>
        </w:rPr>
        <w:t xml:space="preserve"> </w:t>
      </w:r>
      <w:r w:rsidRPr="00656FB9">
        <w:rPr>
          <w:lang w:val="lt-LT"/>
        </w:rPr>
        <w:t>Paslaugų</w:t>
      </w:r>
      <w:r w:rsidRPr="00812A58">
        <w:rPr>
          <w:lang w:val="lt-LT"/>
        </w:rPr>
        <w:t xml:space="preserve"> teikėjas, atlikdamas atotrūkio analizę, privalo:</w:t>
      </w:r>
    </w:p>
    <w:p w14:paraId="64B70A92" w14:textId="2260B3AD" w:rsidR="00C33FF3" w:rsidRPr="00812A58" w:rsidRDefault="004B4016" w:rsidP="00656FB9">
      <w:pPr>
        <w:pStyle w:val="Heading4"/>
        <w:ind w:firstLine="720"/>
        <w:rPr>
          <w:lang w:val="lt-LT"/>
        </w:rPr>
      </w:pPr>
      <w:r w:rsidRPr="00812A58">
        <w:rPr>
          <w:b/>
          <w:bCs/>
          <w:lang w:val="lt-LT"/>
        </w:rPr>
        <w:t>Įvertinti vidaus dokumentus</w:t>
      </w:r>
      <w:r w:rsidRPr="00812A58">
        <w:rPr>
          <w:lang w:val="lt-LT"/>
        </w:rPr>
        <w:t xml:space="preserve"> – peržiūrėti ir išanalizuoti galiojančius URM vidaus teisės aktus, susijusius su </w:t>
      </w:r>
      <w:r w:rsidR="000129E1">
        <w:rPr>
          <w:lang w:val="lt-LT"/>
        </w:rPr>
        <w:t xml:space="preserve">elektroninės </w:t>
      </w:r>
      <w:r w:rsidRPr="00812A58">
        <w:rPr>
          <w:lang w:val="lt-LT"/>
        </w:rPr>
        <w:t xml:space="preserve">informacijos sauga ir kibernetiniu saugumu (politikas, tvarkas, taisykles, procedūras ir pan.), ir nustatyti, ar jie atitinka KSĮ </w:t>
      </w:r>
      <w:r w:rsidR="000129E1">
        <w:rPr>
          <w:lang w:val="lt-LT"/>
        </w:rPr>
        <w:t xml:space="preserve">ir jį įgyvendinamųjų </w:t>
      </w:r>
      <w:r w:rsidRPr="00812A58">
        <w:rPr>
          <w:lang w:val="lt-LT"/>
        </w:rPr>
        <w:t>teisės aktų reikalavimus, kokių naujų ar atnaujintų dokumentų reikia.</w:t>
      </w:r>
    </w:p>
    <w:p w14:paraId="64B70A93" w14:textId="2D40C83A" w:rsidR="00C33FF3" w:rsidRPr="00812A58" w:rsidRDefault="004B4016" w:rsidP="004663DD">
      <w:pPr>
        <w:pStyle w:val="Heading4"/>
        <w:ind w:firstLine="720"/>
        <w:rPr>
          <w:lang w:val="lt-LT"/>
        </w:rPr>
      </w:pPr>
      <w:r w:rsidRPr="00812A58">
        <w:rPr>
          <w:b/>
          <w:bCs/>
          <w:lang w:val="lt-LT"/>
        </w:rPr>
        <w:t>Įvertinti organizacinę struktūrą</w:t>
      </w:r>
      <w:r w:rsidRPr="00812A58">
        <w:rPr>
          <w:lang w:val="lt-LT"/>
        </w:rPr>
        <w:t xml:space="preserve"> – išnagrinėti, kaip URM šiuo metu paskirstytos funkcijos ir atsakomybės </w:t>
      </w:r>
      <w:r w:rsidR="00F640F2">
        <w:rPr>
          <w:lang w:val="lt-LT"/>
        </w:rPr>
        <w:t xml:space="preserve">elektroninės </w:t>
      </w:r>
      <w:r w:rsidRPr="00812A58">
        <w:rPr>
          <w:lang w:val="lt-LT"/>
        </w:rPr>
        <w:t>informacijos ir kibernetinio saugumo valdymo srityje (atsakingi padaliniai, darbuotojai, komisijos ar darbo grupės). Nustatyti, ar dabartinėje struktūroje priskirtos visos KSĮ reikalaujamos atsakomybės (pvz., ar paskirtas Kibernetinio saugumo vadovas, ar suformuota kibernetinio saugumo incidentų valdymo grupė ir pan.), ir kokių papildomų pareigybių ar struktūrinių vienetų gali prireikti.</w:t>
      </w:r>
    </w:p>
    <w:p w14:paraId="64B70A94" w14:textId="18D6B6C0" w:rsidR="00C33FF3" w:rsidRPr="00812A58" w:rsidRDefault="004B4016" w:rsidP="00656FB9">
      <w:pPr>
        <w:pStyle w:val="Heading4"/>
        <w:ind w:firstLine="720"/>
        <w:rPr>
          <w:lang w:val="lt-LT"/>
        </w:rPr>
      </w:pPr>
      <w:r w:rsidRPr="00812A58">
        <w:rPr>
          <w:b/>
          <w:bCs/>
          <w:lang w:val="lt-LT"/>
        </w:rPr>
        <w:t>Identifikuoti trūkumus</w:t>
      </w:r>
      <w:r w:rsidRPr="00812A58">
        <w:rPr>
          <w:lang w:val="lt-LT"/>
        </w:rPr>
        <w:t xml:space="preserve"> – remdamasis atlikta dokumentų ir struktūros analize, nustatyti konkrečius neatitik</w:t>
      </w:r>
      <w:r w:rsidR="00A578CF">
        <w:rPr>
          <w:lang w:val="lt-LT"/>
        </w:rPr>
        <w:t>im</w:t>
      </w:r>
      <w:r w:rsidRPr="00812A58">
        <w:rPr>
          <w:lang w:val="lt-LT"/>
        </w:rPr>
        <w:t xml:space="preserve">us ar spragas (atotrūkį) URM </w:t>
      </w:r>
      <w:r w:rsidR="00D8650A">
        <w:rPr>
          <w:lang w:val="lt-LT"/>
        </w:rPr>
        <w:t xml:space="preserve">elektroninės </w:t>
      </w:r>
      <w:r w:rsidR="00D8650A" w:rsidRPr="00812A58">
        <w:rPr>
          <w:lang w:val="lt-LT"/>
        </w:rPr>
        <w:t xml:space="preserve">informacijos ir </w:t>
      </w:r>
      <w:r w:rsidRPr="00812A58">
        <w:rPr>
          <w:lang w:val="lt-LT"/>
        </w:rPr>
        <w:t>kibernetinio saugumo valdyme. Tai gali apimti trūkstamas politikas ar taisykles, nepakankamai apibrėžtas funkcijas, nepaskirtas atsakomybes, neformalizuotas procedūras, neatliktus rizikos vertinimus ar kt.</w:t>
      </w:r>
    </w:p>
    <w:p w14:paraId="64B70A95" w14:textId="1184A351" w:rsidR="00C33FF3" w:rsidRPr="00812A58" w:rsidRDefault="004B4016" w:rsidP="00656FB9">
      <w:pPr>
        <w:pStyle w:val="Heading3"/>
        <w:rPr>
          <w:lang w:val="lt-LT"/>
        </w:rPr>
      </w:pPr>
      <w:r w:rsidRPr="00812A58">
        <w:rPr>
          <w:b/>
          <w:bCs/>
          <w:lang w:val="lt-LT"/>
        </w:rPr>
        <w:t>Vertinimo vykdymo nuostatos:</w:t>
      </w:r>
      <w:r w:rsidRPr="00812A58">
        <w:rPr>
          <w:lang w:val="lt-LT"/>
        </w:rPr>
        <w:t xml:space="preserve"> </w:t>
      </w:r>
      <w:r w:rsidRPr="00656FB9">
        <w:rPr>
          <w:lang w:val="lt-LT"/>
        </w:rPr>
        <w:t>Trūkumų</w:t>
      </w:r>
      <w:r w:rsidRPr="00812A58">
        <w:rPr>
          <w:lang w:val="lt-LT"/>
        </w:rPr>
        <w:t xml:space="preserve"> vertinimas turi būti atliekamas vadovaujantis </w:t>
      </w:r>
      <w:r w:rsidRPr="00812A58">
        <w:rPr>
          <w:b/>
          <w:bCs/>
          <w:lang w:val="lt-LT"/>
        </w:rPr>
        <w:t>KSĮ</w:t>
      </w:r>
      <w:r w:rsidRPr="00812A58">
        <w:rPr>
          <w:lang w:val="lt-LT"/>
        </w:rPr>
        <w:t xml:space="preserve"> ir</w:t>
      </w:r>
      <w:r w:rsidR="006C555F">
        <w:rPr>
          <w:lang w:val="lt-LT"/>
        </w:rPr>
        <w:t xml:space="preserve"> jį įgyvendinamųjų teises aktų (įskaitant, bet neapsiribojant</w:t>
      </w:r>
      <w:r w:rsidRPr="00812A58">
        <w:rPr>
          <w:lang w:val="lt-LT"/>
        </w:rPr>
        <w:t xml:space="preserve"> </w:t>
      </w:r>
      <w:r w:rsidR="005E757B">
        <w:rPr>
          <w:b/>
          <w:bCs/>
          <w:lang w:val="lt-LT"/>
        </w:rPr>
        <w:t>A</w:t>
      </w:r>
      <w:r w:rsidRPr="00812A58">
        <w:rPr>
          <w:b/>
          <w:bCs/>
          <w:lang w:val="lt-LT"/>
        </w:rPr>
        <w:t>prašo</w:t>
      </w:r>
      <w:r w:rsidR="006C555F">
        <w:rPr>
          <w:lang w:val="lt-LT"/>
        </w:rPr>
        <w:t xml:space="preserve">) </w:t>
      </w:r>
      <w:r w:rsidRPr="00812A58">
        <w:rPr>
          <w:lang w:val="lt-LT"/>
        </w:rPr>
        <w:t>nuostatomis. Paslaugų teikėjas privalo identifikuoti visus neatitinkančius reikalavimų aspektus ir pasiūlyti, kaip juos ištaisyti. Jei vertinimo metu nustatoma gerosios praktikos priemonių, kurios nėra tiesiogiai įtvirtintos teisės aktuose, tačiau galėtų pagerinti URM kibernetinį saugumą, Paslaugų teikėjas turėtų jas taip pat paminėti kaip rekomenduotinas.</w:t>
      </w:r>
    </w:p>
    <w:p w14:paraId="64B70A96" w14:textId="77777777" w:rsidR="00C33FF3" w:rsidRPr="00812A58" w:rsidRDefault="004B4016" w:rsidP="00656FB9">
      <w:pPr>
        <w:pStyle w:val="Heading3"/>
        <w:rPr>
          <w:lang w:val="lt-LT"/>
        </w:rPr>
      </w:pPr>
      <w:bookmarkStart w:id="1" w:name="_Ref199617564"/>
      <w:r w:rsidRPr="00812A58">
        <w:rPr>
          <w:b/>
          <w:bCs/>
          <w:lang w:val="lt-LT"/>
        </w:rPr>
        <w:t>Trūkumų vertinimo rezultatai:</w:t>
      </w:r>
      <w:r w:rsidRPr="00812A58">
        <w:rPr>
          <w:lang w:val="lt-LT"/>
        </w:rPr>
        <w:t xml:space="preserve"> Paslaugų teikėjas, baigęs analizę, privalo parengti šiuos dokumentus:</w:t>
      </w:r>
      <w:bookmarkEnd w:id="1"/>
    </w:p>
    <w:p w14:paraId="64B70A98" w14:textId="4DB4A207" w:rsidR="00C33FF3" w:rsidRPr="00812A58" w:rsidRDefault="004B4016" w:rsidP="00656FB9">
      <w:pPr>
        <w:pStyle w:val="Heading4"/>
        <w:ind w:firstLine="720"/>
        <w:rPr>
          <w:lang w:val="lt-LT"/>
        </w:rPr>
      </w:pPr>
      <w:r w:rsidRPr="00812A58">
        <w:rPr>
          <w:b/>
          <w:bCs/>
          <w:lang w:val="lt-LT"/>
        </w:rPr>
        <w:lastRenderedPageBreak/>
        <w:t>Trūkumų vertinimo ataskaita</w:t>
      </w:r>
      <w:r w:rsidRPr="00812A58">
        <w:rPr>
          <w:lang w:val="lt-LT"/>
        </w:rPr>
        <w:t xml:space="preserve"> – detalus dokumentas, kuriame aprašoma esama URM </w:t>
      </w:r>
      <w:r w:rsidR="00F05818">
        <w:rPr>
          <w:lang w:val="lt-LT"/>
        </w:rPr>
        <w:t xml:space="preserve">elektroninės informacijos ir </w:t>
      </w:r>
      <w:r w:rsidRPr="00812A58">
        <w:rPr>
          <w:lang w:val="lt-LT"/>
        </w:rPr>
        <w:t xml:space="preserve">kibernetinio saugumo valdymo situacija ir nustatyti trūkumai (ko trūksta iki pilno atitikties). Ataskaitoje turi būti pateikta esamų vidaus teisės aktų ir praktikos apžvalga bei jų palyginimas su KSĮ </w:t>
      </w:r>
      <w:r w:rsidR="00560114">
        <w:rPr>
          <w:lang w:val="lt-LT"/>
        </w:rPr>
        <w:t xml:space="preserve">ir jį įgyvendinamųjų teisės aktų </w:t>
      </w:r>
      <w:r w:rsidRPr="00812A58">
        <w:rPr>
          <w:lang w:val="lt-LT"/>
        </w:rPr>
        <w:t>reikalavimais.</w:t>
      </w:r>
    </w:p>
    <w:p w14:paraId="64B70A99" w14:textId="7C4214B9" w:rsidR="00C33FF3" w:rsidRPr="00812A58" w:rsidRDefault="004B4016" w:rsidP="00656FB9">
      <w:pPr>
        <w:pStyle w:val="Heading4"/>
        <w:ind w:firstLine="720"/>
        <w:rPr>
          <w:lang w:val="lt-LT"/>
        </w:rPr>
      </w:pPr>
      <w:bookmarkStart w:id="2" w:name="_Ref199617617"/>
      <w:r w:rsidRPr="00812A58">
        <w:rPr>
          <w:b/>
          <w:bCs/>
          <w:lang w:val="lt-LT"/>
        </w:rPr>
        <w:t>Rekomendacijų dokumentas</w:t>
      </w:r>
      <w:r w:rsidRPr="00812A58">
        <w:rPr>
          <w:lang w:val="lt-LT"/>
        </w:rPr>
        <w:t xml:space="preserve"> – pasiūlymų rinkinys, kaip pašalinti nustatytus trūkumus. Šiame dokumente turi būti išdėstyti konkretūs veiksmai ir priemonės, kurių URM turėtų imtis, kad atitiktų visus reikalavimus (pvz., kokius naujus dokumentus parengti, kokias pareigybes įsteigti ar papildomas funkcijas priskirti). Rekomendacijos turi sudaryti </w:t>
      </w:r>
      <w:r w:rsidRPr="00812A58">
        <w:rPr>
          <w:b/>
          <w:bCs/>
          <w:lang w:val="lt-LT"/>
        </w:rPr>
        <w:t>įgyvendinimo priemonių planą</w:t>
      </w:r>
      <w:r w:rsidRPr="00812A58">
        <w:rPr>
          <w:lang w:val="lt-LT"/>
        </w:rPr>
        <w:t xml:space="preserve"> su prioritetais ir terminų gairėmis. Paslaugų teikėjas privalo suderinti rekomendacijų dokumento turinį su Perkančiąja organizacija ir atsižvelgti į pastabas. </w:t>
      </w:r>
      <w:r w:rsidRPr="00812A58">
        <w:rPr>
          <w:i/>
          <w:lang w:val="lt-LT"/>
        </w:rPr>
        <w:t>(Pastaba: Rekomendacijų dokumentas gali būti pateiktas kaip ataskaitos dalis arba atskiras priedas.)</w:t>
      </w:r>
      <w:bookmarkEnd w:id="2"/>
    </w:p>
    <w:p w14:paraId="64B70A9A" w14:textId="6A211A6A" w:rsidR="00C33FF3" w:rsidRPr="00812A58" w:rsidRDefault="004B4016" w:rsidP="002A008C">
      <w:pPr>
        <w:pStyle w:val="Heading2"/>
        <w:ind w:firstLine="720"/>
        <w:rPr>
          <w:szCs w:val="24"/>
        </w:rPr>
      </w:pPr>
      <w:r w:rsidRPr="002A008C">
        <w:t>REIKALAVIMAI</w:t>
      </w:r>
      <w:r w:rsidRPr="00812A58">
        <w:rPr>
          <w:bCs/>
          <w:szCs w:val="24"/>
        </w:rPr>
        <w:t xml:space="preserve"> </w:t>
      </w:r>
      <w:r w:rsidR="001C6CC7">
        <w:rPr>
          <w:bCs/>
          <w:szCs w:val="24"/>
        </w:rPr>
        <w:t>VTA</w:t>
      </w:r>
      <w:r w:rsidRPr="00812A58">
        <w:rPr>
          <w:bCs/>
          <w:szCs w:val="24"/>
        </w:rPr>
        <w:t xml:space="preserve"> PROJEKTŲ PARENGIMO PASLAUGAI</w:t>
      </w:r>
    </w:p>
    <w:p w14:paraId="64B70A9B" w14:textId="12FF4282" w:rsidR="00C33FF3" w:rsidRPr="00812A58" w:rsidRDefault="004B4016" w:rsidP="00656FB9">
      <w:pPr>
        <w:pStyle w:val="Heading3"/>
        <w:rPr>
          <w:lang w:val="lt-LT"/>
        </w:rPr>
      </w:pPr>
      <w:r w:rsidRPr="00812A58">
        <w:rPr>
          <w:b/>
          <w:bCs/>
          <w:lang w:val="lt-LT"/>
        </w:rPr>
        <w:t>Vidaus dokumentų sąrašas:</w:t>
      </w:r>
      <w:r w:rsidRPr="00812A58">
        <w:rPr>
          <w:lang w:val="lt-LT"/>
        </w:rPr>
        <w:t xml:space="preserve"> Atsižvelgiant į Trūkumų vertinimo rezultatus, Paslaugų teikėjas parengs URM </w:t>
      </w:r>
      <w:r w:rsidR="00D414D8">
        <w:rPr>
          <w:lang w:val="lt-LT"/>
        </w:rPr>
        <w:t xml:space="preserve">elektroninės informacijos ir </w:t>
      </w:r>
      <w:r w:rsidRPr="00812A58">
        <w:rPr>
          <w:lang w:val="lt-LT"/>
        </w:rPr>
        <w:t xml:space="preserve">kibernetinio saugumo valdymo sistemai reikalingų </w:t>
      </w:r>
      <w:r w:rsidR="007B1CA3">
        <w:rPr>
          <w:lang w:val="lt-LT"/>
        </w:rPr>
        <w:t>VTA</w:t>
      </w:r>
      <w:r w:rsidRPr="00812A58">
        <w:rPr>
          <w:lang w:val="lt-LT"/>
        </w:rPr>
        <w:t xml:space="preserve"> projektus. Ši techninė specifikacija numato, kad turi būti parengti šių dokumentų projektai (nauji arba, jei jie jau egzistuoja – naujos redakcijos projektai)</w:t>
      </w:r>
      <w:r w:rsidR="006E2D89">
        <w:rPr>
          <w:lang w:val="lt-LT"/>
        </w:rPr>
        <w:t>, įskaitant, bet neapsiribojant</w:t>
      </w:r>
      <w:r w:rsidRPr="00812A58">
        <w:rPr>
          <w:lang w:val="lt-LT"/>
        </w:rPr>
        <w:t>:</w:t>
      </w:r>
    </w:p>
    <w:p w14:paraId="64B70A9C" w14:textId="58F3D182" w:rsidR="00C33FF3" w:rsidRPr="007D224C" w:rsidRDefault="004B4016" w:rsidP="00656FB9">
      <w:pPr>
        <w:pStyle w:val="Heading4"/>
        <w:ind w:firstLine="720"/>
        <w:rPr>
          <w:lang w:val="lt-LT"/>
        </w:rPr>
      </w:pPr>
      <w:r w:rsidRPr="00812A58">
        <w:rPr>
          <w:b/>
          <w:bCs/>
          <w:lang w:val="lt-LT"/>
        </w:rPr>
        <w:t>Tinklų ir informacinių sistemų kibernetinio saugumo politika</w:t>
      </w:r>
      <w:r w:rsidRPr="00812A58">
        <w:rPr>
          <w:lang w:val="lt-LT"/>
        </w:rPr>
        <w:t xml:space="preserve"> – </w:t>
      </w:r>
      <w:r w:rsidRPr="007D224C">
        <w:rPr>
          <w:lang w:val="lt-LT"/>
        </w:rPr>
        <w:t>pagrindinis vidaus dokumentas, nustatantis URM kibernetinio saugumo valdymo principus, tikslus ir bendrą tvarką.</w:t>
      </w:r>
    </w:p>
    <w:p w14:paraId="64B70A9D" w14:textId="7F370E13" w:rsidR="00C33FF3" w:rsidRPr="007D224C" w:rsidRDefault="004B4016" w:rsidP="00656FB9">
      <w:pPr>
        <w:pStyle w:val="Heading4"/>
        <w:ind w:firstLine="720"/>
        <w:rPr>
          <w:lang w:val="lt-LT"/>
        </w:rPr>
      </w:pPr>
      <w:r w:rsidRPr="007D224C">
        <w:rPr>
          <w:b/>
          <w:bCs/>
          <w:lang w:val="lt-LT"/>
        </w:rPr>
        <w:t>Tinklų ir informacinių sistemų rizikos vertinimo ir valdymo tvarka</w:t>
      </w:r>
      <w:r w:rsidRPr="007D224C">
        <w:rPr>
          <w:lang w:val="lt-LT"/>
        </w:rPr>
        <w:t xml:space="preserve"> – </w:t>
      </w:r>
      <w:r w:rsidR="009A6C87" w:rsidRPr="007D224C">
        <w:rPr>
          <w:lang w:val="lt-LT"/>
        </w:rPr>
        <w:t>dokumentas</w:t>
      </w:r>
      <w:r w:rsidRPr="007D224C">
        <w:rPr>
          <w:lang w:val="lt-LT"/>
        </w:rPr>
        <w:t>, nustatantis periodinio informacinių sistemų rizikos identifikavimo, analizės, vertinimo ir valdymo proceso eigą URM.</w:t>
      </w:r>
    </w:p>
    <w:p w14:paraId="64B70A9E" w14:textId="78F7EB10" w:rsidR="00C33FF3" w:rsidRPr="007D224C" w:rsidRDefault="004B4016" w:rsidP="00656FB9">
      <w:pPr>
        <w:pStyle w:val="Heading4"/>
        <w:ind w:firstLine="720"/>
        <w:rPr>
          <w:lang w:val="lt-LT"/>
        </w:rPr>
      </w:pPr>
      <w:r w:rsidRPr="007D224C">
        <w:rPr>
          <w:b/>
          <w:bCs/>
          <w:lang w:val="lt-LT"/>
        </w:rPr>
        <w:t>Kibernetinių incidentų valdymo planas</w:t>
      </w:r>
      <w:r w:rsidRPr="007D224C">
        <w:rPr>
          <w:lang w:val="lt-LT"/>
        </w:rPr>
        <w:t xml:space="preserve"> – </w:t>
      </w:r>
      <w:r w:rsidR="009A6C87" w:rsidRPr="007D224C">
        <w:rPr>
          <w:lang w:val="lt-LT"/>
        </w:rPr>
        <w:t>dokumentas</w:t>
      </w:r>
      <w:r w:rsidRPr="007D224C">
        <w:rPr>
          <w:lang w:val="lt-LT"/>
        </w:rPr>
        <w:t>, apibrėžiantis URM veiksmus ir procedūras, reaguojant į kibernetinius saugumo incidentus (incidentų identifikavimas, eskalavimas, tyrimas, informavimas, atkūrimas).</w:t>
      </w:r>
    </w:p>
    <w:p w14:paraId="64B70A9F" w14:textId="79A2D222" w:rsidR="00C33FF3" w:rsidRPr="007D224C" w:rsidRDefault="004B4016" w:rsidP="00656FB9">
      <w:pPr>
        <w:pStyle w:val="Heading4"/>
        <w:ind w:firstLine="720"/>
        <w:rPr>
          <w:lang w:val="lt-LT"/>
        </w:rPr>
      </w:pPr>
      <w:r w:rsidRPr="007D224C">
        <w:rPr>
          <w:b/>
          <w:bCs/>
          <w:lang w:val="lt-LT"/>
        </w:rPr>
        <w:t>Žurnalinių įrašų (</w:t>
      </w:r>
      <w:proofErr w:type="spellStart"/>
      <w:r w:rsidRPr="007D224C">
        <w:rPr>
          <w:b/>
          <w:bCs/>
          <w:lang w:val="lt-LT"/>
        </w:rPr>
        <w:t>logų</w:t>
      </w:r>
      <w:proofErr w:type="spellEnd"/>
      <w:r w:rsidRPr="007D224C">
        <w:rPr>
          <w:b/>
          <w:bCs/>
          <w:lang w:val="lt-LT"/>
        </w:rPr>
        <w:t>) valdymo tvarka</w:t>
      </w:r>
      <w:r w:rsidRPr="007D224C">
        <w:rPr>
          <w:lang w:val="lt-LT"/>
        </w:rPr>
        <w:t xml:space="preserve"> – </w:t>
      </w:r>
      <w:r w:rsidR="00DD136D" w:rsidRPr="007D224C">
        <w:rPr>
          <w:lang w:val="lt-LT"/>
        </w:rPr>
        <w:t>dokumentas</w:t>
      </w:r>
      <w:r w:rsidRPr="007D224C">
        <w:rPr>
          <w:lang w:val="lt-LT"/>
        </w:rPr>
        <w:t>, reglamentuojan</w:t>
      </w:r>
      <w:r w:rsidR="00DD136D" w:rsidRPr="007D224C">
        <w:rPr>
          <w:lang w:val="lt-LT"/>
        </w:rPr>
        <w:t>tis</w:t>
      </w:r>
      <w:r w:rsidRPr="007D224C">
        <w:rPr>
          <w:lang w:val="lt-LT"/>
        </w:rPr>
        <w:t xml:space="preserve"> informacinių sistemų žurnalinių įrašų kaupimą, saugojimą, prieigą, peržiūrą ir analizę URM, siekiant užtikrinti saugumo įvykių atsekamumą.</w:t>
      </w:r>
    </w:p>
    <w:p w14:paraId="64B70AA0" w14:textId="11EA7819" w:rsidR="00C33FF3" w:rsidRPr="007D224C" w:rsidRDefault="004B4016" w:rsidP="00656FB9">
      <w:pPr>
        <w:pStyle w:val="Heading4"/>
        <w:ind w:firstLine="720"/>
        <w:rPr>
          <w:lang w:val="lt-LT"/>
        </w:rPr>
      </w:pPr>
      <w:r w:rsidRPr="007D224C">
        <w:rPr>
          <w:b/>
          <w:bCs/>
          <w:lang w:val="lt-LT"/>
        </w:rPr>
        <w:t>Tinklų ir informacinių sistemų veiklos tęstinumo valdymo tvarka</w:t>
      </w:r>
      <w:r w:rsidRPr="007D224C">
        <w:rPr>
          <w:lang w:val="lt-LT"/>
        </w:rPr>
        <w:t xml:space="preserve"> – </w:t>
      </w:r>
      <w:r w:rsidR="00DD136D" w:rsidRPr="007D224C">
        <w:rPr>
          <w:lang w:val="lt-LT"/>
        </w:rPr>
        <w:t>dokumentas</w:t>
      </w:r>
      <w:r w:rsidRPr="007D224C">
        <w:rPr>
          <w:lang w:val="lt-LT"/>
        </w:rPr>
        <w:t>, nustatantis veiklos tęstinumo planų rengimo, palaikymo ir įgyvendinimo procedūras, užtikrinant kritinių informacinių sistemų veikimą sutrikimų ar krizių atvejais.</w:t>
      </w:r>
    </w:p>
    <w:p w14:paraId="64B70AA1" w14:textId="6CAD8291" w:rsidR="00C33FF3" w:rsidRPr="007D224C" w:rsidRDefault="004B4016" w:rsidP="00656FB9">
      <w:pPr>
        <w:pStyle w:val="Heading4"/>
        <w:ind w:firstLine="720"/>
        <w:rPr>
          <w:lang w:val="lt-LT"/>
        </w:rPr>
      </w:pPr>
      <w:r w:rsidRPr="007D224C">
        <w:rPr>
          <w:b/>
          <w:bCs/>
          <w:lang w:val="lt-LT"/>
        </w:rPr>
        <w:t>Atsarginių duomenų kopijų darymo ir atkūrimo tvarka</w:t>
      </w:r>
      <w:r w:rsidRPr="007D224C">
        <w:rPr>
          <w:lang w:val="lt-LT"/>
        </w:rPr>
        <w:t xml:space="preserve"> – </w:t>
      </w:r>
      <w:r w:rsidR="00DD136D" w:rsidRPr="007D224C">
        <w:rPr>
          <w:lang w:val="lt-LT"/>
        </w:rPr>
        <w:t>dokumentas</w:t>
      </w:r>
      <w:r w:rsidRPr="007D224C">
        <w:rPr>
          <w:lang w:val="lt-LT"/>
        </w:rPr>
        <w:t>, apibrėžian</w:t>
      </w:r>
      <w:r w:rsidR="00DD136D" w:rsidRPr="007D224C">
        <w:rPr>
          <w:lang w:val="lt-LT"/>
        </w:rPr>
        <w:t>tis</w:t>
      </w:r>
      <w:r w:rsidRPr="007D224C">
        <w:rPr>
          <w:lang w:val="lt-LT"/>
        </w:rPr>
        <w:t xml:space="preserve"> atsarginių kopijų (</w:t>
      </w:r>
      <w:r w:rsidR="000C4C2B" w:rsidRPr="007D224C">
        <w:rPr>
          <w:lang w:val="lt-LT"/>
        </w:rPr>
        <w:t xml:space="preserve">angl. </w:t>
      </w:r>
      <w:proofErr w:type="spellStart"/>
      <w:r w:rsidRPr="007D224C">
        <w:rPr>
          <w:i/>
          <w:iCs w:val="0"/>
          <w:lang w:val="lt-LT"/>
        </w:rPr>
        <w:t>backup</w:t>
      </w:r>
      <w:proofErr w:type="spellEnd"/>
      <w:r w:rsidRPr="007D224C">
        <w:rPr>
          <w:lang w:val="lt-LT"/>
        </w:rPr>
        <w:t>) darymo periodiškumą, saugojimą ir duomenų atkūrimo procedūras siekiant apsaugoti svarbius URM duomenis.</w:t>
      </w:r>
    </w:p>
    <w:p w14:paraId="64B70AA2" w14:textId="05DD18AF" w:rsidR="00C33FF3" w:rsidRPr="007D224C" w:rsidRDefault="004B4016" w:rsidP="00656FB9">
      <w:pPr>
        <w:pStyle w:val="Heading4"/>
        <w:ind w:firstLine="720"/>
        <w:rPr>
          <w:lang w:val="lt-LT"/>
        </w:rPr>
      </w:pPr>
      <w:r w:rsidRPr="007D224C">
        <w:rPr>
          <w:b/>
          <w:bCs/>
          <w:lang w:val="lt-LT"/>
        </w:rPr>
        <w:t>Tiekimo grandinės saugumo valdymo tvarka</w:t>
      </w:r>
      <w:r w:rsidRPr="007D224C">
        <w:rPr>
          <w:lang w:val="lt-LT"/>
        </w:rPr>
        <w:t xml:space="preserve"> – dokumentas, kuriuo nustatoma, kaip URM vertina ir valdo kibernetinio saugumo rizikas, susijusias su trečiosiomis šalimis (tiekėjais, paslaugų teikėjais, partneriais).</w:t>
      </w:r>
    </w:p>
    <w:p w14:paraId="64B70AA3" w14:textId="55757212" w:rsidR="00C33FF3" w:rsidRPr="007D224C" w:rsidRDefault="004B4016" w:rsidP="00656FB9">
      <w:pPr>
        <w:pStyle w:val="Heading4"/>
        <w:ind w:firstLine="720"/>
        <w:rPr>
          <w:lang w:val="lt-LT"/>
        </w:rPr>
      </w:pPr>
      <w:r w:rsidRPr="007D224C">
        <w:rPr>
          <w:b/>
          <w:bCs/>
          <w:lang w:val="lt-LT"/>
        </w:rPr>
        <w:t>Tinklų ir informacinių sistemų įsigijimo, plėtojimo ir priežiūros saugumo tvarka</w:t>
      </w:r>
      <w:r w:rsidRPr="007D224C">
        <w:rPr>
          <w:lang w:val="lt-LT"/>
        </w:rPr>
        <w:t xml:space="preserve"> – </w:t>
      </w:r>
      <w:r w:rsidR="00DD136D" w:rsidRPr="007D224C">
        <w:rPr>
          <w:lang w:val="lt-LT"/>
        </w:rPr>
        <w:t>dokumentas</w:t>
      </w:r>
      <w:r w:rsidRPr="007D224C">
        <w:rPr>
          <w:lang w:val="lt-LT"/>
        </w:rPr>
        <w:t>, nustatan</w:t>
      </w:r>
      <w:r w:rsidR="00DD136D" w:rsidRPr="007D224C">
        <w:rPr>
          <w:lang w:val="lt-LT"/>
        </w:rPr>
        <w:t>tis</w:t>
      </w:r>
      <w:r w:rsidRPr="007D224C">
        <w:rPr>
          <w:lang w:val="lt-LT"/>
        </w:rPr>
        <w:t xml:space="preserve"> saugumo reikalavimus diegiant ar kuriant naujas informacines sistemas, atnaujinant esamas, atliekant pakeitimus, taip pat spragų atskleidimo ir pataisymų valdymo procesus.</w:t>
      </w:r>
    </w:p>
    <w:p w14:paraId="64B70AA4" w14:textId="41D91267" w:rsidR="00C33FF3" w:rsidRPr="007D224C" w:rsidRDefault="004B4016" w:rsidP="00656FB9">
      <w:pPr>
        <w:pStyle w:val="Heading4"/>
        <w:ind w:firstLine="720"/>
        <w:rPr>
          <w:lang w:val="lt-LT"/>
        </w:rPr>
      </w:pPr>
      <w:r w:rsidRPr="03EA9A3F">
        <w:rPr>
          <w:b/>
          <w:bCs/>
          <w:lang w:val="lt-LT"/>
        </w:rPr>
        <w:lastRenderedPageBreak/>
        <w:t>Kibernetinio saugumo reikalavimų veiksmingumo vertinimo tvarka</w:t>
      </w:r>
      <w:r w:rsidRPr="03EA9A3F">
        <w:rPr>
          <w:lang w:val="lt-LT"/>
        </w:rPr>
        <w:t xml:space="preserve"> –</w:t>
      </w:r>
      <w:r w:rsidR="00175878" w:rsidRPr="03EA9A3F">
        <w:rPr>
          <w:lang w:val="lt-LT"/>
        </w:rPr>
        <w:t>dokumentas, nustatantis kibernetinio saugumo taikomų priemonių veiksmingumo vertinimo procesą</w:t>
      </w:r>
      <w:r w:rsidRPr="03EA9A3F">
        <w:rPr>
          <w:lang w:val="lt-LT"/>
        </w:rPr>
        <w:t xml:space="preserve"> URM.</w:t>
      </w:r>
    </w:p>
    <w:p w14:paraId="64B70AA5" w14:textId="67461C37" w:rsidR="00C33FF3" w:rsidRPr="007D224C" w:rsidRDefault="004B4016" w:rsidP="00656FB9">
      <w:pPr>
        <w:pStyle w:val="Heading4"/>
        <w:ind w:firstLine="720"/>
        <w:rPr>
          <w:lang w:val="lt-LT"/>
        </w:rPr>
      </w:pPr>
      <w:r w:rsidRPr="007D224C">
        <w:rPr>
          <w:b/>
          <w:bCs/>
          <w:lang w:val="lt-LT"/>
        </w:rPr>
        <w:t>Kibernetinės higienos ir mokymų organizavimo tvarka</w:t>
      </w:r>
      <w:r w:rsidRPr="007D224C">
        <w:rPr>
          <w:lang w:val="lt-LT"/>
        </w:rPr>
        <w:t xml:space="preserve"> – </w:t>
      </w:r>
      <w:r w:rsidR="00097FE2" w:rsidRPr="007D224C">
        <w:rPr>
          <w:lang w:val="lt-LT"/>
        </w:rPr>
        <w:t>dokumentas</w:t>
      </w:r>
      <w:r w:rsidRPr="007D224C">
        <w:rPr>
          <w:lang w:val="lt-LT"/>
        </w:rPr>
        <w:t>, nustatantis darbuotojų informuotumo didinimo priemones, reguliarius kibernetinės higienos mokymus, testavimus (socialinės inžinerijos testus) ir jų periodiškumą URM.</w:t>
      </w:r>
    </w:p>
    <w:p w14:paraId="64B70AA6" w14:textId="5413B1A0" w:rsidR="00C33FF3" w:rsidRPr="007D224C" w:rsidRDefault="004B4016" w:rsidP="00656FB9">
      <w:pPr>
        <w:pStyle w:val="Heading4"/>
        <w:ind w:firstLine="720"/>
        <w:rPr>
          <w:lang w:val="lt-LT"/>
        </w:rPr>
      </w:pPr>
      <w:r w:rsidRPr="007D224C">
        <w:rPr>
          <w:b/>
          <w:bCs/>
          <w:lang w:val="lt-LT"/>
        </w:rPr>
        <w:t>Kriptografijos ir šifravimo naudojimo tvarka</w:t>
      </w:r>
      <w:r w:rsidRPr="007D224C">
        <w:rPr>
          <w:lang w:val="lt-LT"/>
        </w:rPr>
        <w:t xml:space="preserve"> – dokumentas, reglamentuojantis jautrios informacijos šifravimo, kriptografinių priemonių naudojimo ir valdymo taisykles URM viduje (pvz., šifravimo algoritmų parinkimas, raktų valdymas).</w:t>
      </w:r>
    </w:p>
    <w:p w14:paraId="64B70AA7" w14:textId="0AE99E2E" w:rsidR="00C33FF3" w:rsidRPr="007D224C" w:rsidRDefault="004B4016" w:rsidP="00656FB9">
      <w:pPr>
        <w:pStyle w:val="Heading4"/>
        <w:ind w:firstLine="720"/>
        <w:rPr>
          <w:lang w:val="lt-LT"/>
        </w:rPr>
      </w:pPr>
      <w:r w:rsidRPr="007D224C">
        <w:rPr>
          <w:b/>
          <w:bCs/>
          <w:lang w:val="lt-LT"/>
        </w:rPr>
        <w:t>Fizinės saugos užtikrinimo tvarka</w:t>
      </w:r>
      <w:r w:rsidRPr="007D224C">
        <w:rPr>
          <w:lang w:val="lt-LT"/>
        </w:rPr>
        <w:t xml:space="preserve"> – </w:t>
      </w:r>
      <w:r w:rsidR="00097FE2" w:rsidRPr="007D224C">
        <w:rPr>
          <w:lang w:val="lt-LT"/>
        </w:rPr>
        <w:t>dokumentas</w:t>
      </w:r>
      <w:r w:rsidRPr="007D224C">
        <w:rPr>
          <w:lang w:val="lt-LT"/>
        </w:rPr>
        <w:t>, apibrėžian</w:t>
      </w:r>
      <w:r w:rsidR="00511787" w:rsidRPr="007D224C">
        <w:rPr>
          <w:lang w:val="lt-LT"/>
        </w:rPr>
        <w:t>tis</w:t>
      </w:r>
      <w:r w:rsidRPr="007D224C">
        <w:rPr>
          <w:lang w:val="lt-LT"/>
        </w:rPr>
        <w:t xml:space="preserve"> fizinės apsaugos priemones informacinių sistemų patalpose ir infrastruktūroje (kontroliuojamos zonos, patekimo kontrolė, apsaugos signalizacija, vaizdo stebėjimas ir pan.).</w:t>
      </w:r>
    </w:p>
    <w:p w14:paraId="64B70AA8" w14:textId="43C40043" w:rsidR="00C33FF3" w:rsidRPr="007D224C" w:rsidRDefault="004B4016" w:rsidP="00656FB9">
      <w:pPr>
        <w:pStyle w:val="Heading4"/>
        <w:ind w:firstLine="720"/>
        <w:rPr>
          <w:lang w:val="lt-LT"/>
        </w:rPr>
      </w:pPr>
      <w:r w:rsidRPr="03EA9A3F">
        <w:rPr>
          <w:b/>
          <w:bCs/>
          <w:lang w:val="lt-LT"/>
        </w:rPr>
        <w:t>Informacijos konfidencialumo valdymo tvarka</w:t>
      </w:r>
      <w:r w:rsidRPr="03EA9A3F">
        <w:rPr>
          <w:lang w:val="lt-LT"/>
        </w:rPr>
        <w:t xml:space="preserve"> – dokumentas, nustatantis tvarką, kaip URM identifikuoja, žymi, saugo konfidencialią informaciją, taip pat darbuotojų prievoles užtikrinti tokios informacijos apsaugą.</w:t>
      </w:r>
    </w:p>
    <w:p w14:paraId="64B70AA9" w14:textId="5542D8D2" w:rsidR="00C33FF3" w:rsidRPr="007D224C" w:rsidRDefault="004B4016" w:rsidP="00656FB9">
      <w:pPr>
        <w:pStyle w:val="Heading4"/>
        <w:ind w:firstLine="720"/>
        <w:rPr>
          <w:lang w:val="lt-LT"/>
        </w:rPr>
      </w:pPr>
      <w:r w:rsidRPr="007D224C">
        <w:rPr>
          <w:b/>
          <w:bCs/>
          <w:lang w:val="lt-LT"/>
        </w:rPr>
        <w:t>Turto (IT išteklių) valdymo tvarka</w:t>
      </w:r>
      <w:r w:rsidRPr="007D224C">
        <w:rPr>
          <w:lang w:val="lt-LT"/>
        </w:rPr>
        <w:t xml:space="preserve"> – </w:t>
      </w:r>
      <w:r w:rsidR="00511787" w:rsidRPr="007D224C">
        <w:rPr>
          <w:lang w:val="lt-LT"/>
        </w:rPr>
        <w:t>dokumentas</w:t>
      </w:r>
      <w:r w:rsidRPr="007D224C">
        <w:rPr>
          <w:lang w:val="lt-LT"/>
        </w:rPr>
        <w:t>, reglamentuojan</w:t>
      </w:r>
      <w:r w:rsidR="00511787" w:rsidRPr="007D224C">
        <w:rPr>
          <w:lang w:val="lt-LT"/>
        </w:rPr>
        <w:t>tis</w:t>
      </w:r>
      <w:r w:rsidRPr="007D224C">
        <w:rPr>
          <w:lang w:val="lt-LT"/>
        </w:rPr>
        <w:t xml:space="preserve"> informacinių ir komunikacinių technologijų turto apskaitą, klasifikavimą, konfigūracijų valdymą ir reguliarius patikrinimus, siekiant apsaugoti įrenginius ir duomenis juose.</w:t>
      </w:r>
    </w:p>
    <w:p w14:paraId="64B70AAA" w14:textId="0475C132" w:rsidR="00C33FF3" w:rsidRPr="007D224C" w:rsidRDefault="004B4016" w:rsidP="00656FB9">
      <w:pPr>
        <w:pStyle w:val="Heading4"/>
        <w:ind w:firstLine="720"/>
        <w:rPr>
          <w:lang w:val="lt-LT"/>
        </w:rPr>
      </w:pPr>
      <w:r w:rsidRPr="007D224C">
        <w:rPr>
          <w:b/>
          <w:bCs/>
          <w:lang w:val="lt-LT"/>
        </w:rPr>
        <w:t>Prieigų valdymo tvarka</w:t>
      </w:r>
      <w:r w:rsidRPr="007D224C">
        <w:rPr>
          <w:lang w:val="lt-LT"/>
        </w:rPr>
        <w:t xml:space="preserve"> – dokumentas, nustatantis naudotojų prieigos teisių suteikimo, keitimo ir panaikinimo tvarką, principus dėl mažiausių būtinų teisių, daugiapakopės autentifikacijos taikymo, slaptažodžių politikos ir kt. URM informacinėse sistemose.</w:t>
      </w:r>
    </w:p>
    <w:p w14:paraId="64B70AAB" w14:textId="3596E6D7" w:rsidR="00C33FF3" w:rsidRPr="007D224C" w:rsidRDefault="004B4016" w:rsidP="00656FB9">
      <w:pPr>
        <w:pStyle w:val="Heading3"/>
        <w:rPr>
          <w:lang w:val="lt-LT"/>
        </w:rPr>
      </w:pPr>
      <w:bookmarkStart w:id="3" w:name="_Ref199617454"/>
      <w:r w:rsidRPr="007D224C">
        <w:rPr>
          <w:b/>
          <w:bCs/>
          <w:lang w:val="lt-LT"/>
        </w:rPr>
        <w:t>SOC veiklos dokumentų sąrašas:</w:t>
      </w:r>
      <w:r w:rsidRPr="007D224C">
        <w:rPr>
          <w:lang w:val="lt-LT"/>
        </w:rPr>
        <w:t xml:space="preserve"> Paslaugų teikėjas, vadovaudamasis </w:t>
      </w:r>
      <w:r w:rsidRPr="007D224C">
        <w:rPr>
          <w:b/>
          <w:bCs/>
          <w:lang w:val="lt-LT"/>
        </w:rPr>
        <w:t>CSIRT paslaugų modeliu</w:t>
      </w:r>
      <w:r w:rsidRPr="007D224C">
        <w:rPr>
          <w:lang w:val="lt-LT"/>
        </w:rPr>
        <w:t xml:space="preserve">, privalo parengti šiuos </w:t>
      </w:r>
      <w:r w:rsidRPr="007D224C">
        <w:rPr>
          <w:b/>
          <w:bCs/>
          <w:lang w:val="lt-LT"/>
        </w:rPr>
        <w:t>SOC</w:t>
      </w:r>
      <w:r w:rsidRPr="007D224C">
        <w:rPr>
          <w:lang w:val="lt-LT"/>
        </w:rPr>
        <w:t xml:space="preserve"> veiklą reglamentuojančių vidaus dokumentų projektus:</w:t>
      </w:r>
      <w:bookmarkEnd w:id="3"/>
    </w:p>
    <w:p w14:paraId="64B70AAC" w14:textId="616AE218" w:rsidR="00C33FF3" w:rsidRPr="007D224C" w:rsidRDefault="004B4016" w:rsidP="00656FB9">
      <w:pPr>
        <w:pStyle w:val="Heading4"/>
        <w:ind w:firstLine="720"/>
        <w:rPr>
          <w:lang w:val="lt-LT"/>
        </w:rPr>
      </w:pPr>
      <w:r w:rsidRPr="007D224C">
        <w:rPr>
          <w:b/>
          <w:bCs/>
          <w:lang w:val="lt-LT"/>
        </w:rPr>
        <w:t>Informacijos sklaidos ir įspėjimų teikimo tvarka</w:t>
      </w:r>
      <w:r w:rsidRPr="007D224C">
        <w:rPr>
          <w:lang w:val="lt-LT"/>
        </w:rPr>
        <w:t xml:space="preserve"> – </w:t>
      </w:r>
      <w:r w:rsidR="00D5782B" w:rsidRPr="007D224C">
        <w:rPr>
          <w:lang w:val="lt-LT"/>
        </w:rPr>
        <w:t>dokumentas</w:t>
      </w:r>
      <w:r w:rsidRPr="007D224C">
        <w:rPr>
          <w:lang w:val="lt-LT"/>
        </w:rPr>
        <w:t>, nustatan</w:t>
      </w:r>
      <w:r w:rsidR="00D5782B" w:rsidRPr="007D224C">
        <w:rPr>
          <w:lang w:val="lt-LT"/>
        </w:rPr>
        <w:t>tis</w:t>
      </w:r>
      <w:r w:rsidRPr="007D224C">
        <w:rPr>
          <w:lang w:val="lt-LT"/>
        </w:rPr>
        <w:t xml:space="preserve"> kaip URM SOC teikia kibernetinio saugumo įspėjimus, skelbia saugumo naujienas bei dalijasi informacija su atitinkamomis institucijomis ir URM darbuotojais apie incidentus ir pažeidžiamumus.</w:t>
      </w:r>
    </w:p>
    <w:p w14:paraId="64B70AAD" w14:textId="4D16A733" w:rsidR="00C33FF3" w:rsidRPr="007D224C" w:rsidRDefault="004B4016" w:rsidP="00656FB9">
      <w:pPr>
        <w:pStyle w:val="Heading4"/>
        <w:ind w:firstLine="720"/>
        <w:rPr>
          <w:lang w:val="lt-LT"/>
        </w:rPr>
      </w:pPr>
      <w:r w:rsidRPr="007D224C">
        <w:rPr>
          <w:b/>
          <w:bCs/>
          <w:lang w:val="lt-LT"/>
        </w:rPr>
        <w:t>Incidentų analizės ir koreliacijos tvarka</w:t>
      </w:r>
      <w:r w:rsidRPr="007D224C">
        <w:rPr>
          <w:lang w:val="lt-LT"/>
        </w:rPr>
        <w:t xml:space="preserve"> – SOC veiklos </w:t>
      </w:r>
      <w:r w:rsidR="00307D77" w:rsidRPr="007D224C">
        <w:rPr>
          <w:lang w:val="lt-LT"/>
        </w:rPr>
        <w:t>dokumentas</w:t>
      </w:r>
      <w:r w:rsidRPr="007D224C">
        <w:rPr>
          <w:lang w:val="lt-LT"/>
        </w:rPr>
        <w:t>, nustatantis kaip analizuojami gauti saugumo įvykiai ir incidentai, kaip jie koreliuojami tarp skirtingų šaltinių siekiant anksti aptikti grėsmes, ir kaip naudojami incidentų valdymo įrankiai.</w:t>
      </w:r>
    </w:p>
    <w:p w14:paraId="64B70AAE" w14:textId="13C22805" w:rsidR="00C33FF3" w:rsidRPr="007D224C" w:rsidRDefault="004B4016" w:rsidP="00656FB9">
      <w:pPr>
        <w:pStyle w:val="Heading4"/>
        <w:ind w:firstLine="720"/>
        <w:rPr>
          <w:lang w:val="lt-LT"/>
        </w:rPr>
      </w:pPr>
      <w:r w:rsidRPr="007D224C">
        <w:rPr>
          <w:b/>
          <w:bCs/>
          <w:lang w:val="lt-LT"/>
        </w:rPr>
        <w:t>Vartotojų pranešimų priėmimo ir tvarkymo tvarka</w:t>
      </w:r>
      <w:r w:rsidRPr="007D224C">
        <w:rPr>
          <w:lang w:val="lt-LT"/>
        </w:rPr>
        <w:t xml:space="preserve"> – </w:t>
      </w:r>
      <w:r w:rsidR="00307D77" w:rsidRPr="007D224C">
        <w:rPr>
          <w:lang w:val="lt-LT"/>
        </w:rPr>
        <w:t>dokumentas</w:t>
      </w:r>
      <w:r w:rsidRPr="007D224C">
        <w:rPr>
          <w:lang w:val="lt-LT"/>
        </w:rPr>
        <w:t>, apibrėžianti</w:t>
      </w:r>
      <w:r w:rsidR="008613D3" w:rsidRPr="007D224C">
        <w:rPr>
          <w:lang w:val="lt-LT"/>
        </w:rPr>
        <w:t>s</w:t>
      </w:r>
      <w:r w:rsidRPr="007D224C">
        <w:rPr>
          <w:lang w:val="lt-LT"/>
        </w:rPr>
        <w:t xml:space="preserve">, kaip SOC priima pranešimus iš URM darbuotojų apie pastebėtus incidentus ar IT sutrikimus, kaip jie registruojami, </w:t>
      </w:r>
      <w:proofErr w:type="spellStart"/>
      <w:r w:rsidRPr="007D224C">
        <w:rPr>
          <w:lang w:val="lt-LT"/>
        </w:rPr>
        <w:t>kategorizuojami</w:t>
      </w:r>
      <w:proofErr w:type="spellEnd"/>
      <w:r w:rsidRPr="007D224C">
        <w:rPr>
          <w:lang w:val="lt-LT"/>
        </w:rPr>
        <w:t xml:space="preserve"> ir sprendžiami.</w:t>
      </w:r>
    </w:p>
    <w:p w14:paraId="64B70AAF" w14:textId="203FE6D8" w:rsidR="00C33FF3" w:rsidRPr="007D224C" w:rsidRDefault="004B4016" w:rsidP="00656FB9">
      <w:pPr>
        <w:pStyle w:val="Heading4"/>
        <w:ind w:firstLine="720"/>
        <w:rPr>
          <w:lang w:val="lt-LT"/>
        </w:rPr>
      </w:pPr>
      <w:r w:rsidRPr="007D224C">
        <w:rPr>
          <w:b/>
          <w:bCs/>
          <w:lang w:val="lt-LT"/>
        </w:rPr>
        <w:t>Techninės pagalbos ir konsultacijų teikimo tvarka</w:t>
      </w:r>
      <w:r w:rsidRPr="007D224C">
        <w:rPr>
          <w:lang w:val="lt-LT"/>
        </w:rPr>
        <w:t xml:space="preserve"> – dokumentas, nustatantis, kaip SOC teikia pagalbą URM padaliniams kibernetinio saugumo klausimais, konsultuoja sprendžiant nustatytus pažeidžiamumus ar diegiant saugumo priemones.</w:t>
      </w:r>
    </w:p>
    <w:p w14:paraId="64B70AB0" w14:textId="245AA4E5" w:rsidR="00C33FF3" w:rsidRPr="007D224C" w:rsidRDefault="004B4016" w:rsidP="00656FB9">
      <w:pPr>
        <w:pStyle w:val="Heading4"/>
        <w:ind w:firstLine="720"/>
        <w:rPr>
          <w:lang w:val="lt-LT"/>
        </w:rPr>
      </w:pPr>
      <w:r w:rsidRPr="007D224C">
        <w:rPr>
          <w:b/>
          <w:bCs/>
          <w:lang w:val="lt-LT"/>
        </w:rPr>
        <w:t>Pratybų ir mokymų organizavimo tvarka</w:t>
      </w:r>
      <w:r w:rsidRPr="007D224C">
        <w:rPr>
          <w:lang w:val="lt-LT"/>
        </w:rPr>
        <w:t xml:space="preserve"> – </w:t>
      </w:r>
      <w:r w:rsidR="005F229C" w:rsidRPr="007D224C">
        <w:rPr>
          <w:lang w:val="lt-LT"/>
        </w:rPr>
        <w:t>dokumentas</w:t>
      </w:r>
      <w:r w:rsidRPr="007D224C">
        <w:rPr>
          <w:lang w:val="lt-LT"/>
        </w:rPr>
        <w:t>, apibrėžian</w:t>
      </w:r>
      <w:r w:rsidR="005F229C" w:rsidRPr="007D224C">
        <w:rPr>
          <w:lang w:val="lt-LT"/>
        </w:rPr>
        <w:t>tis</w:t>
      </w:r>
      <w:r w:rsidRPr="007D224C">
        <w:rPr>
          <w:lang w:val="lt-LT"/>
        </w:rPr>
        <w:t xml:space="preserve"> planingą kibernetinio saugumo pratybų (pvz., incidentų valdymo pratybų) organizavimą URM ir SOC darbuotojų kvalifikacijos kėlimą, mokymų periodiškumą.</w:t>
      </w:r>
    </w:p>
    <w:p w14:paraId="64B70AB1" w14:textId="77A4906E" w:rsidR="00C33FF3" w:rsidRPr="007D224C" w:rsidRDefault="004B4016" w:rsidP="00656FB9">
      <w:pPr>
        <w:pStyle w:val="Heading4"/>
        <w:ind w:firstLine="720"/>
        <w:rPr>
          <w:lang w:val="lt-LT"/>
        </w:rPr>
      </w:pPr>
      <w:r w:rsidRPr="007D224C">
        <w:rPr>
          <w:b/>
          <w:bCs/>
          <w:lang w:val="lt-LT"/>
        </w:rPr>
        <w:t>Atmintinių ir informacinių medžiagų rengimo tvarka</w:t>
      </w:r>
      <w:r w:rsidRPr="007D224C">
        <w:rPr>
          <w:lang w:val="lt-LT"/>
        </w:rPr>
        <w:t xml:space="preserve"> – </w:t>
      </w:r>
      <w:r w:rsidR="003403C8" w:rsidRPr="007D224C">
        <w:rPr>
          <w:lang w:val="lt-LT"/>
        </w:rPr>
        <w:t>dokumentas</w:t>
      </w:r>
      <w:r w:rsidRPr="007D224C">
        <w:rPr>
          <w:lang w:val="lt-LT"/>
        </w:rPr>
        <w:t>, nustatantis, kaip SOC rengia informacines atmintines, gaires, perspėjimus ir kitą medžiagą URM darbuotojams kibernetinio saugumo temomis (pvz., saugaus elgesio rekomendacijas).</w:t>
      </w:r>
    </w:p>
    <w:p w14:paraId="64B70AB2" w14:textId="327167B2" w:rsidR="00C33FF3" w:rsidRPr="007D224C" w:rsidRDefault="004B4016" w:rsidP="00656FB9">
      <w:pPr>
        <w:pStyle w:val="Heading4"/>
        <w:ind w:firstLine="720"/>
        <w:rPr>
          <w:lang w:val="lt-LT"/>
        </w:rPr>
      </w:pPr>
      <w:r w:rsidRPr="007D224C">
        <w:rPr>
          <w:b/>
          <w:bCs/>
          <w:lang w:val="lt-LT"/>
        </w:rPr>
        <w:lastRenderedPageBreak/>
        <w:t>Mentorystės ir profesinio tobulėjimo tvarka</w:t>
      </w:r>
      <w:r w:rsidRPr="007D224C">
        <w:rPr>
          <w:lang w:val="lt-LT"/>
        </w:rPr>
        <w:t xml:space="preserve"> – dokumentas, numatantis SOC komandos narių vidinės mentorystės procesą, žinių perdavimą, naujų darbuotojų įvedimo planą bei nuolatinio profesinio tobulinimo (sertifikavimo, mokymų) gaires.</w:t>
      </w:r>
    </w:p>
    <w:p w14:paraId="64B70AB3" w14:textId="43A3DE06" w:rsidR="00C33FF3" w:rsidRPr="00812A58" w:rsidRDefault="004B4016" w:rsidP="00656FB9">
      <w:pPr>
        <w:pStyle w:val="Heading3"/>
        <w:rPr>
          <w:lang w:val="lt-LT"/>
        </w:rPr>
      </w:pPr>
      <w:r w:rsidRPr="03EA9A3F">
        <w:rPr>
          <w:b/>
          <w:bCs/>
          <w:lang w:val="lt-LT"/>
        </w:rPr>
        <w:t>Dokumentų derinimas:</w:t>
      </w:r>
      <w:r w:rsidRPr="03EA9A3F">
        <w:rPr>
          <w:lang w:val="lt-LT"/>
        </w:rPr>
        <w:t xml:space="preserve"> Paslaugų teikėjas, rengdamas šiuos </w:t>
      </w:r>
      <w:r w:rsidR="009E7F52" w:rsidRPr="03EA9A3F">
        <w:rPr>
          <w:lang w:val="lt-LT"/>
        </w:rPr>
        <w:t>VTA</w:t>
      </w:r>
      <w:r w:rsidRPr="03EA9A3F">
        <w:rPr>
          <w:lang w:val="lt-LT"/>
        </w:rPr>
        <w:t xml:space="preserve"> projektus, privalo bendradarbiauti su Perkančiosios organizacijos atsakingais darbuotojais. Kiekvieno dokumento projektas turi būti aptartas su URM paskirtais atstovais, suderintos specifinės dokumento nuostatos, atsižvelgta į pastabas ir pasiūlymus. Dokumentų projektuose turi būti aiškiai nurodyti atsakingi asmenys arba pareigybės, procedūrų vykdymo tvarka ir kontrolės mechanizmai, atitinkantys KSĮ ir </w:t>
      </w:r>
      <w:r w:rsidR="00151B7B" w:rsidRPr="03EA9A3F">
        <w:rPr>
          <w:lang w:val="lt-LT"/>
        </w:rPr>
        <w:t>jį įgyvendina</w:t>
      </w:r>
      <w:r w:rsidR="00231D44" w:rsidRPr="03EA9A3F">
        <w:rPr>
          <w:lang w:val="lt-LT"/>
        </w:rPr>
        <w:t xml:space="preserve">mųjų teisės aktų (įskaitant, bet neapsiribuojant </w:t>
      </w:r>
      <w:r w:rsidRPr="03EA9A3F">
        <w:rPr>
          <w:b/>
          <w:bCs/>
          <w:lang w:val="lt-LT"/>
        </w:rPr>
        <w:t>Aprašo</w:t>
      </w:r>
      <w:r w:rsidR="00231D44" w:rsidRPr="03EA9A3F">
        <w:rPr>
          <w:lang w:val="lt-LT"/>
        </w:rPr>
        <w:t>)</w:t>
      </w:r>
      <w:r w:rsidRPr="03EA9A3F">
        <w:rPr>
          <w:lang w:val="lt-LT"/>
        </w:rPr>
        <w:t xml:space="preserve"> reikalavimus.</w:t>
      </w:r>
    </w:p>
    <w:p w14:paraId="64B70AB4" w14:textId="49880A19" w:rsidR="00C33FF3" w:rsidRPr="00812A58" w:rsidRDefault="004B4016" w:rsidP="00656FB9">
      <w:pPr>
        <w:pStyle w:val="Heading3"/>
        <w:rPr>
          <w:lang w:val="lt-LT"/>
        </w:rPr>
      </w:pPr>
      <w:r w:rsidRPr="00812A58">
        <w:rPr>
          <w:b/>
          <w:bCs/>
          <w:lang w:val="lt-LT"/>
        </w:rPr>
        <w:t>Dokumentų forma:</w:t>
      </w:r>
      <w:r w:rsidRPr="00812A58">
        <w:rPr>
          <w:lang w:val="lt-LT"/>
        </w:rPr>
        <w:t xml:space="preserve"> Visi parengti </w:t>
      </w:r>
      <w:r w:rsidRPr="00656FB9">
        <w:rPr>
          <w:lang w:val="lt-LT"/>
        </w:rPr>
        <w:t>dokumentų</w:t>
      </w:r>
      <w:r w:rsidRPr="00812A58">
        <w:rPr>
          <w:lang w:val="lt-LT"/>
        </w:rPr>
        <w:t xml:space="preserve"> projektai turi atitikti URM vidaus teisės aktų rengimo reikalavimus (</w:t>
      </w:r>
      <w:r w:rsidR="00A73A09">
        <w:rPr>
          <w:lang w:val="lt-LT"/>
        </w:rPr>
        <w:t xml:space="preserve">įskaitant, bet neapsiribojant </w:t>
      </w:r>
      <w:r w:rsidRPr="00812A58">
        <w:rPr>
          <w:lang w:val="lt-LT"/>
        </w:rPr>
        <w:t>formą, kalbos taisyklingumą, terminų vartojimą, nuorodų į teisės aktus pateikimą). Kiekviename dokumente turi būti nurodytas jo tikslas, taikymo sritis, apibrėžiamos svarbiausios sąvokos (jei reikalinga), išdėstomos nuostatos ir atsakomybės. Dokumentų pavadinimai turi atitikti juose nustatytą turinį.</w:t>
      </w:r>
    </w:p>
    <w:p w14:paraId="64B70AB5" w14:textId="48C87321" w:rsidR="00C33FF3" w:rsidRPr="00812A58" w:rsidRDefault="004B4016" w:rsidP="002A008C">
      <w:pPr>
        <w:pStyle w:val="Heading2"/>
        <w:ind w:firstLine="720"/>
        <w:rPr>
          <w:szCs w:val="24"/>
        </w:rPr>
      </w:pPr>
      <w:r w:rsidRPr="002A008C">
        <w:t>REIKALAVIMAI</w:t>
      </w:r>
      <w:r w:rsidRPr="00812A58">
        <w:rPr>
          <w:bCs/>
          <w:szCs w:val="24"/>
        </w:rPr>
        <w:t xml:space="preserve"> PASLAUGŲ REZULTATAMS</w:t>
      </w:r>
    </w:p>
    <w:p w14:paraId="64B70AB6" w14:textId="77777777" w:rsidR="00C33FF3" w:rsidRPr="00812A58" w:rsidRDefault="004B4016" w:rsidP="00656FB9">
      <w:pPr>
        <w:pStyle w:val="Heading3"/>
        <w:rPr>
          <w:lang w:val="lt-LT"/>
        </w:rPr>
      </w:pPr>
      <w:r w:rsidRPr="00812A58">
        <w:rPr>
          <w:b/>
          <w:bCs/>
          <w:lang w:val="lt-LT"/>
        </w:rPr>
        <w:t>Bendrieji rezultatų reikalavimai:</w:t>
      </w:r>
      <w:r w:rsidRPr="00812A58">
        <w:rPr>
          <w:lang w:val="lt-LT"/>
        </w:rPr>
        <w:t xml:space="preserve"> Visi </w:t>
      </w:r>
      <w:r w:rsidRPr="00656FB9">
        <w:rPr>
          <w:lang w:val="lt-LT"/>
        </w:rPr>
        <w:t>Paslaugų</w:t>
      </w:r>
      <w:r w:rsidRPr="00812A58">
        <w:rPr>
          <w:lang w:val="lt-LT"/>
        </w:rPr>
        <w:t xml:space="preserve"> teikėjo parengti dokumentai turi būti pateikti </w:t>
      </w:r>
      <w:r w:rsidRPr="00812A58">
        <w:rPr>
          <w:b/>
          <w:bCs/>
          <w:lang w:val="lt-LT"/>
        </w:rPr>
        <w:t>lietuvių kalba</w:t>
      </w:r>
      <w:r w:rsidRPr="00812A58">
        <w:rPr>
          <w:lang w:val="lt-LT"/>
        </w:rPr>
        <w:t xml:space="preserve"> ir aiškios, taisyklingos juridinės kalbos. Dokumentai rengiami elektronine forma (teksto redaktoriumi), suderinami su Perkančiąja organizacija ir pateikiami galutiniai jų variantai tiek redaguojamu formatu (pvz., </w:t>
      </w:r>
      <w:r w:rsidRPr="00812A58">
        <w:rPr>
          <w:i/>
          <w:iCs/>
          <w:lang w:val="lt-LT"/>
        </w:rPr>
        <w:t>.</w:t>
      </w:r>
      <w:proofErr w:type="spellStart"/>
      <w:r w:rsidRPr="00812A58">
        <w:rPr>
          <w:i/>
          <w:iCs/>
          <w:lang w:val="lt-LT"/>
        </w:rPr>
        <w:t>docx</w:t>
      </w:r>
      <w:proofErr w:type="spellEnd"/>
      <w:r w:rsidRPr="00812A58">
        <w:rPr>
          <w:lang w:val="lt-LT"/>
        </w:rPr>
        <w:t>), tiek PDF formatu.</w:t>
      </w:r>
    </w:p>
    <w:p w14:paraId="64B70AB7" w14:textId="45AAFA14" w:rsidR="00C33FF3" w:rsidRPr="00812A58" w:rsidRDefault="004B4016" w:rsidP="00656FB9">
      <w:pPr>
        <w:pStyle w:val="Heading3"/>
        <w:rPr>
          <w:lang w:val="lt-LT"/>
        </w:rPr>
      </w:pPr>
      <w:r w:rsidRPr="03EA9A3F">
        <w:rPr>
          <w:b/>
          <w:bCs/>
          <w:lang w:val="lt-LT"/>
        </w:rPr>
        <w:t>Derinimo procesas:</w:t>
      </w:r>
      <w:r w:rsidRPr="03EA9A3F">
        <w:rPr>
          <w:lang w:val="lt-LT"/>
        </w:rPr>
        <w:t xml:space="preserve"> Paslaugų teikėjas privalo iš anksto suderinti su Perkančiąja organizacija kiekvieno rengiamos ataskaitos ar </w:t>
      </w:r>
      <w:r w:rsidR="009E7F52" w:rsidRPr="03EA9A3F">
        <w:rPr>
          <w:lang w:val="lt-LT"/>
        </w:rPr>
        <w:t>VTA</w:t>
      </w:r>
      <w:r w:rsidRPr="03EA9A3F">
        <w:rPr>
          <w:lang w:val="lt-LT"/>
        </w:rPr>
        <w:t xml:space="preserve"> projekto </w:t>
      </w:r>
      <w:r w:rsidRPr="03EA9A3F">
        <w:rPr>
          <w:b/>
          <w:bCs/>
          <w:lang w:val="lt-LT"/>
        </w:rPr>
        <w:t>formatą ir pagrindinį turinį</w:t>
      </w:r>
      <w:r w:rsidRPr="03EA9A3F">
        <w:rPr>
          <w:lang w:val="lt-LT"/>
        </w:rPr>
        <w:t xml:space="preserve"> dar prieš pateikiant galutinį variantą. Perkančioji organizacija, gavusi parengtus dokumentų projektus, įsipareigoja </w:t>
      </w:r>
      <w:r w:rsidR="00DF78E3">
        <w:rPr>
          <w:lang w:val="lt-LT"/>
        </w:rPr>
        <w:t>ne vėliau kai</w:t>
      </w:r>
      <w:r w:rsidR="00CB0658">
        <w:rPr>
          <w:lang w:val="lt-LT"/>
        </w:rPr>
        <w:t xml:space="preserve">p </w:t>
      </w:r>
      <w:r w:rsidRPr="03EA9A3F">
        <w:rPr>
          <w:lang w:val="lt-LT"/>
        </w:rPr>
        <w:t xml:space="preserve">per </w:t>
      </w:r>
      <w:r w:rsidR="00CB0658">
        <w:rPr>
          <w:b/>
          <w:bCs/>
          <w:lang w:val="lt-LT"/>
        </w:rPr>
        <w:t>40</w:t>
      </w:r>
      <w:r w:rsidRPr="03EA9A3F">
        <w:rPr>
          <w:b/>
          <w:bCs/>
          <w:lang w:val="lt-LT"/>
        </w:rPr>
        <w:t xml:space="preserve"> (</w:t>
      </w:r>
      <w:r w:rsidR="00CB0658">
        <w:rPr>
          <w:b/>
          <w:bCs/>
          <w:lang w:val="lt-LT"/>
        </w:rPr>
        <w:t>keturiasdešimt</w:t>
      </w:r>
      <w:r w:rsidRPr="03EA9A3F">
        <w:rPr>
          <w:b/>
          <w:bCs/>
          <w:lang w:val="lt-LT"/>
        </w:rPr>
        <w:t>) dienas</w:t>
      </w:r>
      <w:r w:rsidRPr="03EA9A3F">
        <w:rPr>
          <w:lang w:val="lt-LT"/>
        </w:rPr>
        <w:t xml:space="preserve"> juos peržiūrėti ir pateikti pastabas arba patvirtinimą. Jei Perkančioji organizacija pateikia pastabų ar pasiūlymų, Paslaugų teikėjas privalo pakartotinai koreguoti dokumentų projektus ir suderinti galutines redakcijas, kol bus pasiektas Perkančiosios organizacijos pritarimas galutiniam variantui. Tik suderinti ir Perkančiosios organizacijos priimti dokumentų projektai bus laikomi tinkamai įvykdytais Paslaugų rezultatais.</w:t>
      </w:r>
    </w:p>
    <w:p w14:paraId="64B70AB8" w14:textId="043EC4C8" w:rsidR="00C33FF3" w:rsidRPr="00812A58" w:rsidRDefault="004B4016" w:rsidP="00656FB9">
      <w:pPr>
        <w:pStyle w:val="Heading3"/>
        <w:rPr>
          <w:lang w:val="lt-LT"/>
        </w:rPr>
      </w:pPr>
      <w:r w:rsidRPr="00812A58">
        <w:rPr>
          <w:b/>
          <w:bCs/>
          <w:lang w:val="lt-LT"/>
        </w:rPr>
        <w:t>Kokybės užtikrinimas:</w:t>
      </w:r>
      <w:r w:rsidRPr="00812A58">
        <w:rPr>
          <w:lang w:val="lt-LT"/>
        </w:rPr>
        <w:t xml:space="preserve"> Parengti </w:t>
      </w:r>
      <w:r w:rsidRPr="00656FB9">
        <w:rPr>
          <w:lang w:val="lt-LT"/>
        </w:rPr>
        <w:t>dokumentai</w:t>
      </w:r>
      <w:r w:rsidRPr="00812A58">
        <w:rPr>
          <w:lang w:val="lt-LT"/>
        </w:rPr>
        <w:t xml:space="preserve"> turi pilnai atitikti šios techninės specifikacijos reikalavimus ir uždavinius. Kilus neaiškumams dėl tam tikrų reikalavimų interpretacijos ar geriausio sprendimo jų įgyvendinimui, Paslaugų teikėjas privalo nedelsdamas kreiptis į Perkančiąją organizaciją išaiškinimo. Paslaugų teikėjas atsako už tai, kad galutiniai paslaugų rezultatai būtų </w:t>
      </w:r>
      <w:r w:rsidRPr="00812A58">
        <w:rPr>
          <w:b/>
          <w:bCs/>
          <w:lang w:val="lt-LT"/>
        </w:rPr>
        <w:t>praktiškai pritaikomi</w:t>
      </w:r>
      <w:r w:rsidRPr="00812A58">
        <w:rPr>
          <w:lang w:val="lt-LT"/>
        </w:rPr>
        <w:t xml:space="preserve"> URM veikloje – dokumentai turi </w:t>
      </w:r>
      <w:r w:rsidR="00CF4C44" w:rsidRPr="00812A58">
        <w:rPr>
          <w:lang w:val="lt-LT"/>
        </w:rPr>
        <w:t>būti</w:t>
      </w:r>
      <w:r w:rsidR="00CF4C44">
        <w:rPr>
          <w:lang w:val="lt-LT"/>
        </w:rPr>
        <w:t xml:space="preserve"> aiškūs, tikslūs</w:t>
      </w:r>
      <w:r w:rsidRPr="00812A58">
        <w:rPr>
          <w:lang w:val="lt-LT"/>
        </w:rPr>
        <w:t>, konkretūs, neprieštarauti kitiems URM vidaus teisės aktams ar aukštesnės galios teisės aktams.</w:t>
      </w:r>
    </w:p>
    <w:p w14:paraId="64B70AB9" w14:textId="3E1B0238" w:rsidR="00C33FF3" w:rsidRPr="00812A58" w:rsidRDefault="004B4016" w:rsidP="00656FB9">
      <w:pPr>
        <w:pStyle w:val="Heading3"/>
        <w:rPr>
          <w:lang w:val="lt-LT"/>
        </w:rPr>
      </w:pPr>
      <w:r w:rsidRPr="00812A58">
        <w:rPr>
          <w:b/>
          <w:bCs/>
          <w:lang w:val="lt-LT"/>
        </w:rPr>
        <w:t>Rezultatų priėmimas:</w:t>
      </w:r>
      <w:r w:rsidRPr="00812A58">
        <w:rPr>
          <w:lang w:val="lt-LT"/>
        </w:rPr>
        <w:t xml:space="preserve"> Paslaugų </w:t>
      </w:r>
      <w:r w:rsidRPr="00656FB9">
        <w:rPr>
          <w:lang w:val="lt-LT"/>
        </w:rPr>
        <w:t>teikėjo</w:t>
      </w:r>
      <w:r w:rsidRPr="00812A58">
        <w:rPr>
          <w:lang w:val="lt-LT"/>
        </w:rPr>
        <w:t xml:space="preserve"> parengti ir suderinti dokumentai bus priimami </w:t>
      </w:r>
      <w:r w:rsidR="00BE342B">
        <w:rPr>
          <w:lang w:val="lt-LT"/>
        </w:rPr>
        <w:t xml:space="preserve">pirkimo </w:t>
      </w:r>
      <w:r w:rsidR="00BA3F4A">
        <w:rPr>
          <w:lang w:val="lt-LT"/>
        </w:rPr>
        <w:t>sutartyje nustatyta tvarka</w:t>
      </w:r>
      <w:r w:rsidRPr="00812A58">
        <w:rPr>
          <w:lang w:val="lt-LT"/>
        </w:rPr>
        <w:t xml:space="preserve">. Paslaugų teikėjas privalo pateikti </w:t>
      </w:r>
      <w:r w:rsidR="002E3595">
        <w:rPr>
          <w:lang w:val="lt-LT"/>
        </w:rPr>
        <w:t xml:space="preserve">Paslaugų </w:t>
      </w:r>
      <w:r w:rsidRPr="00812A58">
        <w:rPr>
          <w:lang w:val="lt-LT"/>
        </w:rPr>
        <w:t>perdavimo</w:t>
      </w:r>
      <w:r w:rsidR="002C71FD">
        <w:rPr>
          <w:lang w:val="lt-LT"/>
        </w:rPr>
        <w:t>–p</w:t>
      </w:r>
      <w:r w:rsidR="00BE342B">
        <w:rPr>
          <w:lang w:val="lt-LT"/>
        </w:rPr>
        <w:t>r</w:t>
      </w:r>
      <w:r w:rsidR="002C71FD">
        <w:rPr>
          <w:lang w:val="lt-LT"/>
        </w:rPr>
        <w:t>i</w:t>
      </w:r>
      <w:r w:rsidR="006A7DD4">
        <w:rPr>
          <w:lang w:val="lt-LT"/>
        </w:rPr>
        <w:t>ė</w:t>
      </w:r>
      <w:r w:rsidR="00DD72EB">
        <w:rPr>
          <w:lang w:val="lt-LT"/>
        </w:rPr>
        <w:t>mimo</w:t>
      </w:r>
      <w:r w:rsidRPr="00812A58">
        <w:rPr>
          <w:lang w:val="lt-LT"/>
        </w:rPr>
        <w:t xml:space="preserve"> aktui reikalingą dokumentų sąrašą, nurodant dokumentų pavadinimus ir redakcijų versijas. Neatskiriama paslaugų rezultato dalimi laikomas ir Perkančiajai organizacijai perduodamas Paslaugų teikėjo parengtas </w:t>
      </w:r>
      <w:r w:rsidRPr="00812A58">
        <w:rPr>
          <w:b/>
          <w:bCs/>
          <w:lang w:val="lt-LT"/>
        </w:rPr>
        <w:t>įgyvendinimo priemonių planas</w:t>
      </w:r>
      <w:r w:rsidRPr="00812A58">
        <w:rPr>
          <w:lang w:val="lt-LT"/>
        </w:rPr>
        <w:t xml:space="preserve">, jei jis buvo rengiamas rekomendacijų dokumente (žr. </w:t>
      </w:r>
      <w:r w:rsidR="00A103F8">
        <w:rPr>
          <w:lang w:val="lt-LT"/>
        </w:rPr>
        <w:t>techninės specifikacijos</w:t>
      </w:r>
      <w:r w:rsidRPr="00812A58">
        <w:rPr>
          <w:lang w:val="lt-LT"/>
        </w:rPr>
        <w:t xml:space="preserve"> </w:t>
      </w:r>
      <w:r w:rsidR="0071042D">
        <w:rPr>
          <w:lang w:val="lt-LT"/>
        </w:rPr>
        <w:fldChar w:fldCharType="begin"/>
      </w:r>
      <w:r w:rsidR="0071042D">
        <w:rPr>
          <w:lang w:val="lt-LT"/>
        </w:rPr>
        <w:instrText xml:space="preserve"> REF _Ref199617617 \n \h </w:instrText>
      </w:r>
      <w:r w:rsidR="0071042D">
        <w:rPr>
          <w:lang w:val="lt-LT"/>
        </w:rPr>
      </w:r>
      <w:r w:rsidR="0071042D">
        <w:rPr>
          <w:lang w:val="lt-LT"/>
        </w:rPr>
        <w:fldChar w:fldCharType="separate"/>
      </w:r>
      <w:r w:rsidR="0071042D">
        <w:rPr>
          <w:lang w:val="lt-LT"/>
        </w:rPr>
        <w:t>10.2</w:t>
      </w:r>
      <w:r w:rsidR="0071042D">
        <w:rPr>
          <w:lang w:val="lt-LT"/>
        </w:rPr>
        <w:fldChar w:fldCharType="end"/>
      </w:r>
      <w:r w:rsidRPr="00812A58">
        <w:rPr>
          <w:lang w:val="lt-LT"/>
        </w:rPr>
        <w:t xml:space="preserve"> </w:t>
      </w:r>
      <w:r w:rsidR="0071042D">
        <w:rPr>
          <w:lang w:val="lt-LT"/>
        </w:rPr>
        <w:t>pa</w:t>
      </w:r>
      <w:r w:rsidRPr="00812A58">
        <w:rPr>
          <w:lang w:val="lt-LT"/>
        </w:rPr>
        <w:t>punkt</w:t>
      </w:r>
      <w:r w:rsidR="0071042D">
        <w:rPr>
          <w:lang w:val="lt-LT"/>
        </w:rPr>
        <w:t>į</w:t>
      </w:r>
      <w:r w:rsidRPr="00812A58">
        <w:rPr>
          <w:lang w:val="lt-LT"/>
        </w:rPr>
        <w:t>).</w:t>
      </w:r>
    </w:p>
    <w:p w14:paraId="64B70ABA" w14:textId="5D273B07" w:rsidR="00C33FF3" w:rsidRPr="00812A58" w:rsidRDefault="004B4016" w:rsidP="002A008C">
      <w:pPr>
        <w:pStyle w:val="Heading2"/>
        <w:ind w:firstLine="720"/>
        <w:rPr>
          <w:szCs w:val="24"/>
        </w:rPr>
      </w:pPr>
      <w:r w:rsidRPr="00812A58">
        <w:rPr>
          <w:bCs/>
          <w:szCs w:val="24"/>
        </w:rPr>
        <w:lastRenderedPageBreak/>
        <w:t>KITOS SĄLYGOS</w:t>
      </w:r>
    </w:p>
    <w:p w14:paraId="64B70ABB" w14:textId="519001B6" w:rsidR="00C33FF3" w:rsidRPr="00812A58" w:rsidRDefault="004B4016" w:rsidP="00656FB9">
      <w:pPr>
        <w:pStyle w:val="Heading3"/>
        <w:rPr>
          <w:lang w:val="lt-LT"/>
        </w:rPr>
      </w:pPr>
      <w:bookmarkStart w:id="4" w:name="_Ref199617341"/>
      <w:r w:rsidRPr="03EA9A3F">
        <w:rPr>
          <w:b/>
          <w:bCs/>
          <w:lang w:val="lt-LT"/>
        </w:rPr>
        <w:t>Paslaugų teikimo terminas:</w:t>
      </w:r>
      <w:r w:rsidRPr="03EA9A3F">
        <w:rPr>
          <w:lang w:val="lt-LT"/>
        </w:rPr>
        <w:t xml:space="preserve"> Paslaugos turi būti </w:t>
      </w:r>
      <w:r w:rsidR="00A90B61" w:rsidRPr="03EA9A3F">
        <w:rPr>
          <w:lang w:val="lt-LT"/>
        </w:rPr>
        <w:t xml:space="preserve">visa apimtimi </w:t>
      </w:r>
      <w:r w:rsidRPr="03EA9A3F">
        <w:rPr>
          <w:lang w:val="lt-LT"/>
        </w:rPr>
        <w:t xml:space="preserve">suteiktos ne vėliau kaip per </w:t>
      </w:r>
      <w:r w:rsidR="003C4A9C">
        <w:rPr>
          <w:b/>
          <w:bCs/>
          <w:lang w:val="lt-LT"/>
        </w:rPr>
        <w:t>6</w:t>
      </w:r>
      <w:r w:rsidRPr="03EA9A3F">
        <w:rPr>
          <w:b/>
          <w:bCs/>
          <w:lang w:val="lt-LT"/>
        </w:rPr>
        <w:t xml:space="preserve"> (</w:t>
      </w:r>
      <w:r w:rsidR="003C4A9C">
        <w:rPr>
          <w:b/>
          <w:bCs/>
          <w:lang w:val="lt-LT"/>
        </w:rPr>
        <w:t>šešis</w:t>
      </w:r>
      <w:r w:rsidRPr="03EA9A3F">
        <w:rPr>
          <w:b/>
          <w:bCs/>
          <w:lang w:val="lt-LT"/>
        </w:rPr>
        <w:t>) mėnesius</w:t>
      </w:r>
      <w:r w:rsidRPr="03EA9A3F">
        <w:rPr>
          <w:lang w:val="lt-LT"/>
        </w:rPr>
        <w:t xml:space="preserve"> nuo </w:t>
      </w:r>
      <w:r w:rsidR="006A7DD4" w:rsidRPr="03EA9A3F">
        <w:rPr>
          <w:lang w:val="lt-LT"/>
        </w:rPr>
        <w:t xml:space="preserve">pirkimo </w:t>
      </w:r>
      <w:r w:rsidRPr="03EA9A3F">
        <w:rPr>
          <w:lang w:val="lt-LT"/>
        </w:rPr>
        <w:t xml:space="preserve">sutarties įsigaliojimo dienos. Paslaugų teikėjas privalo </w:t>
      </w:r>
      <w:r w:rsidR="00E6149A" w:rsidRPr="03EA9A3F">
        <w:rPr>
          <w:lang w:val="lt-LT"/>
        </w:rPr>
        <w:t xml:space="preserve">paslaugų </w:t>
      </w:r>
      <w:r w:rsidRPr="03EA9A3F">
        <w:rPr>
          <w:lang w:val="lt-LT"/>
        </w:rPr>
        <w:t xml:space="preserve">įgyvendinimą planuoti taip, kad iki šio termino būtų atliktas </w:t>
      </w:r>
      <w:r w:rsidR="000A24D3" w:rsidRPr="03EA9A3F">
        <w:rPr>
          <w:lang w:val="lt-LT"/>
        </w:rPr>
        <w:t>T</w:t>
      </w:r>
      <w:r w:rsidRPr="03EA9A3F">
        <w:rPr>
          <w:lang w:val="lt-LT"/>
        </w:rPr>
        <w:t>rūkumų vertinimas, parengti visi reikiami dokument</w:t>
      </w:r>
      <w:r w:rsidR="00306A02" w:rsidRPr="03EA9A3F">
        <w:rPr>
          <w:lang w:val="lt-LT"/>
        </w:rPr>
        <w:t>ai ir VTA</w:t>
      </w:r>
      <w:r w:rsidRPr="03EA9A3F">
        <w:rPr>
          <w:lang w:val="lt-LT"/>
        </w:rPr>
        <w:t xml:space="preserve"> projektai ir jie suderinti su Perkančiąja organizacija. Esant objektyvioms aplinkybėms, dėl kurių Paslaugų teikėjas negali laikytis nustatyto termino (pvz., dėl užsitęsusio derinimo ar nenumatytų kliūčių), jis privalo nedelsdamas informuoti Perkančiąją organizaciją ir suderinti galimus termino pratęsimo ar </w:t>
      </w:r>
      <w:r w:rsidR="00E91426" w:rsidRPr="03EA9A3F">
        <w:rPr>
          <w:lang w:val="lt-LT"/>
        </w:rPr>
        <w:t xml:space="preserve">paslaugų teikimo </w:t>
      </w:r>
      <w:r w:rsidRPr="03EA9A3F">
        <w:rPr>
          <w:lang w:val="lt-LT"/>
        </w:rPr>
        <w:t>grafikų pakeitimus.</w:t>
      </w:r>
      <w:bookmarkEnd w:id="4"/>
    </w:p>
    <w:p w14:paraId="64B70ABC" w14:textId="58E260F1" w:rsidR="00C33FF3" w:rsidRPr="00812A58" w:rsidRDefault="004B4016" w:rsidP="00656FB9">
      <w:pPr>
        <w:pStyle w:val="Heading3"/>
        <w:rPr>
          <w:lang w:val="lt-LT"/>
        </w:rPr>
      </w:pPr>
      <w:r w:rsidRPr="00812A58">
        <w:rPr>
          <w:b/>
          <w:bCs/>
          <w:lang w:val="lt-LT"/>
        </w:rPr>
        <w:t>Informacijos suteikimas:</w:t>
      </w:r>
      <w:r w:rsidRPr="00812A58">
        <w:rPr>
          <w:lang w:val="lt-LT"/>
        </w:rPr>
        <w:t xml:space="preserve"> </w:t>
      </w:r>
      <w:r w:rsidRPr="00656FB9">
        <w:rPr>
          <w:lang w:val="lt-LT"/>
        </w:rPr>
        <w:t>Perkančioji</w:t>
      </w:r>
      <w:r w:rsidRPr="00812A58">
        <w:rPr>
          <w:lang w:val="lt-LT"/>
        </w:rPr>
        <w:t xml:space="preserve"> organizacija užtikrina, kad Paslaugų teikėjui bus suteikta visa Paslaugoms atlikti reikalinga informacija ir prieiga prie atitinkamų dokumentų. Paslaugų teikėjo atstova</w:t>
      </w:r>
      <w:r w:rsidR="00633595">
        <w:rPr>
          <w:lang w:val="lt-LT"/>
        </w:rPr>
        <w:t>i</w:t>
      </w:r>
      <w:r w:rsidRPr="00812A58">
        <w:rPr>
          <w:lang w:val="lt-LT"/>
        </w:rPr>
        <w:t>, prieš pradeda</w:t>
      </w:r>
      <w:r w:rsidR="00633595">
        <w:rPr>
          <w:lang w:val="lt-LT"/>
        </w:rPr>
        <w:t>mi</w:t>
      </w:r>
      <w:r w:rsidRPr="00812A58">
        <w:rPr>
          <w:lang w:val="lt-LT"/>
        </w:rPr>
        <w:t xml:space="preserve"> </w:t>
      </w:r>
      <w:r w:rsidR="00633595">
        <w:rPr>
          <w:lang w:val="lt-LT"/>
        </w:rPr>
        <w:t>teikti paslaugas</w:t>
      </w:r>
      <w:r w:rsidRPr="00812A58">
        <w:rPr>
          <w:lang w:val="lt-LT"/>
        </w:rPr>
        <w:t xml:space="preserve">, </w:t>
      </w:r>
      <w:r w:rsidR="007B504F">
        <w:rPr>
          <w:lang w:val="lt-LT"/>
        </w:rPr>
        <w:t>privalės</w:t>
      </w:r>
      <w:r w:rsidR="007B504F" w:rsidRPr="00812A58">
        <w:rPr>
          <w:lang w:val="lt-LT"/>
        </w:rPr>
        <w:t xml:space="preserve"> </w:t>
      </w:r>
      <w:r w:rsidRPr="00812A58">
        <w:rPr>
          <w:lang w:val="lt-LT"/>
        </w:rPr>
        <w:t xml:space="preserve">pasirašyti konfidencialumo pasižadėjimus dėl </w:t>
      </w:r>
      <w:r w:rsidR="007B504F">
        <w:rPr>
          <w:lang w:val="lt-LT"/>
        </w:rPr>
        <w:t>paslaugu teikimo</w:t>
      </w:r>
      <w:r w:rsidR="007B504F" w:rsidRPr="00812A58">
        <w:rPr>
          <w:lang w:val="lt-LT"/>
        </w:rPr>
        <w:t xml:space="preserve"> </w:t>
      </w:r>
      <w:r w:rsidRPr="00812A58">
        <w:rPr>
          <w:lang w:val="lt-LT"/>
        </w:rPr>
        <w:t xml:space="preserve">metu gaunamos informacijos neatskleidimo. Tinkamai pasirašius konfidencialumo </w:t>
      </w:r>
      <w:r w:rsidR="00482CAA">
        <w:rPr>
          <w:lang w:val="lt-LT"/>
        </w:rPr>
        <w:t>pasižadėjimus</w:t>
      </w:r>
      <w:r w:rsidRPr="00812A58">
        <w:rPr>
          <w:lang w:val="lt-LT"/>
        </w:rPr>
        <w:t>, Paslaugų teikėjui bus sudarytos galimybės (esant poreikiui) apklausti kompetentingus URM darbuotojus, susipažinti su vidiniais procesais ir esamais dokumentais, kurie yra būtini Paslaugoms suteikti kokybiškai. Visos iš Perkančiosios organizacijos gautos dokumentų kopijos ar kita informacija Paslaugų teikėjui paslaugų teikimo pabaigoje turi būti grąžintos arba sunaikintos, jei tai numato konfidencialumo ar duomenų apsaugos reikalavimai.</w:t>
      </w:r>
    </w:p>
    <w:p w14:paraId="64B70ABD" w14:textId="3486E58C" w:rsidR="00C33FF3" w:rsidRPr="00812A58" w:rsidRDefault="004B4016" w:rsidP="00656FB9">
      <w:pPr>
        <w:pStyle w:val="Heading3"/>
        <w:rPr>
          <w:lang w:val="lt-LT"/>
        </w:rPr>
      </w:pPr>
      <w:r w:rsidRPr="00812A58">
        <w:rPr>
          <w:b/>
          <w:bCs/>
          <w:lang w:val="lt-LT"/>
        </w:rPr>
        <w:t>Atsiskaitymas:</w:t>
      </w:r>
      <w:r w:rsidRPr="00812A58">
        <w:rPr>
          <w:lang w:val="lt-LT"/>
        </w:rPr>
        <w:t xml:space="preserve"> Atsiskaitymo su Paslaugų teikėju tvarka bus nustatyta pirkimo sutartyje. Numatoma, kad galutinis apmokėjimas bus atliekamas tik Perkančiajai organizacijai priėmus visus paslaugų rezultatus ir pasirašius Paslaugų priėmimo–perdavimo aktą. Tarpiniai mokėjimai (avansas ar mokėjimas pagal etapus) galimi tik </w:t>
      </w:r>
      <w:r w:rsidR="003D66A8">
        <w:rPr>
          <w:lang w:val="lt-LT"/>
        </w:rPr>
        <w:t xml:space="preserve">pirkimo </w:t>
      </w:r>
      <w:r w:rsidRPr="00812A58">
        <w:rPr>
          <w:lang w:val="lt-LT"/>
        </w:rPr>
        <w:t>sutartyje nustatyta tvarka, jei Paslaugų teikėjas to paprašys ir tai bus ekonomiškai pagrįsta.</w:t>
      </w:r>
    </w:p>
    <w:p w14:paraId="64B70ABE" w14:textId="7FADE506" w:rsidR="00C33FF3" w:rsidRDefault="004B4016" w:rsidP="00656FB9">
      <w:pPr>
        <w:pStyle w:val="Heading3"/>
        <w:rPr>
          <w:lang w:val="lt-LT"/>
        </w:rPr>
      </w:pPr>
      <w:r w:rsidRPr="00812A58">
        <w:rPr>
          <w:b/>
          <w:bCs/>
          <w:lang w:val="lt-LT"/>
        </w:rPr>
        <w:t>Baigiamosios nuostatos:</w:t>
      </w:r>
      <w:r w:rsidRPr="00812A58">
        <w:rPr>
          <w:lang w:val="lt-LT"/>
        </w:rPr>
        <w:t xml:space="preserve"> Šios </w:t>
      </w:r>
      <w:r w:rsidRPr="00656FB9">
        <w:rPr>
          <w:lang w:val="lt-LT"/>
        </w:rPr>
        <w:t>techninės</w:t>
      </w:r>
      <w:r w:rsidRPr="00812A58">
        <w:rPr>
          <w:lang w:val="lt-LT"/>
        </w:rPr>
        <w:t xml:space="preserve"> specifikacijos reikalavimai yra privalomi. Paslaugų teikėjas, pateikdamas pasiūlymą, patvirtina, kad supranta ir įsipareigoja įvykdyti visus aukščiau išdėstytus reikalavimus. Neatitikimai ar nepilnas reikalavimų įgyvendinimas bus traktuojamas kaip netinkamas </w:t>
      </w:r>
      <w:r w:rsidR="00097D32">
        <w:rPr>
          <w:lang w:val="lt-LT"/>
        </w:rPr>
        <w:t xml:space="preserve">pirkimo </w:t>
      </w:r>
      <w:r w:rsidRPr="00812A58">
        <w:rPr>
          <w:lang w:val="lt-LT"/>
        </w:rPr>
        <w:t xml:space="preserve">sutarties vykdymas. Perkančioji organizacija pasilieka teisę tikrinti ir prižiūrėti Paslaugų teikėjo </w:t>
      </w:r>
      <w:r w:rsidR="00FB1EDB">
        <w:rPr>
          <w:lang w:val="lt-LT"/>
        </w:rPr>
        <w:t>teikiamas paslaugas</w:t>
      </w:r>
      <w:r w:rsidRPr="00812A58">
        <w:rPr>
          <w:lang w:val="lt-LT"/>
        </w:rPr>
        <w:t xml:space="preserve"> </w:t>
      </w:r>
      <w:r w:rsidR="00FB1EDB">
        <w:rPr>
          <w:lang w:val="lt-LT"/>
        </w:rPr>
        <w:t xml:space="preserve">pirkimo </w:t>
      </w:r>
      <w:r w:rsidRPr="00812A58">
        <w:rPr>
          <w:lang w:val="lt-LT"/>
        </w:rPr>
        <w:t>sutarties vykdymo metu, teikti papildomas pastabas ar reikalauti patikslinimų, siekiant galutinio Paslaugų rezultato kokybės.</w:t>
      </w:r>
    </w:p>
    <w:p w14:paraId="49A9E535" w14:textId="008F7B78" w:rsidR="003D5A5F" w:rsidRPr="00812A58" w:rsidRDefault="003D5A5F" w:rsidP="003D5A5F">
      <w:pPr>
        <w:pStyle w:val="ListParagraph"/>
        <w:jc w:val="center"/>
        <w:rPr>
          <w:rFonts w:ascii="Cambria" w:hAnsi="Cambria"/>
          <w:lang w:val="lt-LT"/>
        </w:rPr>
      </w:pPr>
      <w:r>
        <w:rPr>
          <w:rFonts w:ascii="Cambria" w:hAnsi="Cambria"/>
          <w:b/>
          <w:bCs/>
          <w:lang w:val="lt-LT"/>
        </w:rPr>
        <w:t>________________</w:t>
      </w:r>
    </w:p>
    <w:sectPr w:rsidR="003D5A5F" w:rsidRPr="00812A58" w:rsidSect="004110CC">
      <w:pgSz w:w="11906" w:h="16838"/>
      <w:pgMar w:top="1134" w:right="1134" w:bottom="1134"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60D7" w14:textId="77777777" w:rsidR="003E1B9F" w:rsidRDefault="003E1B9F">
      <w:pPr>
        <w:spacing w:after="0" w:line="240" w:lineRule="auto"/>
      </w:pPr>
      <w:r>
        <w:separator/>
      </w:r>
    </w:p>
  </w:endnote>
  <w:endnote w:type="continuationSeparator" w:id="0">
    <w:p w14:paraId="3423F138" w14:textId="77777777" w:rsidR="003E1B9F" w:rsidRDefault="003E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9F4F" w14:textId="77777777" w:rsidR="003E1B9F" w:rsidRDefault="003E1B9F">
      <w:pPr>
        <w:spacing w:after="0" w:line="240" w:lineRule="auto"/>
      </w:pPr>
      <w:r>
        <w:separator/>
      </w:r>
    </w:p>
  </w:footnote>
  <w:footnote w:type="continuationSeparator" w:id="0">
    <w:p w14:paraId="16E19186" w14:textId="77777777" w:rsidR="003E1B9F" w:rsidRDefault="003E1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F499C"/>
    <w:multiLevelType w:val="multilevel"/>
    <w:tmpl w:val="E06C3FFE"/>
    <w:lvl w:ilvl="0">
      <w:start w:val="1"/>
      <w:numFmt w:val="none"/>
      <w:pStyle w:val="Heading1"/>
      <w:suff w:val="nothing"/>
      <w:lvlText w:val="%1"/>
      <w:lvlJc w:val="left"/>
      <w:pPr>
        <w:ind w:left="0" w:firstLine="0"/>
      </w:pPr>
      <w:rPr>
        <w:rFonts w:hint="default"/>
      </w:rPr>
    </w:lvl>
    <w:lvl w:ilvl="1">
      <w:start w:val="1"/>
      <w:numFmt w:val="upperRoman"/>
      <w:pStyle w:val="Heading2"/>
      <w:suff w:val="space"/>
      <w:lvlText w:val="%2."/>
      <w:lvlJc w:val="left"/>
      <w:pPr>
        <w:ind w:left="0" w:firstLine="0"/>
      </w:pPr>
      <w:rPr>
        <w:rFonts w:ascii="Cambria" w:hAnsi="Cambria" w:hint="default"/>
        <w:b/>
        <w:i w:val="0"/>
        <w:caps/>
        <w:color w:val="auto"/>
        <w:sz w:val="24"/>
      </w:rPr>
    </w:lvl>
    <w:lvl w:ilvl="2">
      <w:start w:val="1"/>
      <w:numFmt w:val="decimal"/>
      <w:lvlRestart w:val="1"/>
      <w:pStyle w:val="Heading3"/>
      <w:suff w:val="space"/>
      <w:lvlText w:val="%3."/>
      <w:lvlJc w:val="left"/>
      <w:pPr>
        <w:ind w:left="0" w:firstLine="0"/>
      </w:pPr>
      <w:rPr>
        <w:rFonts w:ascii="Cambria" w:hAnsi="Cambria" w:hint="default"/>
        <w:b w:val="0"/>
        <w:i w:val="0"/>
        <w:color w:val="auto"/>
        <w:sz w:val="24"/>
      </w:rPr>
    </w:lvl>
    <w:lvl w:ilvl="3">
      <w:start w:val="1"/>
      <w:numFmt w:val="decimal"/>
      <w:pStyle w:val="Heading4"/>
      <w:suff w:val="space"/>
      <w:lvlText w:val="%1%3.%4."/>
      <w:lvlJc w:val="left"/>
      <w:pPr>
        <w:ind w:left="0" w:firstLine="0"/>
      </w:pPr>
      <w:rPr>
        <w:rFonts w:ascii="Cambria" w:hAnsi="Cambria" w:hint="default"/>
        <w:b w:val="0"/>
        <w:i w:val="0"/>
        <w:color w:val="auto"/>
        <w:sz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805464491">
    <w:abstractNumId w:val="0"/>
  </w:num>
  <w:num w:numId="2" w16cid:durableId="9779593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F3"/>
    <w:rsid w:val="00007F0F"/>
    <w:rsid w:val="000129E1"/>
    <w:rsid w:val="00030BCB"/>
    <w:rsid w:val="00091E27"/>
    <w:rsid w:val="00094827"/>
    <w:rsid w:val="00097D32"/>
    <w:rsid w:val="00097FE2"/>
    <w:rsid w:val="000A24D3"/>
    <w:rsid w:val="000B7756"/>
    <w:rsid w:val="000C0B00"/>
    <w:rsid w:val="000C1BC0"/>
    <w:rsid w:val="000C2944"/>
    <w:rsid w:val="000C4C2B"/>
    <w:rsid w:val="00120B94"/>
    <w:rsid w:val="00123A61"/>
    <w:rsid w:val="00136C2C"/>
    <w:rsid w:val="00136DD1"/>
    <w:rsid w:val="001414FD"/>
    <w:rsid w:val="00151B7B"/>
    <w:rsid w:val="001573FE"/>
    <w:rsid w:val="00175878"/>
    <w:rsid w:val="001762C5"/>
    <w:rsid w:val="00180E78"/>
    <w:rsid w:val="00184093"/>
    <w:rsid w:val="001B24CD"/>
    <w:rsid w:val="001C3D39"/>
    <w:rsid w:val="001C6CC7"/>
    <w:rsid w:val="0021173E"/>
    <w:rsid w:val="00224988"/>
    <w:rsid w:val="00226DF3"/>
    <w:rsid w:val="00231D44"/>
    <w:rsid w:val="00265E9F"/>
    <w:rsid w:val="00276019"/>
    <w:rsid w:val="0029362A"/>
    <w:rsid w:val="002A008C"/>
    <w:rsid w:val="002A3B53"/>
    <w:rsid w:val="002A6DA7"/>
    <w:rsid w:val="002C1358"/>
    <w:rsid w:val="002C36FA"/>
    <w:rsid w:val="002C683D"/>
    <w:rsid w:val="002C71FD"/>
    <w:rsid w:val="002D6AE1"/>
    <w:rsid w:val="002E3595"/>
    <w:rsid w:val="002F0E09"/>
    <w:rsid w:val="00306A02"/>
    <w:rsid w:val="00307D77"/>
    <w:rsid w:val="003137AE"/>
    <w:rsid w:val="003403C8"/>
    <w:rsid w:val="0036783E"/>
    <w:rsid w:val="00387F6F"/>
    <w:rsid w:val="003944AD"/>
    <w:rsid w:val="003C4A9C"/>
    <w:rsid w:val="003D5A5F"/>
    <w:rsid w:val="003D66A8"/>
    <w:rsid w:val="003E1B9F"/>
    <w:rsid w:val="003F48E1"/>
    <w:rsid w:val="0040288F"/>
    <w:rsid w:val="004110CC"/>
    <w:rsid w:val="00424131"/>
    <w:rsid w:val="004257B2"/>
    <w:rsid w:val="004663DD"/>
    <w:rsid w:val="004678A4"/>
    <w:rsid w:val="00473BC4"/>
    <w:rsid w:val="00475B51"/>
    <w:rsid w:val="00482CAA"/>
    <w:rsid w:val="004B4016"/>
    <w:rsid w:val="004F2184"/>
    <w:rsid w:val="004F57C7"/>
    <w:rsid w:val="00511787"/>
    <w:rsid w:val="0054375D"/>
    <w:rsid w:val="00560114"/>
    <w:rsid w:val="00586168"/>
    <w:rsid w:val="005D1766"/>
    <w:rsid w:val="005E757B"/>
    <w:rsid w:val="005F229C"/>
    <w:rsid w:val="0060141F"/>
    <w:rsid w:val="00606606"/>
    <w:rsid w:val="00614453"/>
    <w:rsid w:val="00633595"/>
    <w:rsid w:val="006543F8"/>
    <w:rsid w:val="0065691A"/>
    <w:rsid w:val="00656FB9"/>
    <w:rsid w:val="006734F6"/>
    <w:rsid w:val="00685AA1"/>
    <w:rsid w:val="006A7DD4"/>
    <w:rsid w:val="006B605D"/>
    <w:rsid w:val="006B7B23"/>
    <w:rsid w:val="006C36F1"/>
    <w:rsid w:val="006C3839"/>
    <w:rsid w:val="006C555F"/>
    <w:rsid w:val="006E2D89"/>
    <w:rsid w:val="006E7A07"/>
    <w:rsid w:val="0071042D"/>
    <w:rsid w:val="0071651B"/>
    <w:rsid w:val="0072030B"/>
    <w:rsid w:val="007414F8"/>
    <w:rsid w:val="007525C5"/>
    <w:rsid w:val="0077179D"/>
    <w:rsid w:val="0077418C"/>
    <w:rsid w:val="00780F5D"/>
    <w:rsid w:val="007A6421"/>
    <w:rsid w:val="007B1CA3"/>
    <w:rsid w:val="007B504F"/>
    <w:rsid w:val="007C4536"/>
    <w:rsid w:val="007D224C"/>
    <w:rsid w:val="007D2672"/>
    <w:rsid w:val="007D4DAA"/>
    <w:rsid w:val="007E7AB7"/>
    <w:rsid w:val="008129CE"/>
    <w:rsid w:val="00812A58"/>
    <w:rsid w:val="00815E00"/>
    <w:rsid w:val="008613D3"/>
    <w:rsid w:val="008A0ED1"/>
    <w:rsid w:val="008A6B86"/>
    <w:rsid w:val="008C4189"/>
    <w:rsid w:val="008E6522"/>
    <w:rsid w:val="008F1422"/>
    <w:rsid w:val="0094209C"/>
    <w:rsid w:val="00980D32"/>
    <w:rsid w:val="009A4534"/>
    <w:rsid w:val="009A6C87"/>
    <w:rsid w:val="009E60E3"/>
    <w:rsid w:val="009E7F52"/>
    <w:rsid w:val="00A06A7B"/>
    <w:rsid w:val="00A07EAC"/>
    <w:rsid w:val="00A103F8"/>
    <w:rsid w:val="00A33D5D"/>
    <w:rsid w:val="00A342A2"/>
    <w:rsid w:val="00A407D4"/>
    <w:rsid w:val="00A578CF"/>
    <w:rsid w:val="00A73A09"/>
    <w:rsid w:val="00A90B61"/>
    <w:rsid w:val="00A926A1"/>
    <w:rsid w:val="00AB4DA1"/>
    <w:rsid w:val="00AC36C4"/>
    <w:rsid w:val="00AF3786"/>
    <w:rsid w:val="00B10893"/>
    <w:rsid w:val="00B17AF1"/>
    <w:rsid w:val="00B2766C"/>
    <w:rsid w:val="00B6163F"/>
    <w:rsid w:val="00B76649"/>
    <w:rsid w:val="00BA3F4A"/>
    <w:rsid w:val="00BA4866"/>
    <w:rsid w:val="00BD2BDA"/>
    <w:rsid w:val="00BE342B"/>
    <w:rsid w:val="00C16E02"/>
    <w:rsid w:val="00C33FF3"/>
    <w:rsid w:val="00C43357"/>
    <w:rsid w:val="00C45A82"/>
    <w:rsid w:val="00C709D5"/>
    <w:rsid w:val="00C7371F"/>
    <w:rsid w:val="00CB0658"/>
    <w:rsid w:val="00CD5FDA"/>
    <w:rsid w:val="00CF4C44"/>
    <w:rsid w:val="00D249BF"/>
    <w:rsid w:val="00D414D8"/>
    <w:rsid w:val="00D51A6D"/>
    <w:rsid w:val="00D5782B"/>
    <w:rsid w:val="00D8650A"/>
    <w:rsid w:val="00DD136D"/>
    <w:rsid w:val="00DD310F"/>
    <w:rsid w:val="00DD72EB"/>
    <w:rsid w:val="00DF78E3"/>
    <w:rsid w:val="00E40AA3"/>
    <w:rsid w:val="00E5442A"/>
    <w:rsid w:val="00E6149A"/>
    <w:rsid w:val="00E723C6"/>
    <w:rsid w:val="00E91426"/>
    <w:rsid w:val="00EA08B1"/>
    <w:rsid w:val="00EB53BB"/>
    <w:rsid w:val="00ED0250"/>
    <w:rsid w:val="00F05818"/>
    <w:rsid w:val="00F1195E"/>
    <w:rsid w:val="00F12647"/>
    <w:rsid w:val="00F2118A"/>
    <w:rsid w:val="00F543F5"/>
    <w:rsid w:val="00F550E8"/>
    <w:rsid w:val="00F640F2"/>
    <w:rsid w:val="00F66CED"/>
    <w:rsid w:val="00F80EAC"/>
    <w:rsid w:val="00F81587"/>
    <w:rsid w:val="00F83A07"/>
    <w:rsid w:val="00F845B0"/>
    <w:rsid w:val="00F84D67"/>
    <w:rsid w:val="00F919F7"/>
    <w:rsid w:val="00FB1EDB"/>
    <w:rsid w:val="03EA9A3F"/>
    <w:rsid w:val="0A8459FA"/>
    <w:rsid w:val="1CCDC678"/>
    <w:rsid w:val="34ADB2B9"/>
    <w:rsid w:val="49165808"/>
    <w:rsid w:val="67E58542"/>
    <w:rsid w:val="7FF3E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0A7D"/>
  <w15:docId w15:val="{FC05D93C-B457-42C7-B302-A5806F2F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26A1"/>
    <w:pPr>
      <w:keepNext/>
      <w:keepLines/>
      <w:numPr>
        <w:numId w:val="1"/>
      </w:numPr>
      <w:spacing w:after="480" w:line="259" w:lineRule="auto"/>
      <w:jc w:val="center"/>
      <w:outlineLvl w:val="0"/>
    </w:pPr>
    <w:rPr>
      <w:rFonts w:ascii="Cambria" w:eastAsiaTheme="majorEastAsia" w:hAnsi="Cambria" w:cstheme="majorBidi"/>
      <w:b/>
      <w:caps/>
      <w:szCs w:val="40"/>
    </w:rPr>
  </w:style>
  <w:style w:type="paragraph" w:styleId="Heading2">
    <w:name w:val="heading 2"/>
    <w:basedOn w:val="Normal"/>
    <w:next w:val="Normal"/>
    <w:link w:val="Heading2Char"/>
    <w:autoRedefine/>
    <w:uiPriority w:val="9"/>
    <w:unhideWhenUsed/>
    <w:rsid w:val="002A008C"/>
    <w:pPr>
      <w:keepNext/>
      <w:keepLines/>
      <w:numPr>
        <w:ilvl w:val="1"/>
        <w:numId w:val="1"/>
      </w:numPr>
      <w:spacing w:before="480" w:after="240" w:line="259" w:lineRule="auto"/>
      <w:outlineLvl w:val="1"/>
    </w:pPr>
    <w:rPr>
      <w:rFonts w:ascii="Cambria" w:eastAsiaTheme="majorEastAsia" w:hAnsi="Cambria" w:cstheme="majorBidi"/>
      <w:b/>
      <w:caps/>
      <w:szCs w:val="32"/>
      <w:lang w:val="lt-LT"/>
    </w:rPr>
  </w:style>
  <w:style w:type="paragraph" w:styleId="Heading3">
    <w:name w:val="heading 3"/>
    <w:basedOn w:val="Normal"/>
    <w:next w:val="Normal"/>
    <w:link w:val="Heading3Char"/>
    <w:autoRedefine/>
    <w:uiPriority w:val="9"/>
    <w:unhideWhenUsed/>
    <w:rsid w:val="00656FB9"/>
    <w:pPr>
      <w:numPr>
        <w:ilvl w:val="2"/>
        <w:numId w:val="1"/>
      </w:numPr>
      <w:spacing w:after="60" w:line="259" w:lineRule="auto"/>
      <w:ind w:firstLine="720"/>
      <w:jc w:val="both"/>
      <w:outlineLvl w:val="2"/>
    </w:pPr>
    <w:rPr>
      <w:rFonts w:ascii="Cambria" w:eastAsiaTheme="majorEastAsia" w:hAnsi="Cambria" w:cstheme="majorBidi"/>
      <w:szCs w:val="28"/>
    </w:rPr>
  </w:style>
  <w:style w:type="paragraph" w:styleId="Heading4">
    <w:name w:val="heading 4"/>
    <w:basedOn w:val="Normal"/>
    <w:next w:val="Normal"/>
    <w:link w:val="Heading4Char"/>
    <w:autoRedefine/>
    <w:uiPriority w:val="9"/>
    <w:unhideWhenUsed/>
    <w:rsid w:val="00656FB9"/>
    <w:pPr>
      <w:numPr>
        <w:ilvl w:val="3"/>
        <w:numId w:val="1"/>
      </w:numPr>
      <w:spacing w:after="60" w:line="259" w:lineRule="auto"/>
      <w:jc w:val="both"/>
      <w:outlineLvl w:val="3"/>
    </w:pPr>
    <w:rPr>
      <w:rFonts w:ascii="Cambria" w:eastAsiaTheme="majorEastAsia" w:hAnsi="Cambria" w:cstheme="majorBidi"/>
      <w:iCs/>
    </w:rPr>
  </w:style>
  <w:style w:type="paragraph" w:styleId="Heading5">
    <w:name w:val="heading 5"/>
    <w:basedOn w:val="Normal"/>
    <w:next w:val="Normal"/>
    <w:link w:val="Heading5Char"/>
    <w:uiPriority w:val="9"/>
    <w:unhideWhenUsed/>
    <w:qFormat/>
    <w:pPr>
      <w:keepNext/>
      <w:keepLines/>
      <w:numPr>
        <w:ilvl w:val="4"/>
        <w:numId w:val="1"/>
      </w:numPr>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numPr>
        <w:ilvl w:val="6"/>
        <w:numId w:val="1"/>
      </w:numPr>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numPr>
        <w:ilvl w:val="7"/>
        <w:numId w:val="1"/>
      </w:numPr>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numPr>
        <w:ilvl w:val="8"/>
        <w:numId w:val="1"/>
      </w:numPr>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A1"/>
    <w:rPr>
      <w:rFonts w:ascii="Cambria" w:eastAsiaTheme="majorEastAsia" w:hAnsi="Cambria" w:cstheme="majorBidi"/>
      <w:b/>
      <w:caps/>
      <w:szCs w:val="40"/>
    </w:rPr>
  </w:style>
  <w:style w:type="character" w:customStyle="1" w:styleId="Heading2Char">
    <w:name w:val="Heading 2 Char"/>
    <w:basedOn w:val="DefaultParagraphFont"/>
    <w:link w:val="Heading2"/>
    <w:uiPriority w:val="9"/>
    <w:rsid w:val="002A008C"/>
    <w:rPr>
      <w:rFonts w:ascii="Cambria" w:eastAsiaTheme="majorEastAsia" w:hAnsi="Cambria" w:cstheme="majorBidi"/>
      <w:b/>
      <w:caps/>
      <w:szCs w:val="32"/>
      <w:lang w:val="lt-LT"/>
    </w:rPr>
  </w:style>
  <w:style w:type="character" w:customStyle="1" w:styleId="Heading3Char">
    <w:name w:val="Heading 3 Char"/>
    <w:basedOn w:val="DefaultParagraphFont"/>
    <w:link w:val="Heading3"/>
    <w:uiPriority w:val="9"/>
    <w:rsid w:val="00656FB9"/>
    <w:rPr>
      <w:rFonts w:ascii="Cambria" w:eastAsiaTheme="majorEastAsia" w:hAnsi="Cambria" w:cstheme="majorBidi"/>
      <w:szCs w:val="28"/>
    </w:rPr>
  </w:style>
  <w:style w:type="character" w:customStyle="1" w:styleId="Heading4Char">
    <w:name w:val="Heading 4 Char"/>
    <w:basedOn w:val="DefaultParagraphFont"/>
    <w:link w:val="Heading4"/>
    <w:uiPriority w:val="9"/>
    <w:rsid w:val="00656FB9"/>
    <w:rPr>
      <w:rFonts w:ascii="Cambria" w:eastAsiaTheme="majorEastAsia" w:hAnsi="Cambria" w:cstheme="majorBidi"/>
      <w:iCs/>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Revision">
    <w:name w:val="Revision"/>
    <w:hidden/>
    <w:uiPriority w:val="99"/>
    <w:semiHidden/>
    <w:rsid w:val="004110CC"/>
    <w:pPr>
      <w:spacing w:after="0" w:line="240" w:lineRule="auto"/>
    </w:pPr>
  </w:style>
  <w:style w:type="character" w:styleId="CommentReference">
    <w:name w:val="annotation reference"/>
    <w:basedOn w:val="DefaultParagraphFont"/>
    <w:uiPriority w:val="99"/>
    <w:semiHidden/>
    <w:unhideWhenUsed/>
    <w:rsid w:val="006C36F1"/>
    <w:rPr>
      <w:sz w:val="16"/>
      <w:szCs w:val="16"/>
    </w:rPr>
  </w:style>
  <w:style w:type="paragraph" w:styleId="CommentText">
    <w:name w:val="annotation text"/>
    <w:basedOn w:val="Normal"/>
    <w:link w:val="CommentTextChar"/>
    <w:uiPriority w:val="99"/>
    <w:unhideWhenUsed/>
    <w:rsid w:val="006C36F1"/>
    <w:pPr>
      <w:spacing w:line="240" w:lineRule="auto"/>
    </w:pPr>
    <w:rPr>
      <w:sz w:val="20"/>
      <w:szCs w:val="20"/>
    </w:rPr>
  </w:style>
  <w:style w:type="character" w:customStyle="1" w:styleId="CommentTextChar">
    <w:name w:val="Comment Text Char"/>
    <w:basedOn w:val="DefaultParagraphFont"/>
    <w:link w:val="CommentText"/>
    <w:uiPriority w:val="99"/>
    <w:rsid w:val="006C36F1"/>
    <w:rPr>
      <w:sz w:val="20"/>
      <w:szCs w:val="20"/>
    </w:rPr>
  </w:style>
  <w:style w:type="paragraph" w:styleId="CommentSubject">
    <w:name w:val="annotation subject"/>
    <w:basedOn w:val="CommentText"/>
    <w:next w:val="CommentText"/>
    <w:link w:val="CommentSubjectChar"/>
    <w:uiPriority w:val="99"/>
    <w:semiHidden/>
    <w:unhideWhenUsed/>
    <w:rsid w:val="006C36F1"/>
    <w:rPr>
      <w:b/>
      <w:bCs/>
    </w:rPr>
  </w:style>
  <w:style w:type="character" w:customStyle="1" w:styleId="CommentSubjectChar">
    <w:name w:val="Comment Subject Char"/>
    <w:basedOn w:val="CommentTextChar"/>
    <w:link w:val="CommentSubject"/>
    <w:uiPriority w:val="99"/>
    <w:semiHidden/>
    <w:rsid w:val="006C36F1"/>
    <w:rPr>
      <w:b/>
      <w:bCs/>
      <w:sz w:val="20"/>
      <w:szCs w:val="20"/>
    </w:rPr>
  </w:style>
  <w:style w:type="character" w:styleId="Mention">
    <w:name w:val="Mention"/>
    <w:basedOn w:val="DefaultParagraphFont"/>
    <w:uiPriority w:val="99"/>
    <w:unhideWhenUsed/>
    <w:rsid w:val="002C13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0006">
      <w:bodyDiv w:val="1"/>
      <w:marLeft w:val="0"/>
      <w:marRight w:val="0"/>
      <w:marTop w:val="0"/>
      <w:marBottom w:val="0"/>
      <w:divBdr>
        <w:top w:val="none" w:sz="0" w:space="0" w:color="auto"/>
        <w:left w:val="none" w:sz="0" w:space="0" w:color="auto"/>
        <w:bottom w:val="none" w:sz="0" w:space="0" w:color="auto"/>
        <w:right w:val="none" w:sz="0" w:space="0" w:color="auto"/>
      </w:divBdr>
    </w:div>
    <w:div w:id="95829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4" ma:contentTypeDescription="Kurkite naują dokumentą." ma:contentTypeScope="" ma:versionID="a0cb919ecc986ea6b47293707a44f649">
  <xsd:schema xmlns:xsd="http://www.w3.org/2001/XMLSchema" xmlns:xs="http://www.w3.org/2001/XMLSchema" xmlns:p="http://schemas.microsoft.com/office/2006/metadata/properties" xmlns:ns2="508e89f7-df23-4326-bca0-be229f7f83a4" targetNamespace="http://schemas.microsoft.com/office/2006/metadata/properties" ma:root="true" ma:fieldsID="4d08bfba9609cfd3f31c1ebf039d679e"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18DB7-D08A-4468-8573-FC6E964ECF16}">
  <ds:schemaRefs>
    <ds:schemaRef ds:uri="http://schemas.microsoft.com/sharepoint/v3/contenttype/forms"/>
  </ds:schemaRefs>
</ds:datastoreItem>
</file>

<file path=customXml/itemProps2.xml><?xml version="1.0" encoding="utf-8"?>
<ds:datastoreItem xmlns:ds="http://schemas.openxmlformats.org/officeDocument/2006/customXml" ds:itemID="{93584B5B-5D46-41CD-8D97-508FB93083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A6514E-DDD6-42C3-84E5-1C2AC30F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E68D3-DB12-490C-9C9C-4A8A2476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11812</Words>
  <Characters>6734</Characters>
  <Application>Microsoft Office Word</Application>
  <DocSecurity>0</DocSecurity>
  <Lines>56</Lines>
  <Paragraphs>37</Paragraphs>
  <ScaleCrop>false</ScaleCrop>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2025-06-05T13:26:00Z</dcterms:created>
  <dc:creator>Leongin GRIGORJEV</dc:creator>
  <cp:lastModifiedBy>Leongin GRIGORJEV</cp:lastModifiedBy>
  <dcterms:modified xsi:type="dcterms:W3CDTF">2025-06-05T13:44:00Z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0x01010076E80DA654E574428ED304B1EDDAD375</vt:lpwstr>
  </property>
  <property fmtid="{D5CDD505-2E9C-101B-9397-08002B2CF9AE}" pid="3" name="MediaServiceImageTags">
    <vt:lpwstr/>
  </property>
</Properties>
</file>