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FC1C" w14:textId="1679999D" w:rsidR="00A24A56" w:rsidRPr="006D5026" w:rsidRDefault="008D7BD7" w:rsidP="00C11400">
      <w:pPr>
        <w:jc w:val="right"/>
        <w:rPr>
          <w:szCs w:val="24"/>
        </w:rPr>
      </w:pPr>
      <w:r w:rsidRPr="006D5026">
        <w:rPr>
          <w:szCs w:val="24"/>
        </w:rPr>
        <w:t>A</w:t>
      </w:r>
      <w:r w:rsidR="00066463" w:rsidRPr="006D5026">
        <w:rPr>
          <w:szCs w:val="24"/>
        </w:rPr>
        <w:t>tviro k</w:t>
      </w:r>
      <w:r w:rsidR="00A24A56" w:rsidRPr="006D5026">
        <w:rPr>
          <w:szCs w:val="24"/>
        </w:rPr>
        <w:t xml:space="preserve">onkurso sąlygų </w:t>
      </w:r>
      <w:r w:rsidR="004F72E9" w:rsidRPr="006D5026">
        <w:rPr>
          <w:szCs w:val="24"/>
        </w:rPr>
        <w:t>3</w:t>
      </w:r>
      <w:r w:rsidR="00A24A56" w:rsidRPr="006D5026">
        <w:rPr>
          <w:szCs w:val="24"/>
        </w:rPr>
        <w:t xml:space="preserve"> priedas</w:t>
      </w:r>
    </w:p>
    <w:p w14:paraId="54C3FFD9" w14:textId="77777777" w:rsidR="005F40B6" w:rsidRPr="006D5026" w:rsidRDefault="005F40B6" w:rsidP="00C11400">
      <w:pPr>
        <w:jc w:val="center"/>
        <w:rPr>
          <w:rFonts w:eastAsia="Calibri"/>
          <w:b/>
          <w:szCs w:val="24"/>
          <w:lang w:eastAsia="lt-LT"/>
        </w:rPr>
      </w:pPr>
    </w:p>
    <w:p w14:paraId="4640E261" w14:textId="1ABB8DEE" w:rsidR="00A24A56" w:rsidRPr="006D5026" w:rsidRDefault="00BA34AC" w:rsidP="00C11400">
      <w:pPr>
        <w:jc w:val="center"/>
        <w:rPr>
          <w:b/>
          <w:bCs/>
          <w:szCs w:val="24"/>
        </w:rPr>
      </w:pPr>
      <w:r w:rsidRPr="006D5026">
        <w:rPr>
          <w:rFonts w:eastAsia="Calibri"/>
          <w:b/>
          <w:szCs w:val="24"/>
          <w:lang w:eastAsia="lt-LT"/>
        </w:rPr>
        <w:t>AUTOMATI</w:t>
      </w:r>
      <w:r w:rsidR="00995300" w:rsidRPr="006D5026">
        <w:rPr>
          <w:rFonts w:eastAsia="Calibri"/>
          <w:b/>
          <w:szCs w:val="24"/>
          <w:lang w:eastAsia="lt-LT"/>
        </w:rPr>
        <w:t>N</w:t>
      </w:r>
      <w:r w:rsidR="00DD28C1">
        <w:rPr>
          <w:rFonts w:eastAsia="Calibri"/>
          <w:b/>
          <w:szCs w:val="24"/>
          <w:lang w:eastAsia="lt-LT"/>
        </w:rPr>
        <w:t xml:space="preserve">IO HEMATOLOGINIO ANALIZATORIAUS </w:t>
      </w:r>
      <w:r w:rsidR="00A24A56" w:rsidRPr="006D5026">
        <w:rPr>
          <w:b/>
          <w:bCs/>
          <w:szCs w:val="24"/>
        </w:rPr>
        <w:t xml:space="preserve">TECHNINĖ SPECIFIKACIJA </w:t>
      </w:r>
    </w:p>
    <w:p w14:paraId="587711CF" w14:textId="6AF30C69" w:rsidR="00CE7781" w:rsidRPr="006D5026" w:rsidRDefault="00CE7781" w:rsidP="00C11400">
      <w:pPr>
        <w:jc w:val="center"/>
        <w:rPr>
          <w:b/>
          <w:bCs/>
          <w:szCs w:val="24"/>
        </w:rPr>
      </w:pPr>
    </w:p>
    <w:p w14:paraId="32ED7506" w14:textId="3E0C2950" w:rsidR="00A24A56" w:rsidRPr="006D5026" w:rsidRDefault="008A6958" w:rsidP="00C11400">
      <w:pPr>
        <w:tabs>
          <w:tab w:val="left" w:pos="1350"/>
          <w:tab w:val="left" w:pos="1440"/>
        </w:tabs>
        <w:suppressAutoHyphens/>
        <w:ind w:hanging="90"/>
        <w:jc w:val="right"/>
        <w:rPr>
          <w:b/>
          <w:bCs/>
          <w:szCs w:val="24"/>
          <w:lang w:eastAsia="ar-SA"/>
        </w:rPr>
      </w:pPr>
      <w:r w:rsidRPr="006D5026">
        <w:rPr>
          <w:b/>
          <w:bCs/>
          <w:szCs w:val="24"/>
          <w:lang w:eastAsia="ar-SA"/>
        </w:rPr>
        <w:t>1</w:t>
      </w:r>
      <w:r w:rsidR="00A24A56" w:rsidRPr="006D5026">
        <w:rPr>
          <w:b/>
          <w:bCs/>
          <w:szCs w:val="24"/>
          <w:lang w:eastAsia="ar-SA"/>
        </w:rPr>
        <w:t xml:space="preserve"> lentelė</w:t>
      </w:r>
    </w:p>
    <w:tbl>
      <w:tblPr>
        <w:tblStyle w:val="TableGrid"/>
        <w:tblW w:w="15559" w:type="dxa"/>
        <w:tblInd w:w="-815" w:type="dxa"/>
        <w:tblLayout w:type="fixed"/>
        <w:tblLook w:val="04A0" w:firstRow="1" w:lastRow="0" w:firstColumn="1" w:lastColumn="0" w:noHBand="0" w:noVBand="1"/>
      </w:tblPr>
      <w:tblGrid>
        <w:gridCol w:w="990"/>
        <w:gridCol w:w="3364"/>
        <w:gridCol w:w="5110"/>
        <w:gridCol w:w="2880"/>
        <w:gridCol w:w="3215"/>
      </w:tblGrid>
      <w:tr w:rsidR="006D5026" w:rsidRPr="006D5026" w14:paraId="1B796A53" w14:textId="77777777" w:rsidTr="00CE7781">
        <w:tc>
          <w:tcPr>
            <w:tcW w:w="990" w:type="dxa"/>
          </w:tcPr>
          <w:p w14:paraId="55CB5D09" w14:textId="75BD1655" w:rsidR="0061290C" w:rsidRPr="006D5026" w:rsidRDefault="00A24A56" w:rsidP="00C11400">
            <w:pPr>
              <w:jc w:val="center"/>
              <w:rPr>
                <w:rFonts w:eastAsia="Calibri"/>
                <w:b/>
                <w:szCs w:val="24"/>
              </w:rPr>
            </w:pPr>
            <w:r w:rsidRPr="006D5026">
              <w:rPr>
                <w:rFonts w:eastAsia="Calibri"/>
                <w:b/>
                <w:szCs w:val="24"/>
              </w:rPr>
              <w:t>Eil.</w:t>
            </w:r>
          </w:p>
          <w:p w14:paraId="5AAF3D6C" w14:textId="40BAB555" w:rsidR="00A24A56" w:rsidRPr="006D5026" w:rsidRDefault="00A24A56" w:rsidP="00C11400">
            <w:pPr>
              <w:jc w:val="center"/>
              <w:rPr>
                <w:szCs w:val="24"/>
              </w:rPr>
            </w:pPr>
            <w:r w:rsidRPr="006D5026">
              <w:rPr>
                <w:rFonts w:eastAsia="Calibri"/>
                <w:b/>
                <w:szCs w:val="24"/>
              </w:rPr>
              <w:t>Nr.</w:t>
            </w:r>
          </w:p>
        </w:tc>
        <w:tc>
          <w:tcPr>
            <w:tcW w:w="3364" w:type="dxa"/>
          </w:tcPr>
          <w:p w14:paraId="0FD434B3" w14:textId="77777777" w:rsidR="00A24A56" w:rsidRPr="006D5026" w:rsidRDefault="00A24A56" w:rsidP="00C11400">
            <w:pPr>
              <w:jc w:val="center"/>
              <w:rPr>
                <w:b/>
                <w:szCs w:val="24"/>
              </w:rPr>
            </w:pPr>
            <w:r w:rsidRPr="006D5026">
              <w:rPr>
                <w:b/>
                <w:szCs w:val="24"/>
              </w:rPr>
              <w:t>Techniniai parametrai arba reikalavimai</w:t>
            </w:r>
          </w:p>
        </w:tc>
        <w:tc>
          <w:tcPr>
            <w:tcW w:w="5110" w:type="dxa"/>
          </w:tcPr>
          <w:p w14:paraId="5AF6700C" w14:textId="5DFA7BB0" w:rsidR="00A24A56" w:rsidRPr="006D5026" w:rsidRDefault="00A24A56" w:rsidP="00C11400">
            <w:pPr>
              <w:jc w:val="center"/>
              <w:rPr>
                <w:b/>
                <w:szCs w:val="24"/>
              </w:rPr>
            </w:pPr>
            <w:r w:rsidRPr="006D5026">
              <w:rPr>
                <w:b/>
                <w:szCs w:val="24"/>
              </w:rPr>
              <w:t>Techninio parametro reikšmė arba reikalavimų aprašymas</w:t>
            </w:r>
          </w:p>
        </w:tc>
        <w:tc>
          <w:tcPr>
            <w:tcW w:w="2880" w:type="dxa"/>
          </w:tcPr>
          <w:p w14:paraId="3B355EF7" w14:textId="77777777" w:rsidR="00A24A56" w:rsidRPr="006D5026" w:rsidRDefault="00A24A56" w:rsidP="00C11400">
            <w:pPr>
              <w:jc w:val="center"/>
              <w:rPr>
                <w:b/>
                <w:bCs/>
                <w:szCs w:val="24"/>
              </w:rPr>
            </w:pPr>
            <w:r w:rsidRPr="006D5026">
              <w:rPr>
                <w:b/>
                <w:bCs/>
                <w:szCs w:val="24"/>
              </w:rPr>
              <w:t>Atitikimas reikalavimui</w:t>
            </w:r>
          </w:p>
          <w:p w14:paraId="09890512" w14:textId="77777777" w:rsidR="00A24A56" w:rsidRPr="006D5026" w:rsidRDefault="00A24A56" w:rsidP="00C11400">
            <w:pPr>
              <w:jc w:val="center"/>
              <w:rPr>
                <w:b/>
                <w:bCs/>
                <w:szCs w:val="24"/>
              </w:rPr>
            </w:pPr>
            <w:r w:rsidRPr="006D5026">
              <w:rPr>
                <w:b/>
                <w:bCs/>
                <w:szCs w:val="24"/>
              </w:rPr>
              <w:t>Siūloma techninio parametro reikšmė (</w:t>
            </w:r>
            <w:r w:rsidRPr="006D5026">
              <w:rPr>
                <w:b/>
                <w:bCs/>
                <w:i/>
                <w:iCs/>
                <w:szCs w:val="24"/>
              </w:rPr>
              <w:t xml:space="preserve">tiekėjas </w:t>
            </w:r>
            <w:r w:rsidRPr="006D5026">
              <w:rPr>
                <w:b/>
                <w:bCs/>
                <w:i/>
                <w:iCs/>
                <w:szCs w:val="24"/>
                <w:u w:val="single"/>
              </w:rPr>
              <w:t>privalo</w:t>
            </w:r>
            <w:r w:rsidRPr="006D5026">
              <w:rPr>
                <w:b/>
                <w:bCs/>
                <w:i/>
                <w:iCs/>
                <w:szCs w:val="24"/>
              </w:rPr>
              <w:t xml:space="preserve"> aprašyti siūlomos prekės atitiktį reikalaujamiems parametrams, nurodant konkrečias reikšmes nepaliekant žodžių „turi būti“, „ne mažiau“, „ne daugiau“ ir pan., įrašyti „Taip“, „Atitinka“ draudžiama</w:t>
            </w:r>
          </w:p>
        </w:tc>
        <w:tc>
          <w:tcPr>
            <w:tcW w:w="3215" w:type="dxa"/>
          </w:tcPr>
          <w:p w14:paraId="6894471F" w14:textId="35ED18CE" w:rsidR="00A24A56" w:rsidRPr="006D5026" w:rsidRDefault="00A24A56" w:rsidP="00C11400">
            <w:pPr>
              <w:jc w:val="center"/>
              <w:rPr>
                <w:b/>
                <w:bCs/>
                <w:szCs w:val="24"/>
              </w:rPr>
            </w:pPr>
            <w:r w:rsidRPr="006D5026">
              <w:rPr>
                <w:b/>
                <w:bCs/>
                <w:szCs w:val="24"/>
              </w:rPr>
              <w:t xml:space="preserve">Reikalavimų atitikimas </w:t>
            </w:r>
            <w:r w:rsidRPr="006D5026">
              <w:rPr>
                <w:b/>
                <w:bCs/>
                <w:i/>
                <w:iCs/>
                <w:szCs w:val="24"/>
              </w:rPr>
              <w:t xml:space="preserve">(tiksliai pažymimas techninis parametras gamintojo parengtoje  dokumentacijoje ir vertimuose į lietuvių kalbą. </w:t>
            </w:r>
            <w:r w:rsidRPr="006D5026">
              <w:rPr>
                <w:b/>
                <w:bCs/>
                <w:i/>
                <w:iCs/>
                <w:szCs w:val="24"/>
                <w:u w:val="single"/>
              </w:rPr>
              <w:t>Būtina pateikti nuorodą į konkretų psl., pažymėti siūlomą parametrą ir n</w:t>
            </w:r>
            <w:r w:rsidR="00101EFA" w:rsidRPr="006D5026">
              <w:rPr>
                <w:b/>
                <w:bCs/>
                <w:i/>
                <w:iCs/>
                <w:szCs w:val="24"/>
                <w:u w:val="single"/>
              </w:rPr>
              <w:t>u</w:t>
            </w:r>
            <w:r w:rsidRPr="006D5026">
              <w:rPr>
                <w:b/>
                <w:bCs/>
                <w:i/>
                <w:iCs/>
                <w:szCs w:val="24"/>
                <w:u w:val="single"/>
              </w:rPr>
              <w:t>rodyti jo eil. nr, esantį techninėje specifikacijoje (t. y. spalvotai pažymėti ir/ar nurodyti rodyklėmis ir/ar pabraukti konkrečias teikiamų dokumentų vietas, kur nurodoma atitiktis reikalaujamiems kokybiniams ir techniniams reikalavimams)</w:t>
            </w:r>
          </w:p>
        </w:tc>
      </w:tr>
      <w:tr w:rsidR="006D5026" w:rsidRPr="006D5026" w14:paraId="6606FB1B" w14:textId="77777777" w:rsidTr="00CE7781">
        <w:tc>
          <w:tcPr>
            <w:tcW w:w="990" w:type="dxa"/>
          </w:tcPr>
          <w:p w14:paraId="16118311" w14:textId="26997217" w:rsidR="00CE7781" w:rsidRPr="006D5026" w:rsidRDefault="00CE7781" w:rsidP="009C2830">
            <w:pPr>
              <w:jc w:val="center"/>
              <w:rPr>
                <w:szCs w:val="24"/>
              </w:rPr>
            </w:pPr>
            <w:r w:rsidRPr="006D5026">
              <w:rPr>
                <w:szCs w:val="24"/>
              </w:rPr>
              <w:t>1.</w:t>
            </w:r>
          </w:p>
        </w:tc>
        <w:tc>
          <w:tcPr>
            <w:tcW w:w="3364" w:type="dxa"/>
          </w:tcPr>
          <w:p w14:paraId="38DDD8E6" w14:textId="7078EE30" w:rsidR="00CE7781" w:rsidRPr="006D5026" w:rsidRDefault="00FE6F2E" w:rsidP="009C2830">
            <w:pPr>
              <w:jc w:val="both"/>
              <w:rPr>
                <w:rFonts w:eastAsia="Calibri"/>
                <w:szCs w:val="24"/>
              </w:rPr>
            </w:pPr>
            <w:r w:rsidRPr="006D5026">
              <w:rPr>
                <w:szCs w:val="24"/>
              </w:rPr>
              <w:t>Sistemos p</w:t>
            </w:r>
            <w:r w:rsidR="00CE7781" w:rsidRPr="006D5026">
              <w:rPr>
                <w:szCs w:val="24"/>
              </w:rPr>
              <w:t>avadinimas, tipas / modelis, gamintojas</w:t>
            </w:r>
          </w:p>
        </w:tc>
        <w:tc>
          <w:tcPr>
            <w:tcW w:w="5110" w:type="dxa"/>
          </w:tcPr>
          <w:p w14:paraId="31D6D276" w14:textId="7D8E14A1" w:rsidR="00CE7781" w:rsidRPr="006D5026" w:rsidRDefault="00CE7781" w:rsidP="009C2830">
            <w:pPr>
              <w:jc w:val="both"/>
              <w:rPr>
                <w:szCs w:val="24"/>
              </w:rPr>
            </w:pPr>
            <w:r w:rsidRPr="006D5026">
              <w:rPr>
                <w:szCs w:val="24"/>
              </w:rPr>
              <w:t>Būtina.</w:t>
            </w:r>
          </w:p>
        </w:tc>
        <w:tc>
          <w:tcPr>
            <w:tcW w:w="2880" w:type="dxa"/>
          </w:tcPr>
          <w:p w14:paraId="1954C9B8" w14:textId="77777777" w:rsidR="00CE7781" w:rsidRPr="006D5026" w:rsidRDefault="00CE7781" w:rsidP="009C2830">
            <w:pPr>
              <w:jc w:val="center"/>
              <w:rPr>
                <w:i/>
                <w:iCs/>
                <w:szCs w:val="24"/>
              </w:rPr>
            </w:pPr>
          </w:p>
        </w:tc>
        <w:tc>
          <w:tcPr>
            <w:tcW w:w="3215" w:type="dxa"/>
          </w:tcPr>
          <w:p w14:paraId="64CB4AF1" w14:textId="77777777" w:rsidR="00CE7781" w:rsidRPr="006D5026" w:rsidRDefault="00CE7781" w:rsidP="009C2830">
            <w:pPr>
              <w:rPr>
                <w:szCs w:val="24"/>
              </w:rPr>
            </w:pPr>
          </w:p>
        </w:tc>
      </w:tr>
      <w:tr w:rsidR="00DD28C1" w:rsidRPr="006D5026" w14:paraId="39C9213E" w14:textId="77777777" w:rsidTr="008A7933">
        <w:tc>
          <w:tcPr>
            <w:tcW w:w="990" w:type="dxa"/>
          </w:tcPr>
          <w:p w14:paraId="2904622D" w14:textId="0B8EA8CA" w:rsidR="00DD28C1" w:rsidRPr="006D5026" w:rsidRDefault="00DD28C1" w:rsidP="00DD28C1">
            <w:pPr>
              <w:jc w:val="center"/>
              <w:rPr>
                <w:szCs w:val="24"/>
              </w:rPr>
            </w:pPr>
            <w:r w:rsidRPr="006D5026">
              <w:rPr>
                <w:szCs w:val="24"/>
              </w:rPr>
              <w:t>2.</w:t>
            </w:r>
          </w:p>
        </w:tc>
        <w:tc>
          <w:tcPr>
            <w:tcW w:w="3364" w:type="dxa"/>
            <w:vAlign w:val="center"/>
          </w:tcPr>
          <w:p w14:paraId="283722D4" w14:textId="743CA1F4" w:rsidR="00DD28C1" w:rsidRPr="006D5026" w:rsidRDefault="00DD28C1" w:rsidP="00DD28C1">
            <w:pPr>
              <w:jc w:val="both"/>
              <w:rPr>
                <w:szCs w:val="24"/>
              </w:rPr>
            </w:pPr>
            <w:r w:rsidRPr="00F9447E">
              <w:rPr>
                <w:rStyle w:val="Numatytasispastraiposriftas1"/>
                <w:szCs w:val="24"/>
              </w:rPr>
              <w:t>Analizatoriaus valdymas</w:t>
            </w:r>
          </w:p>
        </w:tc>
        <w:tc>
          <w:tcPr>
            <w:tcW w:w="5110" w:type="dxa"/>
            <w:vAlign w:val="center"/>
          </w:tcPr>
          <w:p w14:paraId="663FE79E" w14:textId="551DF39E" w:rsidR="00DD28C1" w:rsidRPr="006D5026" w:rsidRDefault="00DD28C1" w:rsidP="00DD28C1">
            <w:pPr>
              <w:jc w:val="both"/>
              <w:rPr>
                <w:szCs w:val="24"/>
              </w:rPr>
            </w:pPr>
            <w:r w:rsidRPr="00F9447E">
              <w:rPr>
                <w:rStyle w:val="Numatytasispastraiposriftas1"/>
                <w:szCs w:val="24"/>
              </w:rPr>
              <w:t>Analizatoriaus funkcijos valdomos tiesiogiai pačiame analizatoriuje arba personaliniame kompiuteryje integruotos programos pagalba  </w:t>
            </w:r>
          </w:p>
        </w:tc>
        <w:tc>
          <w:tcPr>
            <w:tcW w:w="2880" w:type="dxa"/>
          </w:tcPr>
          <w:p w14:paraId="3CA598FA" w14:textId="77777777" w:rsidR="00DD28C1" w:rsidRPr="006D5026" w:rsidRDefault="00DD28C1" w:rsidP="00DD28C1">
            <w:pPr>
              <w:jc w:val="center"/>
              <w:rPr>
                <w:i/>
                <w:iCs/>
                <w:szCs w:val="24"/>
              </w:rPr>
            </w:pPr>
          </w:p>
        </w:tc>
        <w:tc>
          <w:tcPr>
            <w:tcW w:w="3215" w:type="dxa"/>
          </w:tcPr>
          <w:p w14:paraId="37EA7CF9" w14:textId="77777777" w:rsidR="00DD28C1" w:rsidRPr="006D5026" w:rsidRDefault="00DD28C1" w:rsidP="00DD28C1">
            <w:pPr>
              <w:rPr>
                <w:szCs w:val="24"/>
              </w:rPr>
            </w:pPr>
          </w:p>
        </w:tc>
      </w:tr>
      <w:tr w:rsidR="00DD28C1" w:rsidRPr="006D5026" w14:paraId="37CCDADB" w14:textId="77777777" w:rsidTr="008A7933">
        <w:tc>
          <w:tcPr>
            <w:tcW w:w="990" w:type="dxa"/>
          </w:tcPr>
          <w:p w14:paraId="1BF0A182" w14:textId="2FC4730E" w:rsidR="00DD28C1" w:rsidRPr="006D5026" w:rsidRDefault="00DD28C1" w:rsidP="00DD28C1">
            <w:pPr>
              <w:jc w:val="center"/>
              <w:rPr>
                <w:szCs w:val="24"/>
              </w:rPr>
            </w:pPr>
            <w:r w:rsidRPr="006D5026">
              <w:rPr>
                <w:szCs w:val="24"/>
              </w:rPr>
              <w:t>3.</w:t>
            </w:r>
          </w:p>
        </w:tc>
        <w:tc>
          <w:tcPr>
            <w:tcW w:w="3364" w:type="dxa"/>
            <w:vAlign w:val="center"/>
          </w:tcPr>
          <w:p w14:paraId="7917D67A" w14:textId="77777777" w:rsidR="00DD28C1" w:rsidRPr="00F9447E" w:rsidRDefault="00DD28C1" w:rsidP="00DD28C1">
            <w:pPr>
              <w:pStyle w:val="prastasis1"/>
              <w:shd w:val="clear" w:color="auto" w:fill="FFFFFF"/>
              <w:spacing w:after="0" w:line="240" w:lineRule="auto"/>
              <w:rPr>
                <w:szCs w:val="24"/>
              </w:rPr>
            </w:pPr>
            <w:r w:rsidRPr="00F9447E">
              <w:rPr>
                <w:szCs w:val="24"/>
              </w:rPr>
              <w:t>Analizatoriaus</w:t>
            </w:r>
          </w:p>
          <w:p w14:paraId="7970CA45" w14:textId="228BFD9C" w:rsidR="00DD28C1" w:rsidRPr="006D5026" w:rsidRDefault="00DD28C1" w:rsidP="00DD28C1">
            <w:pPr>
              <w:jc w:val="both"/>
              <w:rPr>
                <w:szCs w:val="24"/>
              </w:rPr>
            </w:pPr>
            <w:r w:rsidRPr="00F9447E">
              <w:rPr>
                <w:rStyle w:val="Numatytasispastraiposriftas1"/>
                <w:szCs w:val="24"/>
              </w:rPr>
              <w:t>komplektacija</w:t>
            </w:r>
          </w:p>
        </w:tc>
        <w:tc>
          <w:tcPr>
            <w:tcW w:w="5110" w:type="dxa"/>
            <w:vAlign w:val="center"/>
          </w:tcPr>
          <w:p w14:paraId="6F8D03BD" w14:textId="53973EB5"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1. </w:t>
            </w:r>
            <w:r>
              <w:rPr>
                <w:rStyle w:val="Numatytasispastraiposriftas1"/>
                <w:szCs w:val="24"/>
              </w:rPr>
              <w:t>Analizatorius, n</w:t>
            </w:r>
            <w:r w:rsidRPr="00F9447E">
              <w:rPr>
                <w:rStyle w:val="Numatytasispastraiposriftas1"/>
                <w:szCs w:val="24"/>
              </w:rPr>
              <w:t>e senesnis kaip 2018 metų analizatorius su išoriniu (rankiniu) ir vidiniu barkodų skaitytuvu</w:t>
            </w:r>
            <w:r w:rsidR="00C656AF">
              <w:rPr>
                <w:rStyle w:val="Numatytasispastraiposriftas1"/>
                <w:szCs w:val="24"/>
              </w:rPr>
              <w:t>. Techniškai tvarkingas.</w:t>
            </w:r>
          </w:p>
          <w:p w14:paraId="0FD56119"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2. Adatinis arba lazerinis spausdintuvas </w:t>
            </w:r>
          </w:p>
          <w:p w14:paraId="770CB54B" w14:textId="07FAC43E" w:rsidR="00DD28C1" w:rsidRPr="006D5026" w:rsidRDefault="00DD28C1" w:rsidP="00DD28C1">
            <w:pPr>
              <w:jc w:val="both"/>
              <w:rPr>
                <w:szCs w:val="24"/>
              </w:rPr>
            </w:pPr>
            <w:r w:rsidRPr="00F9447E">
              <w:rPr>
                <w:rStyle w:val="Numatytasispastraiposriftas1"/>
              </w:rPr>
              <w:lastRenderedPageBreak/>
              <w:t xml:space="preserve">3. </w:t>
            </w:r>
            <w:r w:rsidRPr="00F9447E">
              <w:rPr>
                <w:rStyle w:val="Numatytasispastraiposriftas1"/>
                <w:szCs w:val="24"/>
              </w:rPr>
              <w:t>Kompiuteris su displėjumi, jei analizatoriaus valdymas išorinis</w:t>
            </w:r>
          </w:p>
        </w:tc>
        <w:tc>
          <w:tcPr>
            <w:tcW w:w="2880" w:type="dxa"/>
          </w:tcPr>
          <w:p w14:paraId="3D9404BE" w14:textId="21F6C05F" w:rsidR="00DD28C1" w:rsidRPr="006D5026" w:rsidRDefault="00DD28C1" w:rsidP="00DD28C1">
            <w:pPr>
              <w:jc w:val="center"/>
              <w:rPr>
                <w:i/>
                <w:iCs/>
                <w:szCs w:val="24"/>
              </w:rPr>
            </w:pPr>
          </w:p>
        </w:tc>
        <w:tc>
          <w:tcPr>
            <w:tcW w:w="3215" w:type="dxa"/>
          </w:tcPr>
          <w:p w14:paraId="7286C8A8" w14:textId="77777777" w:rsidR="00DD28C1" w:rsidRPr="006D5026" w:rsidRDefault="00DD28C1" w:rsidP="00DD28C1">
            <w:pPr>
              <w:rPr>
                <w:szCs w:val="24"/>
              </w:rPr>
            </w:pPr>
          </w:p>
        </w:tc>
      </w:tr>
      <w:tr w:rsidR="00DD28C1" w:rsidRPr="006D5026" w14:paraId="3267D665" w14:textId="77777777" w:rsidTr="008A7933">
        <w:tc>
          <w:tcPr>
            <w:tcW w:w="990" w:type="dxa"/>
          </w:tcPr>
          <w:p w14:paraId="48F4C6EB" w14:textId="7BEF4A73" w:rsidR="00DD28C1" w:rsidRPr="006D5026" w:rsidRDefault="00DD28C1" w:rsidP="00DD28C1">
            <w:pPr>
              <w:jc w:val="center"/>
              <w:rPr>
                <w:szCs w:val="24"/>
              </w:rPr>
            </w:pPr>
            <w:r w:rsidRPr="006D5026">
              <w:rPr>
                <w:szCs w:val="24"/>
              </w:rPr>
              <w:t>4.</w:t>
            </w:r>
          </w:p>
        </w:tc>
        <w:tc>
          <w:tcPr>
            <w:tcW w:w="3364" w:type="dxa"/>
          </w:tcPr>
          <w:p w14:paraId="71800A86" w14:textId="09CFA293" w:rsidR="00DD28C1" w:rsidRPr="006D5026" w:rsidRDefault="00DD28C1" w:rsidP="00DD28C1">
            <w:pPr>
              <w:jc w:val="both"/>
              <w:rPr>
                <w:rFonts w:eastAsia="Calibri"/>
                <w:szCs w:val="24"/>
              </w:rPr>
            </w:pPr>
            <w:r w:rsidRPr="00F9447E">
              <w:rPr>
                <w:rStyle w:val="Numatytasispastraiposriftas1"/>
                <w:color w:val="000000"/>
                <w:szCs w:val="24"/>
              </w:rPr>
              <w:t xml:space="preserve">Matavimo principas </w:t>
            </w:r>
          </w:p>
        </w:tc>
        <w:tc>
          <w:tcPr>
            <w:tcW w:w="5110" w:type="dxa"/>
            <w:vAlign w:val="center"/>
          </w:tcPr>
          <w:p w14:paraId="7D9C87D6" w14:textId="77777777" w:rsidR="00DD28C1" w:rsidRDefault="00DD28C1" w:rsidP="00DD28C1">
            <w:pPr>
              <w:pStyle w:val="prastasis1"/>
              <w:numPr>
                <w:ilvl w:val="0"/>
                <w:numId w:val="7"/>
              </w:numPr>
              <w:shd w:val="clear" w:color="auto" w:fill="FFFFFF"/>
              <w:tabs>
                <w:tab w:val="left" w:pos="720"/>
              </w:tabs>
              <w:spacing w:after="0" w:line="240" w:lineRule="auto"/>
              <w:ind w:left="360"/>
              <w:rPr>
                <w:color w:val="000000"/>
                <w:szCs w:val="24"/>
              </w:rPr>
            </w:pPr>
            <w:r w:rsidRPr="00F9447E">
              <w:rPr>
                <w:color w:val="000000"/>
                <w:szCs w:val="24"/>
              </w:rPr>
              <w:t>RBC, PLT Elektrinės varžos principas</w:t>
            </w:r>
          </w:p>
          <w:p w14:paraId="582098C2" w14:textId="0D3313EB" w:rsidR="00DD28C1" w:rsidRPr="006D5026" w:rsidRDefault="00DD28C1" w:rsidP="00DD28C1">
            <w:pPr>
              <w:pStyle w:val="prastasis1"/>
              <w:numPr>
                <w:ilvl w:val="0"/>
                <w:numId w:val="7"/>
              </w:numPr>
              <w:shd w:val="clear" w:color="auto" w:fill="FFFFFF"/>
              <w:tabs>
                <w:tab w:val="left" w:pos="720"/>
              </w:tabs>
              <w:spacing w:after="0" w:line="240" w:lineRule="auto"/>
              <w:ind w:left="360"/>
              <w:rPr>
                <w:szCs w:val="24"/>
              </w:rPr>
            </w:pPr>
            <w:r w:rsidRPr="00F9447E">
              <w:rPr>
                <w:rStyle w:val="Numatytasispastraiposriftas1"/>
                <w:color w:val="000000"/>
                <w:szCs w:val="24"/>
              </w:rPr>
              <w:t>WBC diferenciacija atliekama fokusuoto lazerinio spindulio, nukreipto į kraujo kūnelį, difrakcija arba lygiaverčiu principu, paremtu fizikiniais metodais, matuojant daleles tiesiogiai</w:t>
            </w:r>
          </w:p>
        </w:tc>
        <w:tc>
          <w:tcPr>
            <w:tcW w:w="2880" w:type="dxa"/>
          </w:tcPr>
          <w:p w14:paraId="759141D6" w14:textId="77777777" w:rsidR="00DD28C1" w:rsidRPr="006D5026" w:rsidRDefault="00DD28C1" w:rsidP="00DD28C1">
            <w:pPr>
              <w:rPr>
                <w:szCs w:val="24"/>
              </w:rPr>
            </w:pPr>
          </w:p>
        </w:tc>
        <w:tc>
          <w:tcPr>
            <w:tcW w:w="3215" w:type="dxa"/>
          </w:tcPr>
          <w:p w14:paraId="60979624" w14:textId="77777777" w:rsidR="00DD28C1" w:rsidRPr="006D5026" w:rsidRDefault="00DD28C1" w:rsidP="00DD28C1">
            <w:pPr>
              <w:rPr>
                <w:szCs w:val="24"/>
              </w:rPr>
            </w:pPr>
          </w:p>
        </w:tc>
      </w:tr>
      <w:tr w:rsidR="00DD28C1" w:rsidRPr="006D5026" w14:paraId="431C7FA8" w14:textId="77777777" w:rsidTr="008A7933">
        <w:tc>
          <w:tcPr>
            <w:tcW w:w="990" w:type="dxa"/>
          </w:tcPr>
          <w:p w14:paraId="5498A912" w14:textId="2236438E" w:rsidR="00DD28C1" w:rsidRPr="006D5026" w:rsidRDefault="00DD28C1" w:rsidP="00DD28C1">
            <w:pPr>
              <w:jc w:val="center"/>
              <w:rPr>
                <w:szCs w:val="24"/>
              </w:rPr>
            </w:pPr>
            <w:r w:rsidRPr="006D5026">
              <w:rPr>
                <w:szCs w:val="24"/>
              </w:rPr>
              <w:t>5.</w:t>
            </w:r>
          </w:p>
        </w:tc>
        <w:tc>
          <w:tcPr>
            <w:tcW w:w="3364" w:type="dxa"/>
          </w:tcPr>
          <w:p w14:paraId="7F9B0335" w14:textId="14B29590" w:rsidR="00DD28C1" w:rsidRPr="006D5026" w:rsidRDefault="00DD28C1" w:rsidP="00DD28C1">
            <w:pPr>
              <w:jc w:val="both"/>
              <w:rPr>
                <w:szCs w:val="24"/>
              </w:rPr>
            </w:pPr>
            <w:r w:rsidRPr="00F9447E">
              <w:rPr>
                <w:rStyle w:val="Numatytasispastraiposriftas1"/>
                <w:color w:val="000000"/>
                <w:szCs w:val="24"/>
              </w:rPr>
              <w:t>Leukocitų diferenciacija atliekama į penkias dalis, matuojant jas tiesiogiai</w:t>
            </w:r>
          </w:p>
        </w:tc>
        <w:tc>
          <w:tcPr>
            <w:tcW w:w="5110" w:type="dxa"/>
            <w:vAlign w:val="center"/>
          </w:tcPr>
          <w:p w14:paraId="78D70921" w14:textId="222068CA" w:rsidR="00DD28C1" w:rsidRPr="006D5026" w:rsidRDefault="00DD28C1" w:rsidP="00DD28C1">
            <w:pPr>
              <w:jc w:val="both"/>
              <w:rPr>
                <w:szCs w:val="24"/>
              </w:rPr>
            </w:pPr>
            <w:r w:rsidRPr="00F9447E">
              <w:rPr>
                <w:rStyle w:val="Numatytasispastraiposriftas1"/>
                <w:color w:val="000000"/>
                <w:szCs w:val="24"/>
              </w:rPr>
              <w:t>LY, MO, EO, BA, NE</w:t>
            </w:r>
          </w:p>
        </w:tc>
        <w:tc>
          <w:tcPr>
            <w:tcW w:w="2880" w:type="dxa"/>
          </w:tcPr>
          <w:p w14:paraId="6C862102" w14:textId="77777777" w:rsidR="00DD28C1" w:rsidRPr="006D5026" w:rsidRDefault="00DD28C1" w:rsidP="00DD28C1">
            <w:pPr>
              <w:rPr>
                <w:szCs w:val="24"/>
              </w:rPr>
            </w:pPr>
          </w:p>
        </w:tc>
        <w:tc>
          <w:tcPr>
            <w:tcW w:w="3215" w:type="dxa"/>
          </w:tcPr>
          <w:p w14:paraId="70AD4AD3" w14:textId="77777777" w:rsidR="00DD28C1" w:rsidRPr="006D5026" w:rsidRDefault="00DD28C1" w:rsidP="00DD28C1">
            <w:pPr>
              <w:rPr>
                <w:szCs w:val="24"/>
              </w:rPr>
            </w:pPr>
          </w:p>
        </w:tc>
      </w:tr>
      <w:tr w:rsidR="00DD28C1" w:rsidRPr="006D5026" w14:paraId="1F9B8BCD" w14:textId="77777777" w:rsidTr="008A7933">
        <w:tc>
          <w:tcPr>
            <w:tcW w:w="990" w:type="dxa"/>
          </w:tcPr>
          <w:p w14:paraId="375A2560" w14:textId="6B701956" w:rsidR="00DD28C1" w:rsidRPr="006D5026" w:rsidRDefault="00DD28C1" w:rsidP="00DD28C1">
            <w:pPr>
              <w:jc w:val="center"/>
              <w:rPr>
                <w:szCs w:val="24"/>
              </w:rPr>
            </w:pPr>
            <w:r w:rsidRPr="006D5026">
              <w:rPr>
                <w:szCs w:val="24"/>
              </w:rPr>
              <w:t>6.</w:t>
            </w:r>
          </w:p>
        </w:tc>
        <w:tc>
          <w:tcPr>
            <w:tcW w:w="3364" w:type="dxa"/>
          </w:tcPr>
          <w:p w14:paraId="5060DF0E" w14:textId="77777777" w:rsidR="00DD28C1" w:rsidRPr="00F9447E" w:rsidRDefault="00DD28C1" w:rsidP="00DD28C1">
            <w:pPr>
              <w:pStyle w:val="prastasis1"/>
              <w:shd w:val="clear" w:color="auto" w:fill="FFFFFF"/>
              <w:spacing w:after="0" w:line="240" w:lineRule="auto"/>
              <w:rPr>
                <w:color w:val="000000"/>
                <w:szCs w:val="24"/>
              </w:rPr>
            </w:pPr>
          </w:p>
          <w:p w14:paraId="2F59F57A" w14:textId="77777777" w:rsidR="00DD28C1" w:rsidRPr="00F9447E" w:rsidRDefault="00DD28C1" w:rsidP="00DD28C1">
            <w:pPr>
              <w:pStyle w:val="prastasis1"/>
              <w:shd w:val="clear" w:color="auto" w:fill="FFFFFF"/>
              <w:spacing w:after="0" w:line="240" w:lineRule="auto"/>
              <w:rPr>
                <w:color w:val="000000"/>
                <w:szCs w:val="24"/>
              </w:rPr>
            </w:pPr>
          </w:p>
          <w:p w14:paraId="292B178C" w14:textId="77777777" w:rsidR="00DD28C1" w:rsidRPr="00F9447E" w:rsidRDefault="00DD28C1" w:rsidP="00DD28C1">
            <w:pPr>
              <w:pStyle w:val="prastasis1"/>
              <w:shd w:val="clear" w:color="auto" w:fill="FFFFFF"/>
              <w:spacing w:after="0" w:line="240" w:lineRule="auto"/>
              <w:rPr>
                <w:color w:val="000000"/>
                <w:szCs w:val="24"/>
              </w:rPr>
            </w:pPr>
          </w:p>
          <w:p w14:paraId="1858A972" w14:textId="7533219C" w:rsidR="00DD28C1" w:rsidRPr="006D5026" w:rsidRDefault="00DD28C1" w:rsidP="00DD28C1">
            <w:pPr>
              <w:jc w:val="both"/>
              <w:rPr>
                <w:szCs w:val="24"/>
              </w:rPr>
            </w:pPr>
            <w:r w:rsidRPr="00F9447E">
              <w:rPr>
                <w:rStyle w:val="Numatytasispastraiposriftas1"/>
                <w:color w:val="000000"/>
                <w:szCs w:val="24"/>
              </w:rPr>
              <w:t>Analizuojami parametrai</w:t>
            </w:r>
          </w:p>
        </w:tc>
        <w:tc>
          <w:tcPr>
            <w:tcW w:w="5110" w:type="dxa"/>
            <w:vAlign w:val="center"/>
          </w:tcPr>
          <w:p w14:paraId="459D5003"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WBC, RBC, HGB, HCT, MCV, MCH, MCHC, PLT, </w:t>
            </w:r>
          </w:p>
          <w:p w14:paraId="3F13641F"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NE%, LY%, MO%, EO%, BA%, NE#, LY#, MO#, EO#, BA#</w:t>
            </w:r>
          </w:p>
          <w:p w14:paraId="65F4DBB7"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RDW-CV, RDW-SD, MPV, PDW, PCT, P-LCR</w:t>
            </w:r>
          </w:p>
          <w:p w14:paraId="71A445C1" w14:textId="4215A6A2" w:rsidR="00DD28C1" w:rsidRPr="006D5026" w:rsidRDefault="00DD28C1" w:rsidP="00DD28C1">
            <w:pPr>
              <w:jc w:val="both"/>
              <w:rPr>
                <w:szCs w:val="24"/>
              </w:rPr>
            </w:pPr>
            <w:r w:rsidRPr="00F9447E">
              <w:rPr>
                <w:rStyle w:val="Numatytasispastraiposriftas1"/>
                <w:szCs w:val="24"/>
              </w:rPr>
              <w:t xml:space="preserve">Rodomos analizatoriaus ekrane ir spausdinamos RBC ir PLT histogramos, WBC skaterogramos </w:t>
            </w:r>
          </w:p>
        </w:tc>
        <w:tc>
          <w:tcPr>
            <w:tcW w:w="2880" w:type="dxa"/>
          </w:tcPr>
          <w:p w14:paraId="4614E663" w14:textId="77777777" w:rsidR="00DD28C1" w:rsidRPr="006D5026" w:rsidRDefault="00DD28C1" w:rsidP="00DD28C1">
            <w:pPr>
              <w:rPr>
                <w:szCs w:val="24"/>
              </w:rPr>
            </w:pPr>
          </w:p>
        </w:tc>
        <w:tc>
          <w:tcPr>
            <w:tcW w:w="3215" w:type="dxa"/>
          </w:tcPr>
          <w:p w14:paraId="2AD745BF" w14:textId="77777777" w:rsidR="00DD28C1" w:rsidRPr="006D5026" w:rsidRDefault="00DD28C1" w:rsidP="00DD28C1">
            <w:pPr>
              <w:rPr>
                <w:szCs w:val="24"/>
              </w:rPr>
            </w:pPr>
          </w:p>
        </w:tc>
      </w:tr>
      <w:tr w:rsidR="00DD28C1" w:rsidRPr="006D5026" w14:paraId="43286B27" w14:textId="77777777" w:rsidTr="008A7933">
        <w:tc>
          <w:tcPr>
            <w:tcW w:w="990" w:type="dxa"/>
          </w:tcPr>
          <w:p w14:paraId="2D4F0207" w14:textId="0B3512B1" w:rsidR="00DD28C1" w:rsidRPr="006D5026" w:rsidRDefault="00DD28C1" w:rsidP="00DD28C1">
            <w:pPr>
              <w:jc w:val="center"/>
              <w:rPr>
                <w:szCs w:val="24"/>
              </w:rPr>
            </w:pPr>
            <w:r w:rsidRPr="006D5026">
              <w:rPr>
                <w:szCs w:val="24"/>
              </w:rPr>
              <w:t>7.</w:t>
            </w:r>
          </w:p>
        </w:tc>
        <w:tc>
          <w:tcPr>
            <w:tcW w:w="3364" w:type="dxa"/>
          </w:tcPr>
          <w:p w14:paraId="4B0D961E" w14:textId="2EF00FB7" w:rsidR="00DD28C1" w:rsidRPr="006D5026" w:rsidRDefault="00DD28C1" w:rsidP="00DD28C1">
            <w:pPr>
              <w:jc w:val="both"/>
              <w:rPr>
                <w:szCs w:val="24"/>
              </w:rPr>
            </w:pPr>
            <w:r w:rsidRPr="00F9447E">
              <w:rPr>
                <w:rStyle w:val="Numatytasispastraiposriftas1"/>
                <w:color w:val="000000"/>
                <w:szCs w:val="24"/>
              </w:rPr>
              <w:t>Maksimalios leistinos parametrų paklaidos CV</w:t>
            </w:r>
          </w:p>
        </w:tc>
        <w:tc>
          <w:tcPr>
            <w:tcW w:w="5110" w:type="dxa"/>
            <w:vAlign w:val="center"/>
          </w:tcPr>
          <w:p w14:paraId="4A97B26D" w14:textId="6A8783B6" w:rsidR="00DD28C1" w:rsidRPr="00F9447E" w:rsidRDefault="00DD28C1" w:rsidP="00DD28C1">
            <w:pPr>
              <w:pStyle w:val="prastasis1"/>
              <w:shd w:val="clear" w:color="auto" w:fill="FFFFFF"/>
              <w:spacing w:after="0" w:line="240" w:lineRule="auto"/>
            </w:pPr>
            <w:r w:rsidRPr="00F9447E">
              <w:rPr>
                <w:rStyle w:val="Numatytasispastraiposriftas1"/>
                <w:szCs w:val="24"/>
              </w:rPr>
              <w:t xml:space="preserve">WBC iki </w:t>
            </w:r>
            <w:r>
              <w:rPr>
                <w:rStyle w:val="Numatytasispastraiposriftas1"/>
                <w:szCs w:val="24"/>
              </w:rPr>
              <w:t>3</w:t>
            </w:r>
            <w:r w:rsidRPr="00F9447E">
              <w:rPr>
                <w:rStyle w:val="Numatytasispastraiposriftas1"/>
                <w:szCs w:val="24"/>
              </w:rPr>
              <w:t>.</w:t>
            </w:r>
            <w:r>
              <w:rPr>
                <w:rStyle w:val="Numatytasispastraiposriftas1"/>
                <w:szCs w:val="24"/>
              </w:rPr>
              <w:t>0</w:t>
            </w:r>
            <w:r w:rsidRPr="00F9447E">
              <w:rPr>
                <w:rStyle w:val="Numatytasispastraiposriftas1"/>
                <w:szCs w:val="24"/>
              </w:rPr>
              <w:t xml:space="preserve"> %</w:t>
            </w:r>
          </w:p>
          <w:p w14:paraId="38A4DC5C"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RBC iki 1.5 %</w:t>
            </w:r>
          </w:p>
          <w:p w14:paraId="27A68A51"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Hgb iki 1.5 %</w:t>
            </w:r>
          </w:p>
          <w:p w14:paraId="3B15178C"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HCT iki 1.5 %</w:t>
            </w:r>
          </w:p>
          <w:p w14:paraId="333532B2" w14:textId="77777777" w:rsidR="00DD28C1" w:rsidRPr="00F9447E" w:rsidRDefault="00DD28C1" w:rsidP="00DD28C1">
            <w:pPr>
              <w:pStyle w:val="prastasis1"/>
              <w:shd w:val="clear" w:color="auto" w:fill="FFFFFF"/>
              <w:spacing w:after="0" w:line="240" w:lineRule="auto"/>
            </w:pPr>
            <w:r w:rsidRPr="00F9447E">
              <w:rPr>
                <w:rStyle w:val="Numatytasispastraiposriftas1"/>
                <w:szCs w:val="24"/>
              </w:rPr>
              <w:t>MCV iki 1.5 %</w:t>
            </w:r>
          </w:p>
          <w:p w14:paraId="6344D2FD" w14:textId="1AE6B287" w:rsidR="00DD28C1" w:rsidRPr="006D5026" w:rsidRDefault="00DD28C1" w:rsidP="00DD28C1">
            <w:pPr>
              <w:jc w:val="both"/>
              <w:rPr>
                <w:szCs w:val="24"/>
              </w:rPr>
            </w:pPr>
            <w:r w:rsidRPr="00F9447E">
              <w:rPr>
                <w:rStyle w:val="Numatytasispastraiposriftas1"/>
                <w:szCs w:val="24"/>
              </w:rPr>
              <w:t>Plt iki 5 %</w:t>
            </w:r>
          </w:p>
        </w:tc>
        <w:tc>
          <w:tcPr>
            <w:tcW w:w="2880" w:type="dxa"/>
          </w:tcPr>
          <w:p w14:paraId="625F28CC" w14:textId="77777777" w:rsidR="00DD28C1" w:rsidRPr="006D5026" w:rsidRDefault="00DD28C1" w:rsidP="00DD28C1">
            <w:pPr>
              <w:rPr>
                <w:szCs w:val="24"/>
              </w:rPr>
            </w:pPr>
          </w:p>
        </w:tc>
        <w:tc>
          <w:tcPr>
            <w:tcW w:w="3215" w:type="dxa"/>
          </w:tcPr>
          <w:p w14:paraId="77AD01BB" w14:textId="77777777" w:rsidR="00DD28C1" w:rsidRPr="006D5026" w:rsidRDefault="00DD28C1" w:rsidP="00DD28C1">
            <w:pPr>
              <w:rPr>
                <w:szCs w:val="24"/>
              </w:rPr>
            </w:pPr>
          </w:p>
        </w:tc>
      </w:tr>
      <w:tr w:rsidR="00DD28C1" w:rsidRPr="006D5026" w14:paraId="12300B4A" w14:textId="77777777" w:rsidTr="008A7933">
        <w:tc>
          <w:tcPr>
            <w:tcW w:w="990" w:type="dxa"/>
          </w:tcPr>
          <w:p w14:paraId="00A399B4" w14:textId="32F824ED" w:rsidR="00DD28C1" w:rsidRPr="006D5026" w:rsidRDefault="00DD28C1" w:rsidP="00DD28C1">
            <w:pPr>
              <w:jc w:val="center"/>
              <w:rPr>
                <w:szCs w:val="24"/>
              </w:rPr>
            </w:pPr>
            <w:r w:rsidRPr="006D5026">
              <w:rPr>
                <w:szCs w:val="24"/>
              </w:rPr>
              <w:t>8.</w:t>
            </w:r>
          </w:p>
        </w:tc>
        <w:tc>
          <w:tcPr>
            <w:tcW w:w="3364" w:type="dxa"/>
          </w:tcPr>
          <w:p w14:paraId="1F4C3C66" w14:textId="1F5BB30C" w:rsidR="00DD28C1" w:rsidRPr="006D5026" w:rsidRDefault="00DD28C1" w:rsidP="00DD28C1">
            <w:pPr>
              <w:jc w:val="both"/>
              <w:rPr>
                <w:szCs w:val="24"/>
              </w:rPr>
            </w:pPr>
            <w:r w:rsidRPr="00F9447E">
              <w:rPr>
                <w:rStyle w:val="Numatytasispastraiposriftas1"/>
                <w:color w:val="000000"/>
                <w:szCs w:val="24"/>
              </w:rPr>
              <w:t>Analizatoriaus matavimo režimai</w:t>
            </w:r>
          </w:p>
        </w:tc>
        <w:tc>
          <w:tcPr>
            <w:tcW w:w="5110" w:type="dxa"/>
            <w:vAlign w:val="center"/>
          </w:tcPr>
          <w:p w14:paraId="4AB5DCC3" w14:textId="75F2EB97" w:rsidR="00DD28C1" w:rsidRPr="006D5026" w:rsidRDefault="00DD28C1" w:rsidP="00DD28C1">
            <w:pPr>
              <w:jc w:val="both"/>
              <w:rPr>
                <w:szCs w:val="24"/>
              </w:rPr>
            </w:pPr>
            <w:r w:rsidRPr="00F9447E">
              <w:rPr>
                <w:color w:val="000000"/>
                <w:szCs w:val="24"/>
              </w:rPr>
              <w:t>CBC+ DIFF</w:t>
            </w:r>
          </w:p>
        </w:tc>
        <w:tc>
          <w:tcPr>
            <w:tcW w:w="2880" w:type="dxa"/>
          </w:tcPr>
          <w:p w14:paraId="3DE303A9" w14:textId="77777777" w:rsidR="00DD28C1" w:rsidRPr="006D5026" w:rsidRDefault="00DD28C1" w:rsidP="00DD28C1">
            <w:pPr>
              <w:rPr>
                <w:szCs w:val="24"/>
              </w:rPr>
            </w:pPr>
          </w:p>
        </w:tc>
        <w:tc>
          <w:tcPr>
            <w:tcW w:w="3215" w:type="dxa"/>
          </w:tcPr>
          <w:p w14:paraId="4910523F" w14:textId="77777777" w:rsidR="00DD28C1" w:rsidRPr="006D5026" w:rsidRDefault="00DD28C1" w:rsidP="00DD28C1">
            <w:pPr>
              <w:rPr>
                <w:szCs w:val="24"/>
              </w:rPr>
            </w:pPr>
          </w:p>
        </w:tc>
      </w:tr>
      <w:tr w:rsidR="00DD28C1" w:rsidRPr="006D5026" w14:paraId="5EA8E4B4" w14:textId="77777777" w:rsidTr="008A7933">
        <w:tc>
          <w:tcPr>
            <w:tcW w:w="990" w:type="dxa"/>
          </w:tcPr>
          <w:p w14:paraId="4E4AA763" w14:textId="38B766E0" w:rsidR="00DD28C1" w:rsidRPr="006D5026" w:rsidRDefault="00DD28C1" w:rsidP="00DD28C1">
            <w:pPr>
              <w:jc w:val="center"/>
              <w:rPr>
                <w:szCs w:val="24"/>
              </w:rPr>
            </w:pPr>
            <w:r w:rsidRPr="006D5026">
              <w:rPr>
                <w:szCs w:val="24"/>
              </w:rPr>
              <w:t>9.</w:t>
            </w:r>
          </w:p>
        </w:tc>
        <w:tc>
          <w:tcPr>
            <w:tcW w:w="3364" w:type="dxa"/>
          </w:tcPr>
          <w:p w14:paraId="2104520A" w14:textId="034505FB" w:rsidR="00DD28C1" w:rsidRPr="006D5026" w:rsidRDefault="00DD28C1" w:rsidP="00DD28C1">
            <w:pPr>
              <w:jc w:val="both"/>
              <w:rPr>
                <w:szCs w:val="24"/>
              </w:rPr>
            </w:pPr>
            <w:r w:rsidRPr="00F9447E">
              <w:rPr>
                <w:rStyle w:val="Numatytasispastraiposriftas1"/>
                <w:color w:val="000000"/>
                <w:szCs w:val="24"/>
              </w:rPr>
              <w:t>Analizatoriuje integruotas mėgintuvėlių maišytuvas automatinio padavimo režime</w:t>
            </w:r>
          </w:p>
        </w:tc>
        <w:tc>
          <w:tcPr>
            <w:tcW w:w="5110" w:type="dxa"/>
            <w:vAlign w:val="center"/>
          </w:tcPr>
          <w:p w14:paraId="3DCC11A4" w14:textId="0A03270F"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58CD8968" w14:textId="30DFEEDA" w:rsidR="00DD28C1" w:rsidRPr="006D5026" w:rsidRDefault="00DD28C1" w:rsidP="00DD28C1">
            <w:pPr>
              <w:rPr>
                <w:szCs w:val="24"/>
              </w:rPr>
            </w:pPr>
          </w:p>
        </w:tc>
        <w:tc>
          <w:tcPr>
            <w:tcW w:w="3215" w:type="dxa"/>
          </w:tcPr>
          <w:p w14:paraId="601D49E6" w14:textId="77777777" w:rsidR="00DD28C1" w:rsidRPr="006D5026" w:rsidRDefault="00DD28C1" w:rsidP="00DD28C1">
            <w:pPr>
              <w:rPr>
                <w:szCs w:val="24"/>
              </w:rPr>
            </w:pPr>
          </w:p>
        </w:tc>
      </w:tr>
      <w:tr w:rsidR="00DD28C1" w:rsidRPr="006D5026" w14:paraId="4B7C255A" w14:textId="77777777" w:rsidTr="008A7933">
        <w:tc>
          <w:tcPr>
            <w:tcW w:w="990" w:type="dxa"/>
          </w:tcPr>
          <w:p w14:paraId="105AB9AA" w14:textId="656C184F" w:rsidR="00DD28C1" w:rsidRPr="006D5026" w:rsidRDefault="00DD28C1" w:rsidP="00DD28C1">
            <w:pPr>
              <w:jc w:val="center"/>
              <w:rPr>
                <w:szCs w:val="24"/>
              </w:rPr>
            </w:pPr>
            <w:r w:rsidRPr="006D5026">
              <w:rPr>
                <w:szCs w:val="24"/>
              </w:rPr>
              <w:t>10.</w:t>
            </w:r>
          </w:p>
        </w:tc>
        <w:tc>
          <w:tcPr>
            <w:tcW w:w="3364" w:type="dxa"/>
          </w:tcPr>
          <w:p w14:paraId="0391744C" w14:textId="79C2C015" w:rsidR="00DD28C1" w:rsidRPr="006D5026" w:rsidRDefault="00DD28C1" w:rsidP="00DD28C1">
            <w:pPr>
              <w:jc w:val="both"/>
              <w:rPr>
                <w:szCs w:val="24"/>
              </w:rPr>
            </w:pPr>
            <w:r w:rsidRPr="00F9447E">
              <w:rPr>
                <w:rStyle w:val="Numatytasispastraiposriftas1"/>
                <w:color w:val="000000"/>
                <w:szCs w:val="24"/>
              </w:rPr>
              <w:t>Analizatoriuje integruota STAT/kapiliarinio kraujo matavimo sekcija,</w:t>
            </w:r>
          </w:p>
        </w:tc>
        <w:tc>
          <w:tcPr>
            <w:tcW w:w="5110" w:type="dxa"/>
            <w:vAlign w:val="center"/>
          </w:tcPr>
          <w:p w14:paraId="7E272A4C" w14:textId="70089EAF"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3F8EA9A2" w14:textId="77777777" w:rsidR="00DD28C1" w:rsidRPr="006D5026" w:rsidRDefault="00DD28C1" w:rsidP="00DD28C1">
            <w:pPr>
              <w:rPr>
                <w:szCs w:val="24"/>
              </w:rPr>
            </w:pPr>
          </w:p>
        </w:tc>
        <w:tc>
          <w:tcPr>
            <w:tcW w:w="3215" w:type="dxa"/>
          </w:tcPr>
          <w:p w14:paraId="5F0E87C9" w14:textId="77777777" w:rsidR="00DD28C1" w:rsidRPr="006D5026" w:rsidRDefault="00DD28C1" w:rsidP="00DD28C1">
            <w:pPr>
              <w:rPr>
                <w:szCs w:val="24"/>
              </w:rPr>
            </w:pPr>
          </w:p>
        </w:tc>
      </w:tr>
      <w:tr w:rsidR="00DD28C1" w:rsidRPr="006D5026" w14:paraId="089F6D84" w14:textId="77777777" w:rsidTr="008A7933">
        <w:tc>
          <w:tcPr>
            <w:tcW w:w="990" w:type="dxa"/>
          </w:tcPr>
          <w:p w14:paraId="74B1C6C8" w14:textId="76A7B298" w:rsidR="00DD28C1" w:rsidRPr="006D5026" w:rsidRDefault="00DD28C1" w:rsidP="00DD28C1">
            <w:pPr>
              <w:jc w:val="center"/>
              <w:rPr>
                <w:szCs w:val="24"/>
              </w:rPr>
            </w:pPr>
            <w:r w:rsidRPr="006D5026">
              <w:rPr>
                <w:szCs w:val="24"/>
              </w:rPr>
              <w:lastRenderedPageBreak/>
              <w:t>11.</w:t>
            </w:r>
          </w:p>
        </w:tc>
        <w:tc>
          <w:tcPr>
            <w:tcW w:w="3364" w:type="dxa"/>
          </w:tcPr>
          <w:p w14:paraId="6323E5BC" w14:textId="15BC96CA" w:rsidR="00DD28C1" w:rsidRPr="006D5026" w:rsidRDefault="00DD28C1" w:rsidP="00DD28C1">
            <w:pPr>
              <w:jc w:val="both"/>
              <w:rPr>
                <w:szCs w:val="24"/>
              </w:rPr>
            </w:pPr>
            <w:r w:rsidRPr="00F9447E">
              <w:rPr>
                <w:rStyle w:val="Numatytasispastraiposriftas1"/>
                <w:color w:val="000000"/>
                <w:szCs w:val="24"/>
              </w:rPr>
              <w:t>Mėginio tūris ne daugiau:</w:t>
            </w:r>
          </w:p>
        </w:tc>
        <w:tc>
          <w:tcPr>
            <w:tcW w:w="5110" w:type="dxa"/>
            <w:vAlign w:val="center"/>
          </w:tcPr>
          <w:p w14:paraId="73313988" w14:textId="7EF1768E" w:rsidR="00DD28C1" w:rsidRPr="006D5026" w:rsidRDefault="00DD28C1" w:rsidP="00DD28C1">
            <w:pPr>
              <w:jc w:val="both"/>
              <w:rPr>
                <w:szCs w:val="24"/>
              </w:rPr>
            </w:pPr>
            <w:r w:rsidRPr="00F9447E">
              <w:rPr>
                <w:color w:val="000000"/>
                <w:szCs w:val="24"/>
              </w:rPr>
              <w:t>90 µl kraujo, matuojant CBC+DIFF</w:t>
            </w:r>
          </w:p>
        </w:tc>
        <w:tc>
          <w:tcPr>
            <w:tcW w:w="2880" w:type="dxa"/>
          </w:tcPr>
          <w:p w14:paraId="42790740" w14:textId="77777777" w:rsidR="00DD28C1" w:rsidRPr="006D5026" w:rsidRDefault="00DD28C1" w:rsidP="00DD28C1">
            <w:pPr>
              <w:rPr>
                <w:szCs w:val="24"/>
              </w:rPr>
            </w:pPr>
          </w:p>
        </w:tc>
        <w:tc>
          <w:tcPr>
            <w:tcW w:w="3215" w:type="dxa"/>
          </w:tcPr>
          <w:p w14:paraId="3817EB02" w14:textId="77777777" w:rsidR="00DD28C1" w:rsidRPr="006D5026" w:rsidRDefault="00DD28C1" w:rsidP="00DD28C1">
            <w:pPr>
              <w:rPr>
                <w:szCs w:val="24"/>
              </w:rPr>
            </w:pPr>
          </w:p>
        </w:tc>
      </w:tr>
      <w:tr w:rsidR="00DD28C1" w:rsidRPr="006D5026" w14:paraId="3B3CF1D3" w14:textId="77777777" w:rsidTr="008A7933">
        <w:tc>
          <w:tcPr>
            <w:tcW w:w="990" w:type="dxa"/>
          </w:tcPr>
          <w:p w14:paraId="673926DC" w14:textId="0923375E" w:rsidR="00DD28C1" w:rsidRPr="006D5026" w:rsidRDefault="00DD28C1" w:rsidP="00DD28C1">
            <w:pPr>
              <w:jc w:val="center"/>
              <w:rPr>
                <w:szCs w:val="24"/>
              </w:rPr>
            </w:pPr>
            <w:r w:rsidRPr="006D5026">
              <w:rPr>
                <w:szCs w:val="24"/>
              </w:rPr>
              <w:t>12.</w:t>
            </w:r>
          </w:p>
        </w:tc>
        <w:tc>
          <w:tcPr>
            <w:tcW w:w="3364" w:type="dxa"/>
          </w:tcPr>
          <w:p w14:paraId="1694B1D2" w14:textId="105E281D" w:rsidR="00DD28C1" w:rsidRPr="006D5026" w:rsidRDefault="00DD28C1" w:rsidP="00DD28C1">
            <w:pPr>
              <w:jc w:val="both"/>
              <w:rPr>
                <w:szCs w:val="24"/>
              </w:rPr>
            </w:pPr>
            <w:r w:rsidRPr="00F9447E">
              <w:rPr>
                <w:rStyle w:val="Numatytasispastraiposriftas1"/>
                <w:color w:val="000000"/>
                <w:szCs w:val="24"/>
              </w:rPr>
              <w:t>Analizatoriaus sparta</w:t>
            </w:r>
          </w:p>
        </w:tc>
        <w:tc>
          <w:tcPr>
            <w:tcW w:w="5110" w:type="dxa"/>
            <w:vAlign w:val="center"/>
          </w:tcPr>
          <w:p w14:paraId="61768E58" w14:textId="0735A433" w:rsidR="00DD28C1" w:rsidRPr="00F91D68" w:rsidRDefault="00DD28C1" w:rsidP="00DD28C1">
            <w:pPr>
              <w:jc w:val="both"/>
              <w:rPr>
                <w:color w:val="4472C4" w:themeColor="accent1"/>
                <w:szCs w:val="24"/>
              </w:rPr>
            </w:pPr>
            <w:r w:rsidRPr="00F9447E">
              <w:rPr>
                <w:rStyle w:val="Numatytasispastraiposriftas1"/>
                <w:szCs w:val="24"/>
              </w:rPr>
              <w:t>ne mažiau kaip 90 tyr./val.</w:t>
            </w:r>
          </w:p>
        </w:tc>
        <w:tc>
          <w:tcPr>
            <w:tcW w:w="2880" w:type="dxa"/>
          </w:tcPr>
          <w:p w14:paraId="1C3FA3A2" w14:textId="77777777" w:rsidR="00DD28C1" w:rsidRPr="006D5026" w:rsidRDefault="00DD28C1" w:rsidP="00DD28C1">
            <w:pPr>
              <w:rPr>
                <w:szCs w:val="24"/>
              </w:rPr>
            </w:pPr>
          </w:p>
        </w:tc>
        <w:tc>
          <w:tcPr>
            <w:tcW w:w="3215" w:type="dxa"/>
          </w:tcPr>
          <w:p w14:paraId="50753346" w14:textId="77777777" w:rsidR="00DD28C1" w:rsidRPr="006D5026" w:rsidRDefault="00DD28C1" w:rsidP="00DD28C1">
            <w:pPr>
              <w:rPr>
                <w:szCs w:val="24"/>
              </w:rPr>
            </w:pPr>
          </w:p>
        </w:tc>
      </w:tr>
      <w:tr w:rsidR="00DD28C1" w:rsidRPr="006D5026" w14:paraId="0CAF94F7" w14:textId="77777777" w:rsidTr="008A7933">
        <w:tc>
          <w:tcPr>
            <w:tcW w:w="990" w:type="dxa"/>
          </w:tcPr>
          <w:p w14:paraId="46E256FE" w14:textId="072AF84F" w:rsidR="00DD28C1" w:rsidRPr="006D5026" w:rsidRDefault="00DD28C1" w:rsidP="00DD28C1">
            <w:pPr>
              <w:jc w:val="center"/>
              <w:rPr>
                <w:szCs w:val="24"/>
                <w:lang w:val="en-US"/>
              </w:rPr>
            </w:pPr>
            <w:r w:rsidRPr="006D5026">
              <w:rPr>
                <w:szCs w:val="24"/>
                <w:lang w:val="en-US"/>
              </w:rPr>
              <w:t>13.</w:t>
            </w:r>
          </w:p>
        </w:tc>
        <w:tc>
          <w:tcPr>
            <w:tcW w:w="3364" w:type="dxa"/>
          </w:tcPr>
          <w:p w14:paraId="74301F58" w14:textId="2FE8ECD4" w:rsidR="00DD28C1" w:rsidRPr="006D5026" w:rsidRDefault="00DD28C1" w:rsidP="00DD28C1">
            <w:pPr>
              <w:jc w:val="both"/>
              <w:rPr>
                <w:rFonts w:ascii="Times New Roman1" w:hAnsi="Times New Roman1"/>
                <w:szCs w:val="24"/>
              </w:rPr>
            </w:pPr>
            <w:r w:rsidRPr="00F9447E">
              <w:rPr>
                <w:rStyle w:val="Numatytasispastraiposriftas1"/>
                <w:color w:val="000000"/>
                <w:szCs w:val="24"/>
              </w:rPr>
              <w:t>Talpa analizatoriuje</w:t>
            </w:r>
          </w:p>
        </w:tc>
        <w:tc>
          <w:tcPr>
            <w:tcW w:w="5110" w:type="dxa"/>
            <w:vAlign w:val="center"/>
          </w:tcPr>
          <w:p w14:paraId="752F6156" w14:textId="15D2529E" w:rsidR="00DD28C1" w:rsidRPr="006D5026" w:rsidRDefault="00DD28C1" w:rsidP="00DD28C1">
            <w:pPr>
              <w:jc w:val="both"/>
              <w:rPr>
                <w:rFonts w:ascii="Times New Roman1" w:hAnsi="Times New Roman1"/>
                <w:szCs w:val="24"/>
              </w:rPr>
            </w:pPr>
            <w:r w:rsidRPr="00F9447E">
              <w:rPr>
                <w:rStyle w:val="Numatytasispastraiposriftas1"/>
                <w:szCs w:val="24"/>
              </w:rPr>
              <w:t>ne mažiau kaip 50 mėginių</w:t>
            </w:r>
          </w:p>
        </w:tc>
        <w:tc>
          <w:tcPr>
            <w:tcW w:w="2880" w:type="dxa"/>
          </w:tcPr>
          <w:p w14:paraId="35B60F83" w14:textId="77777777" w:rsidR="00DD28C1" w:rsidRPr="006D5026" w:rsidRDefault="00DD28C1" w:rsidP="00DD28C1">
            <w:pPr>
              <w:rPr>
                <w:szCs w:val="24"/>
              </w:rPr>
            </w:pPr>
          </w:p>
        </w:tc>
        <w:tc>
          <w:tcPr>
            <w:tcW w:w="3215" w:type="dxa"/>
          </w:tcPr>
          <w:p w14:paraId="247DE464" w14:textId="77777777" w:rsidR="00DD28C1" w:rsidRPr="006D5026" w:rsidRDefault="00DD28C1" w:rsidP="00DD28C1">
            <w:pPr>
              <w:rPr>
                <w:szCs w:val="24"/>
              </w:rPr>
            </w:pPr>
          </w:p>
        </w:tc>
      </w:tr>
      <w:tr w:rsidR="00DD28C1" w:rsidRPr="006D5026" w14:paraId="27AD977C" w14:textId="77777777" w:rsidTr="008A7933">
        <w:tc>
          <w:tcPr>
            <w:tcW w:w="990" w:type="dxa"/>
          </w:tcPr>
          <w:p w14:paraId="538A2410" w14:textId="44DCC2D3" w:rsidR="00DD28C1" w:rsidRPr="006D5026" w:rsidRDefault="00DD28C1" w:rsidP="00DD28C1">
            <w:pPr>
              <w:jc w:val="center"/>
              <w:rPr>
                <w:szCs w:val="24"/>
              </w:rPr>
            </w:pPr>
            <w:r w:rsidRPr="006D5026">
              <w:rPr>
                <w:szCs w:val="24"/>
              </w:rPr>
              <w:t>14.</w:t>
            </w:r>
          </w:p>
        </w:tc>
        <w:tc>
          <w:tcPr>
            <w:tcW w:w="3364" w:type="dxa"/>
          </w:tcPr>
          <w:p w14:paraId="75965FF0" w14:textId="40B82375" w:rsidR="00DD28C1" w:rsidRPr="006D5026" w:rsidRDefault="00DD28C1" w:rsidP="00DD28C1">
            <w:pPr>
              <w:jc w:val="both"/>
              <w:rPr>
                <w:bCs/>
                <w:szCs w:val="24"/>
              </w:rPr>
            </w:pPr>
            <w:r w:rsidRPr="00F9447E">
              <w:rPr>
                <w:rStyle w:val="Numatytasispastraiposriftas1"/>
                <w:color w:val="000000"/>
                <w:szCs w:val="24"/>
              </w:rPr>
              <w:t>Kokybės kontrolės metodai</w:t>
            </w:r>
          </w:p>
        </w:tc>
        <w:tc>
          <w:tcPr>
            <w:tcW w:w="5110" w:type="dxa"/>
            <w:vAlign w:val="center"/>
          </w:tcPr>
          <w:p w14:paraId="24EB6A22" w14:textId="733511D9" w:rsidR="00DD28C1" w:rsidRPr="006D5026" w:rsidRDefault="00DD28C1" w:rsidP="00DD28C1">
            <w:pPr>
              <w:jc w:val="both"/>
              <w:rPr>
                <w:szCs w:val="24"/>
              </w:rPr>
            </w:pPr>
            <w:r w:rsidRPr="00F9447E">
              <w:rPr>
                <w:rStyle w:val="Numatytasispastraiposriftas1"/>
                <w:color w:val="000000"/>
                <w:szCs w:val="24"/>
              </w:rPr>
              <w:t>- L&amp;J</w:t>
            </w:r>
          </w:p>
        </w:tc>
        <w:tc>
          <w:tcPr>
            <w:tcW w:w="2880" w:type="dxa"/>
          </w:tcPr>
          <w:p w14:paraId="76535C36" w14:textId="77777777" w:rsidR="00DD28C1" w:rsidRPr="006D5026" w:rsidRDefault="00DD28C1" w:rsidP="00DD28C1">
            <w:pPr>
              <w:rPr>
                <w:szCs w:val="24"/>
              </w:rPr>
            </w:pPr>
          </w:p>
        </w:tc>
        <w:tc>
          <w:tcPr>
            <w:tcW w:w="3215" w:type="dxa"/>
          </w:tcPr>
          <w:p w14:paraId="770576DB" w14:textId="77777777" w:rsidR="00DD28C1" w:rsidRPr="006D5026" w:rsidRDefault="00DD28C1" w:rsidP="00DD28C1">
            <w:pPr>
              <w:rPr>
                <w:szCs w:val="24"/>
              </w:rPr>
            </w:pPr>
          </w:p>
        </w:tc>
      </w:tr>
      <w:tr w:rsidR="00DD28C1" w:rsidRPr="006D5026" w14:paraId="5B5DB54C" w14:textId="77777777" w:rsidTr="008A7933">
        <w:tc>
          <w:tcPr>
            <w:tcW w:w="990" w:type="dxa"/>
          </w:tcPr>
          <w:p w14:paraId="2C160CFC" w14:textId="5C49F89A" w:rsidR="00DD28C1" w:rsidRPr="006D5026" w:rsidRDefault="00DD28C1" w:rsidP="00DD28C1">
            <w:pPr>
              <w:jc w:val="center"/>
              <w:rPr>
                <w:szCs w:val="24"/>
              </w:rPr>
            </w:pPr>
            <w:r w:rsidRPr="006D5026">
              <w:rPr>
                <w:szCs w:val="24"/>
              </w:rPr>
              <w:t>15.</w:t>
            </w:r>
          </w:p>
        </w:tc>
        <w:tc>
          <w:tcPr>
            <w:tcW w:w="3364" w:type="dxa"/>
          </w:tcPr>
          <w:p w14:paraId="64FCF783" w14:textId="3F4FE2C2" w:rsidR="00DD28C1" w:rsidRPr="006D5026" w:rsidRDefault="00DD28C1" w:rsidP="00DD28C1">
            <w:pPr>
              <w:jc w:val="both"/>
              <w:rPr>
                <w:szCs w:val="24"/>
              </w:rPr>
            </w:pPr>
            <w:r w:rsidRPr="00F9447E">
              <w:rPr>
                <w:rStyle w:val="Numatytasispastraiposriftas1"/>
                <w:color w:val="000000"/>
                <w:szCs w:val="24"/>
              </w:rPr>
              <w:t>Analizatorius automatiškai braižo kokybės kontrolės kreives. Kreives galima stebėti analizatoriaus ekrane ir atsispausdinti.</w:t>
            </w:r>
          </w:p>
        </w:tc>
        <w:tc>
          <w:tcPr>
            <w:tcW w:w="5110" w:type="dxa"/>
            <w:vAlign w:val="center"/>
          </w:tcPr>
          <w:p w14:paraId="57B03FDE" w14:textId="0B620E0E"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1F8F1B57" w14:textId="77777777" w:rsidR="00DD28C1" w:rsidRPr="006D5026" w:rsidRDefault="00DD28C1" w:rsidP="00DD28C1">
            <w:pPr>
              <w:rPr>
                <w:szCs w:val="24"/>
              </w:rPr>
            </w:pPr>
          </w:p>
        </w:tc>
        <w:tc>
          <w:tcPr>
            <w:tcW w:w="3215" w:type="dxa"/>
          </w:tcPr>
          <w:p w14:paraId="50189D77" w14:textId="77777777" w:rsidR="00DD28C1" w:rsidRPr="006D5026" w:rsidRDefault="00DD28C1" w:rsidP="00DD28C1">
            <w:pPr>
              <w:rPr>
                <w:szCs w:val="24"/>
              </w:rPr>
            </w:pPr>
          </w:p>
        </w:tc>
      </w:tr>
      <w:tr w:rsidR="00DD28C1" w:rsidRPr="006D5026" w14:paraId="52810B10" w14:textId="77777777" w:rsidTr="008A7933">
        <w:tc>
          <w:tcPr>
            <w:tcW w:w="990" w:type="dxa"/>
          </w:tcPr>
          <w:p w14:paraId="589BF98F" w14:textId="783CC3ED" w:rsidR="00DD28C1" w:rsidRPr="006D5026" w:rsidRDefault="00DD28C1" w:rsidP="00DD28C1">
            <w:pPr>
              <w:jc w:val="center"/>
              <w:rPr>
                <w:szCs w:val="24"/>
              </w:rPr>
            </w:pPr>
            <w:r w:rsidRPr="006D5026">
              <w:rPr>
                <w:szCs w:val="24"/>
              </w:rPr>
              <w:t>16.</w:t>
            </w:r>
          </w:p>
        </w:tc>
        <w:tc>
          <w:tcPr>
            <w:tcW w:w="3364" w:type="dxa"/>
          </w:tcPr>
          <w:p w14:paraId="72C1BA76" w14:textId="76BB1380" w:rsidR="00DD28C1" w:rsidRPr="006D5026" w:rsidRDefault="00DD28C1" w:rsidP="00DD28C1">
            <w:pPr>
              <w:jc w:val="both"/>
              <w:rPr>
                <w:szCs w:val="24"/>
              </w:rPr>
            </w:pPr>
            <w:r w:rsidRPr="00F9447E">
              <w:rPr>
                <w:rStyle w:val="Numatytasispastraiposriftas1"/>
                <w:color w:val="000000"/>
                <w:szCs w:val="24"/>
              </w:rPr>
              <w:t xml:space="preserve">Vidinė analizatoriaus atmintis ne mažiau 10000 pacientų skaitmeninių duomenų </w:t>
            </w:r>
          </w:p>
        </w:tc>
        <w:tc>
          <w:tcPr>
            <w:tcW w:w="5110" w:type="dxa"/>
            <w:vAlign w:val="center"/>
          </w:tcPr>
          <w:p w14:paraId="0D1B4711" w14:textId="68991A6C"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6A8216F0" w14:textId="77777777" w:rsidR="00DD28C1" w:rsidRPr="006D5026" w:rsidRDefault="00DD28C1" w:rsidP="00DD28C1">
            <w:pPr>
              <w:rPr>
                <w:szCs w:val="24"/>
              </w:rPr>
            </w:pPr>
          </w:p>
        </w:tc>
        <w:tc>
          <w:tcPr>
            <w:tcW w:w="3215" w:type="dxa"/>
          </w:tcPr>
          <w:p w14:paraId="1BB6E522" w14:textId="77777777" w:rsidR="00DD28C1" w:rsidRPr="006D5026" w:rsidRDefault="00DD28C1" w:rsidP="00DD28C1">
            <w:pPr>
              <w:rPr>
                <w:szCs w:val="24"/>
              </w:rPr>
            </w:pPr>
          </w:p>
        </w:tc>
      </w:tr>
      <w:tr w:rsidR="00DD28C1" w:rsidRPr="006D5026" w14:paraId="07F249F4" w14:textId="77777777" w:rsidTr="008A7933">
        <w:tc>
          <w:tcPr>
            <w:tcW w:w="990" w:type="dxa"/>
          </w:tcPr>
          <w:p w14:paraId="3B924A1E" w14:textId="6D674876" w:rsidR="00DD28C1" w:rsidRPr="006D5026" w:rsidRDefault="00DD28C1" w:rsidP="00DD28C1">
            <w:pPr>
              <w:jc w:val="center"/>
              <w:rPr>
                <w:szCs w:val="24"/>
              </w:rPr>
            </w:pPr>
            <w:r w:rsidRPr="006D5026">
              <w:rPr>
                <w:szCs w:val="24"/>
              </w:rPr>
              <w:t>17.</w:t>
            </w:r>
          </w:p>
        </w:tc>
        <w:tc>
          <w:tcPr>
            <w:tcW w:w="3364" w:type="dxa"/>
          </w:tcPr>
          <w:p w14:paraId="76322A8D" w14:textId="5497893C" w:rsidR="00DD28C1" w:rsidRPr="006D5026" w:rsidRDefault="00DD28C1" w:rsidP="00DD28C1">
            <w:pPr>
              <w:jc w:val="both"/>
              <w:rPr>
                <w:szCs w:val="24"/>
              </w:rPr>
            </w:pPr>
            <w:r w:rsidRPr="00F9447E">
              <w:rPr>
                <w:rStyle w:val="Numatytasispastraiposriftas1"/>
                <w:color w:val="000000"/>
                <w:szCs w:val="24"/>
              </w:rPr>
              <w:t>Integruotas vidinis brūkšninių kodų skaitytuvas, mėginių informacijos nuskaitymui + išorinis skaitytuvas reagentų duomenų nuskaitymui</w:t>
            </w:r>
          </w:p>
        </w:tc>
        <w:tc>
          <w:tcPr>
            <w:tcW w:w="5110" w:type="dxa"/>
            <w:vAlign w:val="center"/>
          </w:tcPr>
          <w:p w14:paraId="7D975243" w14:textId="5478A121"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313BDC09" w14:textId="77777777" w:rsidR="00DD28C1" w:rsidRPr="006D5026" w:rsidRDefault="00DD28C1" w:rsidP="00DD28C1">
            <w:pPr>
              <w:rPr>
                <w:szCs w:val="24"/>
              </w:rPr>
            </w:pPr>
          </w:p>
        </w:tc>
        <w:tc>
          <w:tcPr>
            <w:tcW w:w="3215" w:type="dxa"/>
          </w:tcPr>
          <w:p w14:paraId="60751D4F" w14:textId="77777777" w:rsidR="00DD28C1" w:rsidRPr="006D5026" w:rsidRDefault="00DD28C1" w:rsidP="00DD28C1">
            <w:pPr>
              <w:rPr>
                <w:szCs w:val="24"/>
              </w:rPr>
            </w:pPr>
          </w:p>
        </w:tc>
      </w:tr>
      <w:tr w:rsidR="00DD28C1" w:rsidRPr="006D5026" w14:paraId="68274723" w14:textId="77777777" w:rsidTr="008A7933">
        <w:tc>
          <w:tcPr>
            <w:tcW w:w="990" w:type="dxa"/>
          </w:tcPr>
          <w:p w14:paraId="58721485" w14:textId="0FD24795" w:rsidR="00DD28C1" w:rsidRPr="006D5026" w:rsidRDefault="00DD28C1" w:rsidP="00DD28C1">
            <w:pPr>
              <w:jc w:val="center"/>
              <w:rPr>
                <w:szCs w:val="24"/>
              </w:rPr>
            </w:pPr>
            <w:r w:rsidRPr="006D5026">
              <w:rPr>
                <w:szCs w:val="24"/>
              </w:rPr>
              <w:t>1</w:t>
            </w:r>
            <w:r>
              <w:rPr>
                <w:szCs w:val="24"/>
              </w:rPr>
              <w:t>8</w:t>
            </w:r>
            <w:r w:rsidRPr="006D5026">
              <w:rPr>
                <w:szCs w:val="24"/>
              </w:rPr>
              <w:t>.</w:t>
            </w:r>
          </w:p>
        </w:tc>
        <w:tc>
          <w:tcPr>
            <w:tcW w:w="3364" w:type="dxa"/>
          </w:tcPr>
          <w:p w14:paraId="2B8A0BB5" w14:textId="3B236EF3" w:rsidR="00DD28C1" w:rsidRPr="006D5026" w:rsidRDefault="00DD28C1" w:rsidP="00DD28C1">
            <w:pPr>
              <w:jc w:val="both"/>
              <w:rPr>
                <w:szCs w:val="24"/>
              </w:rPr>
            </w:pPr>
            <w:r w:rsidRPr="00F9447E">
              <w:rPr>
                <w:color w:val="222222"/>
                <w:shd w:val="clear" w:color="auto" w:fill="FFFFFF"/>
              </w:rPr>
              <w:t>Analizatorius turi jungtis į LIS dvikrypčiu ryšiu</w:t>
            </w:r>
          </w:p>
        </w:tc>
        <w:tc>
          <w:tcPr>
            <w:tcW w:w="5110" w:type="dxa"/>
            <w:vAlign w:val="center"/>
          </w:tcPr>
          <w:p w14:paraId="69EFECFA" w14:textId="59643EE9" w:rsidR="00DD28C1" w:rsidRPr="006D5026" w:rsidRDefault="00DD28C1" w:rsidP="00DD28C1">
            <w:pPr>
              <w:jc w:val="both"/>
              <w:rPr>
                <w:szCs w:val="24"/>
              </w:rPr>
            </w:pPr>
            <w:r w:rsidRPr="00F9447E">
              <w:rPr>
                <w:rStyle w:val="Numatytasispastraiposriftas1"/>
                <w:color w:val="000000"/>
                <w:szCs w:val="24"/>
              </w:rPr>
              <w:t>Būtina</w:t>
            </w:r>
          </w:p>
        </w:tc>
        <w:tc>
          <w:tcPr>
            <w:tcW w:w="2880" w:type="dxa"/>
          </w:tcPr>
          <w:p w14:paraId="346324F0" w14:textId="77777777" w:rsidR="00DD28C1" w:rsidRPr="006D5026" w:rsidRDefault="00DD28C1" w:rsidP="00DD28C1">
            <w:pPr>
              <w:rPr>
                <w:szCs w:val="24"/>
              </w:rPr>
            </w:pPr>
          </w:p>
        </w:tc>
        <w:tc>
          <w:tcPr>
            <w:tcW w:w="3215" w:type="dxa"/>
          </w:tcPr>
          <w:p w14:paraId="5A8CD72A" w14:textId="77777777" w:rsidR="00DD28C1" w:rsidRPr="006D5026" w:rsidRDefault="00DD28C1" w:rsidP="00DD28C1">
            <w:pPr>
              <w:rPr>
                <w:szCs w:val="24"/>
              </w:rPr>
            </w:pPr>
          </w:p>
        </w:tc>
      </w:tr>
    </w:tbl>
    <w:p w14:paraId="6177EF83" w14:textId="77777777" w:rsidR="00710366" w:rsidRPr="006D5026" w:rsidRDefault="00710366" w:rsidP="00710366">
      <w:pPr>
        <w:spacing w:line="276" w:lineRule="auto"/>
        <w:ind w:left="-851"/>
        <w:jc w:val="both"/>
        <w:rPr>
          <w:b/>
          <w:szCs w:val="24"/>
        </w:rPr>
      </w:pPr>
    </w:p>
    <w:p w14:paraId="2E6456CD" w14:textId="0887EC11" w:rsidR="00710366" w:rsidRPr="006D5026" w:rsidRDefault="00710366" w:rsidP="00710366">
      <w:pPr>
        <w:spacing w:line="276" w:lineRule="auto"/>
        <w:ind w:left="-851"/>
        <w:jc w:val="both"/>
        <w:rPr>
          <w:b/>
          <w:szCs w:val="24"/>
        </w:rPr>
      </w:pPr>
      <w:r w:rsidRPr="006D5026">
        <w:rPr>
          <w:b/>
          <w:szCs w:val="24"/>
        </w:rPr>
        <w:t>Bendrieji reikalavimai:</w:t>
      </w:r>
    </w:p>
    <w:p w14:paraId="5A62D269" w14:textId="737CD23F" w:rsidR="00710366" w:rsidRPr="006D5026" w:rsidRDefault="00710366" w:rsidP="00710366">
      <w:pPr>
        <w:ind w:left="-851"/>
        <w:jc w:val="both"/>
        <w:rPr>
          <w:szCs w:val="24"/>
        </w:rPr>
      </w:pPr>
      <w:r w:rsidRPr="006D5026">
        <w:rPr>
          <w:szCs w:val="24"/>
        </w:rPr>
        <w:t>1. Siūlom</w:t>
      </w:r>
      <w:r w:rsidR="00DD28C1">
        <w:rPr>
          <w:szCs w:val="24"/>
        </w:rPr>
        <w:t xml:space="preserve">as hematologinis analizatorius </w:t>
      </w:r>
      <w:r w:rsidRPr="006D5026">
        <w:rPr>
          <w:szCs w:val="24"/>
        </w:rPr>
        <w:t>(toliau – įranga ir/ar prietaisas ir/ar analizatorius ir/ar sistema) turi būti ženklinta</w:t>
      </w:r>
      <w:r w:rsidR="00DD28C1">
        <w:rPr>
          <w:szCs w:val="24"/>
        </w:rPr>
        <w:t>s</w:t>
      </w:r>
      <w:r w:rsidRPr="006D5026">
        <w:rPr>
          <w:szCs w:val="24"/>
        </w:rPr>
        <w:t xml:space="preserve"> CE ženklu ir turėti galiojantį CE sertifikatą arba EB atitikties deklaraciją pagal Europos Parlamento ir Tarybos Direktyvos 98/78/EB dėl in vitro diagnostikos medicinos prietaisų nuostatas arba pagal Europos Parlamento ir Tarybos Reglamento (ES) 2017/746 nuostatas.</w:t>
      </w:r>
    </w:p>
    <w:p w14:paraId="1C2EDB1E" w14:textId="77777777" w:rsidR="00710366" w:rsidRPr="006D5026" w:rsidRDefault="00710366" w:rsidP="00710366">
      <w:pPr>
        <w:tabs>
          <w:tab w:val="left" w:pos="993"/>
        </w:tabs>
        <w:spacing w:line="276" w:lineRule="auto"/>
        <w:ind w:left="-851"/>
        <w:jc w:val="both"/>
        <w:rPr>
          <w:szCs w:val="24"/>
        </w:rPr>
      </w:pPr>
      <w:r w:rsidRPr="006D5026">
        <w:rPr>
          <w:szCs w:val="24"/>
        </w:rPr>
        <w:t>2. Tiekėjas privalo pagal panaudą – neatlygintinai suteikti perkančiajai organizacijai naudotis įranga, atitinkančia šioje specifikacijoje nustatytus reikalavimus tol, kol pagal pirkimo sutartį bus perkami iš tiekėjo reagentai, medžiagos, papildomos priemonės, kontrolinės medžiagos, kalibravimo medžiagos (toliau – prekės) reikalingos nurodytam konkurso sąlygų 2 priede maksimaliam tyrimų skaičiui atlikti.</w:t>
      </w:r>
    </w:p>
    <w:p w14:paraId="4C98C0A0" w14:textId="66BA2302" w:rsidR="00710366" w:rsidRPr="006D5026" w:rsidRDefault="00710366" w:rsidP="00710366">
      <w:pPr>
        <w:tabs>
          <w:tab w:val="left" w:pos="284"/>
          <w:tab w:val="left" w:pos="993"/>
        </w:tabs>
        <w:spacing w:line="276" w:lineRule="auto"/>
        <w:ind w:left="-851"/>
        <w:jc w:val="both"/>
        <w:rPr>
          <w:szCs w:val="24"/>
        </w:rPr>
      </w:pPr>
      <w:r w:rsidRPr="006D5026">
        <w:rPr>
          <w:szCs w:val="24"/>
        </w:rPr>
        <w:t>3. Tiekėjas privalo supažindinti perkančiąją organizaciją su perduodam</w:t>
      </w:r>
      <w:r w:rsidR="0076639D" w:rsidRPr="006D5026">
        <w:rPr>
          <w:szCs w:val="24"/>
        </w:rPr>
        <w:t>os</w:t>
      </w:r>
      <w:r w:rsidRPr="006D5026">
        <w:rPr>
          <w:szCs w:val="24"/>
        </w:rPr>
        <w:t xml:space="preserve"> įrang</w:t>
      </w:r>
      <w:r w:rsidR="0076639D" w:rsidRPr="006D5026">
        <w:rPr>
          <w:szCs w:val="24"/>
        </w:rPr>
        <w:t>os</w:t>
      </w:r>
      <w:r w:rsidRPr="006D5026">
        <w:rPr>
          <w:szCs w:val="24"/>
        </w:rPr>
        <w:t xml:space="preserve"> naudojimo ypatumais, perduoti įrangos vartotojo instrukciją (lietuvių kalba), pateikti pilnai užpildytus įrangos techninius pasus. Ne vėliau kaip per </w:t>
      </w:r>
      <w:r w:rsidR="00733186">
        <w:rPr>
          <w:szCs w:val="24"/>
        </w:rPr>
        <w:t>5</w:t>
      </w:r>
      <w:r w:rsidRPr="006D5026">
        <w:rPr>
          <w:szCs w:val="24"/>
        </w:rPr>
        <w:t xml:space="preserve"> (</w:t>
      </w:r>
      <w:r w:rsidR="00733186">
        <w:rPr>
          <w:szCs w:val="24"/>
        </w:rPr>
        <w:t>penkias</w:t>
      </w:r>
      <w:r w:rsidRPr="006D5026">
        <w:rPr>
          <w:szCs w:val="24"/>
        </w:rPr>
        <w:t>) darbo dienas po įrangos pristatymo dienos apmokyti perkančiosios organizacijos personalą naudotis perduodama įranga ir išduoti apmokymo pažymėjimus.</w:t>
      </w:r>
    </w:p>
    <w:p w14:paraId="18681E58" w14:textId="77777777" w:rsidR="00710366" w:rsidRPr="006D5026" w:rsidRDefault="00710366" w:rsidP="00710366">
      <w:pPr>
        <w:spacing w:line="276" w:lineRule="auto"/>
        <w:ind w:left="-851"/>
        <w:jc w:val="both"/>
        <w:rPr>
          <w:szCs w:val="24"/>
          <w:u w:val="single"/>
        </w:rPr>
      </w:pPr>
      <w:r w:rsidRPr="006D5026">
        <w:rPr>
          <w:szCs w:val="24"/>
        </w:rPr>
        <w:lastRenderedPageBreak/>
        <w:t xml:space="preserve">5. </w:t>
      </w:r>
      <w:r w:rsidRPr="006D5026">
        <w:rPr>
          <w:b/>
          <w:szCs w:val="24"/>
          <w:u w:val="single"/>
        </w:rPr>
        <w:t>Kartu su pasiūlymu</w:t>
      </w:r>
      <w:r w:rsidRPr="006D5026">
        <w:rPr>
          <w:szCs w:val="24"/>
          <w:u w:val="single"/>
        </w:rPr>
        <w:t xml:space="preserve"> turi būti pateikti dokumentai, įrodantys įrangos atitikimą šioje specifikacijoje nurodytiems parametrams,</w:t>
      </w:r>
      <w:r w:rsidRPr="006D5026">
        <w:rPr>
          <w:szCs w:val="24"/>
        </w:rPr>
        <w:t xml:space="preserve"> </w:t>
      </w:r>
      <w:r w:rsidRPr="006D5026">
        <w:rPr>
          <w:szCs w:val="24"/>
          <w:u w:val="single"/>
        </w:rPr>
        <w:t>kuriuose tiekėjas privalo tiksliai pažymėti atitikimo vietą (-as) gamintojo dokumentacijoje (nepateikus šios informacijos arba pateikus klaidinančią informaciją, pasiūlymas gali būti atmestas):</w:t>
      </w:r>
    </w:p>
    <w:p w14:paraId="388F6462" w14:textId="76437C26" w:rsidR="00710366" w:rsidRPr="006D5026" w:rsidRDefault="00710366" w:rsidP="00710366">
      <w:pPr>
        <w:tabs>
          <w:tab w:val="left" w:pos="426"/>
          <w:tab w:val="left" w:pos="993"/>
        </w:tabs>
        <w:spacing w:line="276" w:lineRule="auto"/>
        <w:ind w:left="-851"/>
        <w:jc w:val="both"/>
        <w:rPr>
          <w:caps/>
          <w:spacing w:val="100"/>
          <w:szCs w:val="24"/>
        </w:rPr>
      </w:pPr>
      <w:r w:rsidRPr="006D5026">
        <w:rPr>
          <w:szCs w:val="24"/>
          <w:u w:val="single"/>
        </w:rPr>
        <w:t>5.</w:t>
      </w:r>
      <w:r w:rsidR="000A1E19" w:rsidRPr="006D5026">
        <w:rPr>
          <w:szCs w:val="24"/>
          <w:u w:val="single"/>
        </w:rPr>
        <w:t>1</w:t>
      </w:r>
      <w:r w:rsidRPr="006D5026">
        <w:rPr>
          <w:szCs w:val="24"/>
          <w:u w:val="single"/>
        </w:rPr>
        <w:t>. gamintojo katalogus, bukletus, techninius aprašus ar kitus dokumentus, originalo ir lietuvių kalbomis, juose pažymint siūlomą parametrą ir nurodant jo eilės Nr., esantį šioje specifikacijoje</w:t>
      </w:r>
      <w:r w:rsidRPr="006D5026">
        <w:rPr>
          <w:szCs w:val="24"/>
        </w:rPr>
        <w:t>. Jeigu gamintojo katalogai, bukletai, techniniai aprašai ar kiti dokumentai, įrodantys prietaiso atitikimą šioje specifikacijoje nurodytiems parametrams, bus pateikti anglų kalba, tai jų vertimas į lietuvių kalbą nebūtinas.</w:t>
      </w:r>
    </w:p>
    <w:p w14:paraId="700ADDE3" w14:textId="1C904DF6" w:rsidR="00710366" w:rsidRPr="006D5026" w:rsidRDefault="00710366" w:rsidP="00710366">
      <w:pPr>
        <w:tabs>
          <w:tab w:val="left" w:pos="993"/>
        </w:tabs>
        <w:spacing w:line="276" w:lineRule="auto"/>
        <w:ind w:left="-851"/>
        <w:jc w:val="both"/>
        <w:rPr>
          <w:szCs w:val="24"/>
        </w:rPr>
      </w:pPr>
      <w:r w:rsidRPr="006D5026">
        <w:rPr>
          <w:szCs w:val="24"/>
        </w:rPr>
        <w:t>6. Tiekėjas privalo savo sąskaita užtikrinti, kad įranga bus pristatyta, surinkta, sumontuota/instaliuota/įdiegta perkančiosios organizacijos adres</w:t>
      </w:r>
      <w:r w:rsidR="00C656AF">
        <w:rPr>
          <w:szCs w:val="24"/>
        </w:rPr>
        <w:t>u</w:t>
      </w:r>
      <w:r w:rsidRPr="006D5026">
        <w:rPr>
          <w:szCs w:val="24"/>
        </w:rPr>
        <w:t xml:space="preserve"> </w:t>
      </w:r>
      <w:r w:rsidR="008E47A6" w:rsidRPr="006D5026">
        <w:rPr>
          <w:sz w:val="23"/>
          <w:szCs w:val="23"/>
        </w:rPr>
        <w:t xml:space="preserve">V. Sirokomlės g. 8, Vilnius 11200, </w:t>
      </w:r>
      <w:r w:rsidR="006D5026" w:rsidRPr="006D5026">
        <w:rPr>
          <w:szCs w:val="24"/>
        </w:rPr>
        <w:t xml:space="preserve"> </w:t>
      </w:r>
      <w:r w:rsidRPr="006D5026">
        <w:rPr>
          <w:szCs w:val="24"/>
        </w:rPr>
        <w:t xml:space="preserve">paruošta darbui ir suderinta/išbandyta ne vėliau kaip per 60 (šešiasdešimt) kalendorinių dienų nuo panaudos sutarties pasirašymo. </w:t>
      </w:r>
    </w:p>
    <w:p w14:paraId="6BEF48F2" w14:textId="77777777" w:rsidR="00710366" w:rsidRPr="006D5026" w:rsidRDefault="00710366" w:rsidP="00710366">
      <w:pPr>
        <w:tabs>
          <w:tab w:val="left" w:pos="993"/>
        </w:tabs>
        <w:spacing w:line="276" w:lineRule="auto"/>
        <w:ind w:left="-851"/>
        <w:jc w:val="both"/>
        <w:rPr>
          <w:szCs w:val="24"/>
        </w:rPr>
      </w:pPr>
      <w:r w:rsidRPr="006D5026">
        <w:rPr>
          <w:szCs w:val="24"/>
        </w:rPr>
        <w:t xml:space="preserve">Kartu su įranga pristatoma: nepertraukiamo maitinimo šaltinis (-iai), spausdintuvas, reikalinga programinė įranga ir kt. Jeigu įranga valdoma išorinio kompiuterio pagalba, pristatomas (komplektuojamas) su kompiuteriu. </w:t>
      </w:r>
    </w:p>
    <w:p w14:paraId="55CE52F1" w14:textId="77777777" w:rsidR="00710366" w:rsidRPr="006D5026" w:rsidRDefault="00710366" w:rsidP="00710366">
      <w:pPr>
        <w:ind w:left="-851"/>
        <w:jc w:val="both"/>
        <w:rPr>
          <w:szCs w:val="24"/>
        </w:rPr>
      </w:pPr>
      <w:r w:rsidRPr="006D5026">
        <w:rPr>
          <w:szCs w:val="24"/>
        </w:rPr>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6750B819" w14:textId="77777777" w:rsidR="00710366" w:rsidRPr="006D5026" w:rsidRDefault="00710366" w:rsidP="00710366">
      <w:pPr>
        <w:tabs>
          <w:tab w:val="left" w:pos="993"/>
        </w:tabs>
        <w:spacing w:line="276" w:lineRule="auto"/>
        <w:ind w:left="-851"/>
        <w:jc w:val="both"/>
        <w:rPr>
          <w:szCs w:val="24"/>
        </w:rPr>
      </w:pPr>
      <w:r w:rsidRPr="006D5026">
        <w:rPr>
          <w:szCs w:val="24"/>
        </w:rPr>
        <w:t xml:space="preserve">7. </w:t>
      </w:r>
      <w:r w:rsidRPr="006D5026">
        <w:rPr>
          <w:szCs w:val="24"/>
          <w:lang w:eastAsia="zh-CN"/>
        </w:rPr>
        <w:t>Visos siūlomos prekės turi būti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p>
    <w:p w14:paraId="1EB37B0A" w14:textId="77777777" w:rsidR="00710366" w:rsidRPr="006D5026" w:rsidRDefault="00710366" w:rsidP="00710366">
      <w:pPr>
        <w:spacing w:line="276" w:lineRule="auto"/>
        <w:ind w:left="-851"/>
        <w:jc w:val="both"/>
        <w:rPr>
          <w:szCs w:val="24"/>
        </w:rPr>
      </w:pPr>
      <w:r w:rsidRPr="006D5026">
        <w:rPr>
          <w:szCs w:val="24"/>
        </w:rPr>
        <w:t xml:space="preserve">8. Tiekėjas privalo savo sąskaita užtikrinti perduotos įrangos techninę priežiūrą gamintojo rekomenduojamu periodiškumu, galimų defektų ir/ar gedimų šalinimą/remontą, įskaitant reikalingas detales bei medžiagas, visą panaudos sutarties galiojimo terminą. </w:t>
      </w:r>
    </w:p>
    <w:p w14:paraId="6683EDF2" w14:textId="3583A2E0" w:rsidR="00710366" w:rsidRPr="006D5026" w:rsidRDefault="00710366" w:rsidP="00710366">
      <w:pPr>
        <w:spacing w:line="276" w:lineRule="auto"/>
        <w:ind w:left="-851"/>
        <w:jc w:val="both"/>
        <w:rPr>
          <w:szCs w:val="24"/>
        </w:rPr>
      </w:pPr>
      <w:r w:rsidRPr="006D5026">
        <w:rPr>
          <w:szCs w:val="24"/>
        </w:rPr>
        <w:t>9. Tiekėjas privalo savo sąskaita užtikrinti, kad įrangos techninė</w:t>
      </w:r>
      <w:r w:rsidR="008E47A6" w:rsidRPr="006D5026">
        <w:rPr>
          <w:szCs w:val="24"/>
        </w:rPr>
        <w:t>s</w:t>
      </w:r>
      <w:r w:rsidRPr="006D5026">
        <w:rPr>
          <w:szCs w:val="24"/>
        </w:rPr>
        <w:t xml:space="preserve"> priežiūr</w:t>
      </w:r>
      <w:r w:rsidR="008E47A6" w:rsidRPr="006D5026">
        <w:rPr>
          <w:szCs w:val="24"/>
        </w:rPr>
        <w:t>os</w:t>
      </w:r>
      <w:r w:rsidRPr="006D5026">
        <w:rPr>
          <w:szCs w:val="24"/>
        </w:rPr>
        <w:t>, techninė</w:t>
      </w:r>
      <w:r w:rsidR="008E47A6" w:rsidRPr="006D5026">
        <w:rPr>
          <w:szCs w:val="24"/>
        </w:rPr>
        <w:t>s</w:t>
      </w:r>
      <w:r w:rsidRPr="006D5026">
        <w:rPr>
          <w:szCs w:val="24"/>
        </w:rPr>
        <w:t xml:space="preserve"> būklės tikrinimas ir galimų defektų ir/ar gedimų šalinimas/remontas bus vykdomi pagal įrangos gamintojo (-jų) parengtas technines instrukcijas/rekomendacijas adres</w:t>
      </w:r>
      <w:r w:rsidR="008E47A6" w:rsidRPr="006D5026">
        <w:rPr>
          <w:szCs w:val="24"/>
        </w:rPr>
        <w:t>ais</w:t>
      </w:r>
      <w:r w:rsidRPr="006D5026">
        <w:rPr>
          <w:szCs w:val="24"/>
        </w:rPr>
        <w:t xml:space="preserve"> </w:t>
      </w:r>
      <w:r w:rsidR="008E47A6" w:rsidRPr="006D5026">
        <w:rPr>
          <w:sz w:val="23"/>
          <w:szCs w:val="23"/>
        </w:rPr>
        <w:t>V. Sirokomlės g. 8, Vilnius 11200</w:t>
      </w:r>
      <w:r w:rsidR="008E47A6" w:rsidRPr="006D5026">
        <w:rPr>
          <w:szCs w:val="24"/>
        </w:rPr>
        <w:t>.</w:t>
      </w:r>
    </w:p>
    <w:p w14:paraId="6E4C4968" w14:textId="2F3DF625" w:rsidR="00710366" w:rsidRPr="006D5026" w:rsidRDefault="00710366" w:rsidP="00710366">
      <w:pPr>
        <w:spacing w:line="276" w:lineRule="auto"/>
        <w:ind w:left="-851"/>
        <w:jc w:val="both"/>
        <w:rPr>
          <w:szCs w:val="24"/>
        </w:rPr>
      </w:pPr>
      <w:r w:rsidRPr="006D5026">
        <w:rPr>
          <w:szCs w:val="24"/>
        </w:rPr>
        <w:t xml:space="preserve">10. Tiekėjas galimų defektų ir/ar gedimų atveju privalo savo sąskaita šalinti/remontuoti visus defektus ir/ar gedimus arba sugedusią įrangos detalę (-es) (komponentą (-us) pakeisti ekvivalentiška (-ais) perkančiosios organizacijos patalpose ( </w:t>
      </w:r>
      <w:r w:rsidR="008E47A6" w:rsidRPr="006D5026">
        <w:rPr>
          <w:sz w:val="23"/>
          <w:szCs w:val="23"/>
        </w:rPr>
        <w:t>V. Sirokomlės g. 8, Vilnius 11200</w:t>
      </w:r>
      <w:r w:rsidRPr="006D5026">
        <w:rPr>
          <w:szCs w:val="24"/>
        </w:rPr>
        <w:t xml:space="preserve">) </w:t>
      </w:r>
      <w:r w:rsidRPr="006D5026">
        <w:rPr>
          <w:b/>
          <w:szCs w:val="24"/>
        </w:rPr>
        <w:t>ne vėliau kaip per 4 (keturias) valandas</w:t>
      </w:r>
      <w:r w:rsidRPr="006D5026">
        <w:rPr>
          <w:szCs w:val="24"/>
        </w:rPr>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w:t>
      </w:r>
      <w:bookmarkStart w:id="0" w:name="_Hlk21003614"/>
      <w:r w:rsidRPr="006D5026">
        <w:rPr>
          <w:szCs w:val="24"/>
        </w:rPr>
        <w:t>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išlaidas tokiu atveju apmoka Tiekėjas</w:t>
      </w:r>
      <w:bookmarkEnd w:id="0"/>
      <w:r w:rsidRPr="006D5026">
        <w:rPr>
          <w:szCs w:val="24"/>
        </w:rPr>
        <w:t>.</w:t>
      </w:r>
    </w:p>
    <w:p w14:paraId="7FA91B94" w14:textId="77777777" w:rsidR="00710366" w:rsidRPr="006D5026" w:rsidRDefault="00710366" w:rsidP="00710366">
      <w:pPr>
        <w:spacing w:line="276" w:lineRule="auto"/>
        <w:ind w:left="-851"/>
        <w:jc w:val="both"/>
        <w:rPr>
          <w:szCs w:val="24"/>
        </w:rPr>
      </w:pPr>
      <w:r w:rsidRPr="006D5026">
        <w:rPr>
          <w:szCs w:val="24"/>
        </w:rPr>
        <w:t xml:space="preserve">11. Visą sutarties galiojimo laikotarpį tiekėjas įsipareigoja teikti nemokamą kvalifikuotų specialistų konsultaciją ir pagalbą visais klausimais, susijusiais su teikiamų prekių ir įrangos kokybišku darbu. </w:t>
      </w:r>
    </w:p>
    <w:p w14:paraId="15940643" w14:textId="77777777" w:rsidR="00710366" w:rsidRPr="006D5026" w:rsidRDefault="00710366" w:rsidP="00710366">
      <w:pPr>
        <w:pStyle w:val="Body"/>
        <w:spacing w:line="276" w:lineRule="auto"/>
        <w:ind w:left="-851"/>
        <w:jc w:val="both"/>
        <w:rPr>
          <w:rFonts w:ascii="Times New Roman" w:hAnsi="Times New Roman"/>
          <w:b/>
          <w:iCs/>
          <w:color w:val="auto"/>
          <w:szCs w:val="24"/>
        </w:rPr>
      </w:pPr>
      <w:r w:rsidRPr="006D5026">
        <w:rPr>
          <w:rFonts w:ascii="Times New Roman" w:hAnsi="Times New Roman"/>
          <w:b/>
          <w:iCs/>
          <w:color w:val="auto"/>
          <w:szCs w:val="24"/>
        </w:rPr>
        <w:lastRenderedPageBreak/>
        <w:t>12. Aplinkosauginiai reikalavimai:</w:t>
      </w:r>
    </w:p>
    <w:p w14:paraId="6AC0F7CD" w14:textId="77777777" w:rsidR="00710366" w:rsidRPr="006D5026" w:rsidRDefault="00710366" w:rsidP="00710366">
      <w:pPr>
        <w:pStyle w:val="Body"/>
        <w:spacing w:line="276" w:lineRule="auto"/>
        <w:ind w:left="-851"/>
        <w:jc w:val="both"/>
        <w:rPr>
          <w:rFonts w:ascii="Times New Roman" w:hAnsi="Times New Roman"/>
          <w:i/>
          <w:color w:val="auto"/>
          <w:szCs w:val="24"/>
        </w:rPr>
      </w:pPr>
      <w:r w:rsidRPr="006D5026">
        <w:rPr>
          <w:rFonts w:ascii="Times New Roman" w:hAnsi="Times New Roman"/>
          <w:color w:val="auto"/>
          <w:szCs w:val="24"/>
        </w:rPr>
        <w:t xml:space="preserve">12.1. Būtinas automatizuotos sistemos naudojimas visuose produkto gyvavimo ciklo etapuose: automatizuota sistema turi būti tvirta, ilgaamžė, funkcionali, jos sudedamosios dalys tinkamos naudoti daug kartų. </w:t>
      </w:r>
      <w:r w:rsidRPr="006D5026">
        <w:rPr>
          <w:rFonts w:ascii="Times New Roman" w:hAnsi="Times New Roman"/>
          <w:i/>
          <w:color w:val="auto"/>
          <w:szCs w:val="24"/>
        </w:rPr>
        <w:t>Tiekėjas kartu su pasiūlymu privalo pateikti laisvos formos tiekėjo deklaraciją.</w:t>
      </w:r>
    </w:p>
    <w:p w14:paraId="07EF6DE9" w14:textId="77777777" w:rsidR="00710366" w:rsidRPr="006D5026" w:rsidRDefault="00710366" w:rsidP="00710366">
      <w:pPr>
        <w:ind w:left="-851"/>
        <w:jc w:val="both"/>
        <w:rPr>
          <w:i/>
          <w:szCs w:val="24"/>
        </w:rPr>
      </w:pPr>
      <w:r w:rsidRPr="006D5026">
        <w:rPr>
          <w:szCs w:val="24"/>
        </w:rPr>
        <w:t xml:space="preserve">12.2. Būtini elektros energijos vartojimo efektyvumo didinimo mokymai: Tiekėjas privalo parengti mokymus perkančiosios organizacijos darbuotojams, kuriuose būtų aptarti elektros energijos vartojimo efektyvumo didinimo aspektai (vartojimo parametrų reguliavimas ir tikslinimas, ir kt.). </w:t>
      </w:r>
      <w:r w:rsidRPr="006D5026">
        <w:rPr>
          <w:i/>
          <w:szCs w:val="24"/>
        </w:rPr>
        <w:t>Tiekėjas kartu su pasiūlymu privalo pateikti aprašą apie ketinamus rengti mokymus arba kitus lygiaverčius įrodymus.</w:t>
      </w:r>
    </w:p>
    <w:p w14:paraId="07582F7B" w14:textId="77777777" w:rsidR="00710366" w:rsidRPr="006D5026" w:rsidRDefault="00710366" w:rsidP="00710366">
      <w:pPr>
        <w:ind w:left="-851"/>
        <w:jc w:val="both"/>
        <w:rPr>
          <w:szCs w:val="24"/>
        </w:rPr>
      </w:pPr>
    </w:p>
    <w:p w14:paraId="5D223F20" w14:textId="77777777" w:rsidR="00710366" w:rsidRPr="006D5026" w:rsidRDefault="00710366" w:rsidP="00710366">
      <w:pPr>
        <w:ind w:left="-851"/>
        <w:jc w:val="both"/>
        <w:rPr>
          <w:szCs w:val="24"/>
        </w:rPr>
      </w:pPr>
    </w:p>
    <w:p w14:paraId="05DC865F" w14:textId="77777777" w:rsidR="00710366" w:rsidRPr="006D5026" w:rsidRDefault="00710366" w:rsidP="00710366">
      <w:pPr>
        <w:ind w:left="-851"/>
        <w:jc w:val="both"/>
        <w:rPr>
          <w:szCs w:val="24"/>
        </w:rPr>
      </w:pPr>
    </w:p>
    <w:p w14:paraId="781B9285" w14:textId="77777777" w:rsidR="00710366" w:rsidRPr="006D5026" w:rsidRDefault="00710366" w:rsidP="00710366">
      <w:pPr>
        <w:jc w:val="both"/>
        <w:rPr>
          <w:szCs w:val="24"/>
        </w:rPr>
      </w:pPr>
      <w:r w:rsidRPr="006D5026">
        <w:rPr>
          <w:szCs w:val="24"/>
        </w:rPr>
        <w:t>____________________________________________</w:t>
      </w:r>
      <w:r w:rsidRPr="006D5026">
        <w:rPr>
          <w:szCs w:val="24"/>
        </w:rPr>
        <w:tab/>
        <w:t>______________________</w:t>
      </w:r>
      <w:r w:rsidRPr="006D5026">
        <w:rPr>
          <w:szCs w:val="24"/>
        </w:rPr>
        <w:tab/>
        <w:t>___________________________________</w:t>
      </w:r>
    </w:p>
    <w:p w14:paraId="54D0F85E" w14:textId="77777777" w:rsidR="00710366" w:rsidRPr="006D5026" w:rsidRDefault="00710366" w:rsidP="00710366">
      <w:pPr>
        <w:jc w:val="both"/>
        <w:rPr>
          <w:position w:val="6"/>
          <w:szCs w:val="24"/>
        </w:rPr>
      </w:pPr>
      <w:r w:rsidRPr="006D5026">
        <w:rPr>
          <w:position w:val="6"/>
          <w:szCs w:val="24"/>
        </w:rPr>
        <w:t>(Tiekėjo arba jo įgalioto asmens pareigų pavadinimas)</w:t>
      </w:r>
      <w:r w:rsidRPr="006D5026">
        <w:rPr>
          <w:position w:val="6"/>
          <w:szCs w:val="24"/>
        </w:rPr>
        <w:tab/>
      </w:r>
      <w:r w:rsidRPr="006D5026">
        <w:rPr>
          <w:position w:val="6"/>
          <w:szCs w:val="24"/>
        </w:rPr>
        <w:tab/>
        <w:t>(Parašas)</w:t>
      </w:r>
      <w:r w:rsidRPr="006D5026">
        <w:rPr>
          <w:position w:val="6"/>
          <w:szCs w:val="24"/>
        </w:rPr>
        <w:tab/>
      </w:r>
      <w:r w:rsidRPr="006D5026">
        <w:rPr>
          <w:position w:val="6"/>
          <w:szCs w:val="24"/>
        </w:rPr>
        <w:tab/>
      </w:r>
      <w:r w:rsidRPr="006D5026">
        <w:rPr>
          <w:position w:val="6"/>
          <w:szCs w:val="24"/>
        </w:rPr>
        <w:tab/>
        <w:t>(Vardas ir pavardė)</w:t>
      </w:r>
    </w:p>
    <w:p w14:paraId="6FD51852" w14:textId="77777777" w:rsidR="00710366" w:rsidRPr="006D5026" w:rsidRDefault="00710366" w:rsidP="00710366">
      <w:pPr>
        <w:jc w:val="both"/>
        <w:rPr>
          <w:szCs w:val="24"/>
        </w:rPr>
      </w:pPr>
    </w:p>
    <w:p w14:paraId="1F9449FC" w14:textId="77777777" w:rsidR="00CE156E" w:rsidRPr="006D5026" w:rsidRDefault="00CE156E" w:rsidP="00783216">
      <w:pPr>
        <w:jc w:val="both"/>
        <w:rPr>
          <w:szCs w:val="24"/>
        </w:rPr>
      </w:pPr>
    </w:p>
    <w:sectPr w:rsidR="00CE156E" w:rsidRPr="006D5026" w:rsidSect="00A24A56">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1"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4" w15:restartNumberingAfterBreak="0">
    <w:nsid w:val="52DB6C35"/>
    <w:multiLevelType w:val="multilevel"/>
    <w:tmpl w:val="E492654C"/>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43F18F4"/>
    <w:multiLevelType w:val="multilevel"/>
    <w:tmpl w:val="F98AD4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6"/>
  </w:num>
  <w:num w:numId="2" w16cid:durableId="903106047">
    <w:abstractNumId w:val="3"/>
  </w:num>
  <w:num w:numId="3" w16cid:durableId="179903021">
    <w:abstractNumId w:val="0"/>
  </w:num>
  <w:num w:numId="4" w16cid:durableId="962690564">
    <w:abstractNumId w:val="2"/>
  </w:num>
  <w:num w:numId="5" w16cid:durableId="1256744732">
    <w:abstractNumId w:val="7"/>
  </w:num>
  <w:num w:numId="6" w16cid:durableId="1308902976">
    <w:abstractNumId w:val="1"/>
  </w:num>
  <w:num w:numId="7" w16cid:durableId="1615134755">
    <w:abstractNumId w:val="5"/>
  </w:num>
  <w:num w:numId="8" w16cid:durableId="207862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11193"/>
    <w:rsid w:val="00052839"/>
    <w:rsid w:val="00066463"/>
    <w:rsid w:val="000741C7"/>
    <w:rsid w:val="00075471"/>
    <w:rsid w:val="000A1E19"/>
    <w:rsid w:val="000B3AEF"/>
    <w:rsid w:val="000C0BAB"/>
    <w:rsid w:val="000C70D3"/>
    <w:rsid w:val="000D4646"/>
    <w:rsid w:val="00101EFA"/>
    <w:rsid w:val="00142AD2"/>
    <w:rsid w:val="00152ABA"/>
    <w:rsid w:val="0016270F"/>
    <w:rsid w:val="001848F2"/>
    <w:rsid w:val="001D43BE"/>
    <w:rsid w:val="001E30D7"/>
    <w:rsid w:val="001E71D1"/>
    <w:rsid w:val="001F5962"/>
    <w:rsid w:val="001F792C"/>
    <w:rsid w:val="00230EA2"/>
    <w:rsid w:val="002411E0"/>
    <w:rsid w:val="0024226F"/>
    <w:rsid w:val="00246284"/>
    <w:rsid w:val="00252E14"/>
    <w:rsid w:val="00253FE4"/>
    <w:rsid w:val="00293D64"/>
    <w:rsid w:val="002A34CB"/>
    <w:rsid w:val="002D1131"/>
    <w:rsid w:val="002F50F4"/>
    <w:rsid w:val="0030029D"/>
    <w:rsid w:val="00300775"/>
    <w:rsid w:val="0033001D"/>
    <w:rsid w:val="00333DC9"/>
    <w:rsid w:val="003635EE"/>
    <w:rsid w:val="00372751"/>
    <w:rsid w:val="00374BE5"/>
    <w:rsid w:val="00390491"/>
    <w:rsid w:val="0039411B"/>
    <w:rsid w:val="00413604"/>
    <w:rsid w:val="00422C5A"/>
    <w:rsid w:val="004255F6"/>
    <w:rsid w:val="00442569"/>
    <w:rsid w:val="004444A8"/>
    <w:rsid w:val="00453B2F"/>
    <w:rsid w:val="00457543"/>
    <w:rsid w:val="004645F5"/>
    <w:rsid w:val="004B43D3"/>
    <w:rsid w:val="004E0681"/>
    <w:rsid w:val="004F4FDB"/>
    <w:rsid w:val="004F72E9"/>
    <w:rsid w:val="0051482A"/>
    <w:rsid w:val="00597A15"/>
    <w:rsid w:val="005C7AC8"/>
    <w:rsid w:val="005E209B"/>
    <w:rsid w:val="005F40B6"/>
    <w:rsid w:val="00606077"/>
    <w:rsid w:val="0061290C"/>
    <w:rsid w:val="0061415F"/>
    <w:rsid w:val="00647E33"/>
    <w:rsid w:val="00666280"/>
    <w:rsid w:val="006823C8"/>
    <w:rsid w:val="006B3D0B"/>
    <w:rsid w:val="006D1969"/>
    <w:rsid w:val="006D2E6C"/>
    <w:rsid w:val="006D5026"/>
    <w:rsid w:val="006D788E"/>
    <w:rsid w:val="006F0C73"/>
    <w:rsid w:val="006F3876"/>
    <w:rsid w:val="006F709C"/>
    <w:rsid w:val="00710366"/>
    <w:rsid w:val="007204B8"/>
    <w:rsid w:val="00733186"/>
    <w:rsid w:val="0073416B"/>
    <w:rsid w:val="00765685"/>
    <w:rsid w:val="0076639D"/>
    <w:rsid w:val="00783216"/>
    <w:rsid w:val="007A0A4E"/>
    <w:rsid w:val="007C1C2A"/>
    <w:rsid w:val="008147E8"/>
    <w:rsid w:val="00835D5E"/>
    <w:rsid w:val="008431F6"/>
    <w:rsid w:val="00851700"/>
    <w:rsid w:val="0085615D"/>
    <w:rsid w:val="00873DAE"/>
    <w:rsid w:val="008771ED"/>
    <w:rsid w:val="00885BA7"/>
    <w:rsid w:val="00892F9E"/>
    <w:rsid w:val="008A6958"/>
    <w:rsid w:val="008B30ED"/>
    <w:rsid w:val="008B7A71"/>
    <w:rsid w:val="008D6F2E"/>
    <w:rsid w:val="008D7BD7"/>
    <w:rsid w:val="008E470E"/>
    <w:rsid w:val="008E47A6"/>
    <w:rsid w:val="008F2EB7"/>
    <w:rsid w:val="00911F6B"/>
    <w:rsid w:val="00914AE8"/>
    <w:rsid w:val="00945B53"/>
    <w:rsid w:val="00953A61"/>
    <w:rsid w:val="00966763"/>
    <w:rsid w:val="00972B68"/>
    <w:rsid w:val="00977758"/>
    <w:rsid w:val="00995300"/>
    <w:rsid w:val="00996EC3"/>
    <w:rsid w:val="009C2830"/>
    <w:rsid w:val="009D28EF"/>
    <w:rsid w:val="009E4047"/>
    <w:rsid w:val="00A06DF1"/>
    <w:rsid w:val="00A107EB"/>
    <w:rsid w:val="00A24A56"/>
    <w:rsid w:val="00A32C49"/>
    <w:rsid w:val="00A34759"/>
    <w:rsid w:val="00A777F5"/>
    <w:rsid w:val="00A77EC3"/>
    <w:rsid w:val="00A86AF0"/>
    <w:rsid w:val="00A904C6"/>
    <w:rsid w:val="00A94D9D"/>
    <w:rsid w:val="00AB0404"/>
    <w:rsid w:val="00AD094D"/>
    <w:rsid w:val="00B03190"/>
    <w:rsid w:val="00B267E9"/>
    <w:rsid w:val="00B273F1"/>
    <w:rsid w:val="00B37218"/>
    <w:rsid w:val="00B5047C"/>
    <w:rsid w:val="00B5358D"/>
    <w:rsid w:val="00B93F10"/>
    <w:rsid w:val="00BA34AC"/>
    <w:rsid w:val="00BE1474"/>
    <w:rsid w:val="00BF66E5"/>
    <w:rsid w:val="00C11400"/>
    <w:rsid w:val="00C168A7"/>
    <w:rsid w:val="00C1704A"/>
    <w:rsid w:val="00C35604"/>
    <w:rsid w:val="00C446D6"/>
    <w:rsid w:val="00C4499D"/>
    <w:rsid w:val="00C45220"/>
    <w:rsid w:val="00C468E0"/>
    <w:rsid w:val="00C54E51"/>
    <w:rsid w:val="00C576B4"/>
    <w:rsid w:val="00C64CA5"/>
    <w:rsid w:val="00C656AF"/>
    <w:rsid w:val="00C77882"/>
    <w:rsid w:val="00CE156E"/>
    <w:rsid w:val="00CE7781"/>
    <w:rsid w:val="00CF1471"/>
    <w:rsid w:val="00D11ED4"/>
    <w:rsid w:val="00D1202C"/>
    <w:rsid w:val="00D5088D"/>
    <w:rsid w:val="00D7060F"/>
    <w:rsid w:val="00DC0AB7"/>
    <w:rsid w:val="00DD28C1"/>
    <w:rsid w:val="00E1155C"/>
    <w:rsid w:val="00E21FE5"/>
    <w:rsid w:val="00E41A6B"/>
    <w:rsid w:val="00E67069"/>
    <w:rsid w:val="00E761F8"/>
    <w:rsid w:val="00EA010B"/>
    <w:rsid w:val="00EA2170"/>
    <w:rsid w:val="00EB06CF"/>
    <w:rsid w:val="00EC7A57"/>
    <w:rsid w:val="00ED01F4"/>
    <w:rsid w:val="00F22435"/>
    <w:rsid w:val="00F25907"/>
    <w:rsid w:val="00F31D46"/>
    <w:rsid w:val="00F425B2"/>
    <w:rsid w:val="00F470FC"/>
    <w:rsid w:val="00F91D68"/>
    <w:rsid w:val="00F946CD"/>
    <w:rsid w:val="00FA12D2"/>
    <w:rsid w:val="00FC4069"/>
    <w:rsid w:val="00FC52BC"/>
    <w:rsid w:val="00FD3619"/>
    <w:rsid w:val="00FE489F"/>
    <w:rsid w:val="00FE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CC03C516-F561-4817-A964-9821CF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30029D"/>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0029D"/>
    <w:rPr>
      <w:rFonts w:ascii="Calibri" w:eastAsia="Times New Roman" w:hAnsi="Calibri" w:cs="Times New Roman"/>
      <w:sz w:val="24"/>
    </w:rPr>
  </w:style>
  <w:style w:type="paragraph" w:styleId="NoSpacing">
    <w:name w:val="No Spacing"/>
    <w:link w:val="NoSpacingChar"/>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NoSpacingChar">
    <w:name w:val="No Spacing Char"/>
    <w:link w:val="NoSpacing"/>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TableGrid">
    <w:name w:val="Table Grid"/>
    <w:basedOn w:val="TableNorma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D28C1"/>
  </w:style>
  <w:style w:type="paragraph" w:customStyle="1" w:styleId="prastasis1">
    <w:name w:val="Įprastasis1"/>
    <w:rsid w:val="00DD28C1"/>
    <w:pPr>
      <w:suppressAutoHyphens/>
      <w:autoSpaceDN w:val="0"/>
      <w:spacing w:after="200" w:line="276" w:lineRule="auto"/>
      <w:textAlignment w:val="baseline"/>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7" ma:contentTypeDescription="Create a new document." ma:contentTypeScope="" ma:versionID="cb6f43d7ee569db9be61cfc457756e52">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941fd20f9c19bd6acf8fb29cf4710e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1E325908-034A-4E38-A6BB-BFBC3111381C}">
  <ds:schemaRefs>
    <ds:schemaRef ds:uri="http://schemas.microsoft.com/sharepoint/v3/contenttype/forms"/>
  </ds:schemaRefs>
</ds:datastoreItem>
</file>

<file path=customXml/itemProps3.xml><?xml version="1.0" encoding="utf-8"?>
<ds:datastoreItem xmlns:ds="http://schemas.openxmlformats.org/officeDocument/2006/customXml" ds:itemID="{1D6CF258-B3D9-4076-BB1B-F93BCB02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5817</Words>
  <Characters>3316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Auksė Karalienė</cp:lastModifiedBy>
  <cp:revision>4</cp:revision>
  <cp:lastPrinted>2025-03-19T10:27:00Z</cp:lastPrinted>
  <dcterms:created xsi:type="dcterms:W3CDTF">2025-05-16T11:22:00Z</dcterms:created>
  <dcterms:modified xsi:type="dcterms:W3CDTF">2025-06-02T05:44:00Z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