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5D9E9" w14:textId="77777777" w:rsidR="008D4C25" w:rsidRPr="00390155" w:rsidRDefault="00261B41" w:rsidP="008D4C25">
      <w:r w:rsidRPr="00390155">
        <w:rPr>
          <w:noProof/>
          <w:lang w:eastAsia="lt-LT"/>
        </w:rPr>
        <mc:AlternateContent>
          <mc:Choice Requires="wps">
            <w:drawing>
              <wp:anchor distT="0" distB="0" distL="114300" distR="114300" simplePos="0" relativeHeight="251661312" behindDoc="0" locked="0" layoutInCell="0" allowOverlap="1" wp14:anchorId="15A7ADB7" wp14:editId="5CC00265">
                <wp:simplePos x="0" y="0"/>
                <wp:positionH relativeFrom="column">
                  <wp:posOffset>1480185</wp:posOffset>
                </wp:positionH>
                <wp:positionV relativeFrom="paragraph">
                  <wp:posOffset>11430</wp:posOffset>
                </wp:positionV>
                <wp:extent cx="3108960" cy="6400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C44A1C" w14:textId="77777777" w:rsidR="008D4C25" w:rsidRDefault="008D4C25" w:rsidP="008D4C25">
                            <w:pPr>
                              <w:jc w:val="center"/>
                              <w:rPr>
                                <w:b/>
                                <w:sz w:val="24"/>
                              </w:rPr>
                            </w:pPr>
                            <w:r>
                              <w:rPr>
                                <w:b/>
                                <w:sz w:val="24"/>
                              </w:rPr>
                              <w:t>VIEŠOJI ĮSTAIGA</w:t>
                            </w:r>
                          </w:p>
                          <w:p w14:paraId="5C5BDB81" w14:textId="77777777" w:rsidR="008D4C25" w:rsidRDefault="004A64C0" w:rsidP="008D4C25">
                            <w:pPr>
                              <w:jc w:val="center"/>
                              <w:rPr>
                                <w:b/>
                                <w:sz w:val="24"/>
                              </w:rPr>
                            </w:pPr>
                            <w:r>
                              <w:rPr>
                                <w:b/>
                                <w:sz w:val="24"/>
                              </w:rPr>
                              <w:t>VILNIAUS UNIVERSITETO LIGONINĖ</w:t>
                            </w:r>
                          </w:p>
                          <w:p w14:paraId="4B00BAB4" w14:textId="77777777" w:rsidR="008D4C25" w:rsidRDefault="008D4C25" w:rsidP="008D4C25">
                            <w:pPr>
                              <w:jc w:val="center"/>
                            </w:pPr>
                            <w:r>
                              <w:rPr>
                                <w:b/>
                                <w:sz w:val="24"/>
                              </w:rPr>
                              <w:t>SANTAR</w:t>
                            </w:r>
                            <w:r w:rsidR="004A64C0">
                              <w:rPr>
                                <w:b/>
                                <w:sz w:val="24"/>
                              </w:rPr>
                              <w:t>OS</w:t>
                            </w:r>
                            <w:r>
                              <w:rPr>
                                <w:b/>
                                <w:sz w:val="24"/>
                              </w:rPr>
                              <w:t xml:space="preserve"> KLINIKOS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7ADB7" id="_x0000_t202" coordsize="21600,21600" o:spt="202" path="m,l,21600r21600,l21600,xe">
                <v:stroke joinstyle="miter"/>
                <v:path gradientshapeok="t" o:connecttype="rect"/>
              </v:shapetype>
              <v:shape id="Text Box 2" o:spid="_x0000_s1026" type="#_x0000_t202" style="position:absolute;margin-left:116.55pt;margin-top:.9pt;width:244.8pt;height: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l8wEAAMoDAAAOAAAAZHJzL2Uyb0RvYy54bWysU9uO0zAQfUfiHyy/06SllG7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" o:allowincell="f" stroked="f">
                <v:textbox>
                  <w:txbxContent>
                    <w:p w14:paraId="43C44A1C" w14:textId="77777777" w:rsidR="008D4C25" w:rsidRDefault="008D4C25" w:rsidP="008D4C25">
                      <w:pPr>
                        <w:jc w:val="center"/>
                        <w:rPr>
                          <w:b/>
                          <w:sz w:val="24"/>
                        </w:rPr>
                      </w:pPr>
                      <w:r>
                        <w:rPr>
                          <w:b/>
                          <w:sz w:val="24"/>
                        </w:rPr>
                        <w:t>VIEŠOJI ĮSTAIGA</w:t>
                      </w:r>
                    </w:p>
                    <w:p w14:paraId="5C5BDB81" w14:textId="77777777" w:rsidR="008D4C25" w:rsidRDefault="004A64C0" w:rsidP="008D4C25">
                      <w:pPr>
                        <w:jc w:val="center"/>
                        <w:rPr>
                          <w:b/>
                          <w:sz w:val="24"/>
                        </w:rPr>
                      </w:pPr>
                      <w:r>
                        <w:rPr>
                          <w:b/>
                          <w:sz w:val="24"/>
                        </w:rPr>
                        <w:t>VILNIAUS UNIVERSITETO LIGONINĖ</w:t>
                      </w:r>
                    </w:p>
                    <w:p w14:paraId="4B00BAB4" w14:textId="77777777" w:rsidR="008D4C25" w:rsidRDefault="008D4C25" w:rsidP="008D4C25">
                      <w:pPr>
                        <w:jc w:val="center"/>
                      </w:pPr>
                      <w:r>
                        <w:rPr>
                          <w:b/>
                          <w:sz w:val="24"/>
                        </w:rPr>
                        <w:t>SANTAR</w:t>
                      </w:r>
                      <w:r w:rsidR="004A64C0">
                        <w:rPr>
                          <w:b/>
                          <w:sz w:val="24"/>
                        </w:rPr>
                        <w:t>OS</w:t>
                      </w:r>
                      <w:r>
                        <w:rPr>
                          <w:b/>
                          <w:sz w:val="24"/>
                        </w:rPr>
                        <w:t xml:space="preserve"> KLINIKOS</w:t>
                      </w:r>
                    </w:p>
                  </w:txbxContent>
                </v:textbox>
              </v:shape>
            </w:pict>
          </mc:Fallback>
        </mc:AlternateContent>
      </w:r>
      <w:r w:rsidR="008D4C25" w:rsidRPr="00390155">
        <w:rPr>
          <w:noProof/>
          <w:lang w:eastAsia="lt-LT"/>
        </w:rPr>
        <w:drawing>
          <wp:inline distT="0" distB="0" distL="0" distR="0" wp14:anchorId="4D28D061" wp14:editId="31CF0476">
            <wp:extent cx="847725" cy="590550"/>
            <wp:effectExtent l="19050" t="0" r="9525" b="0"/>
            <wp:docPr id="5" name="Picture 1" descr="santalogo2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talogo21b"/>
                    <pic:cNvPicPr>
                      <a:picLocks noChangeAspect="1" noChangeArrowheads="1"/>
                    </pic:cNvPicPr>
                  </pic:nvPicPr>
                  <pic:blipFill>
                    <a:blip r:embed="rId11" cstate="print"/>
                    <a:srcRect/>
                    <a:stretch>
                      <a:fillRect/>
                    </a:stretch>
                  </pic:blipFill>
                  <pic:spPr bwMode="auto">
                    <a:xfrm>
                      <a:off x="0" y="0"/>
                      <a:ext cx="847725" cy="590550"/>
                    </a:xfrm>
                    <a:prstGeom prst="rect">
                      <a:avLst/>
                    </a:prstGeom>
                    <a:noFill/>
                    <a:ln w="9525">
                      <a:noFill/>
                      <a:miter lim="800000"/>
                      <a:headEnd/>
                      <a:tailEnd/>
                    </a:ln>
                  </pic:spPr>
                </pic:pic>
              </a:graphicData>
            </a:graphic>
          </wp:inline>
        </w:drawing>
      </w:r>
    </w:p>
    <w:p w14:paraId="20A59AAF" w14:textId="77777777" w:rsidR="008D4C25" w:rsidRPr="00390155" w:rsidRDefault="008D4C25" w:rsidP="008D4C25"/>
    <w:p w14:paraId="0C2BF9A7" w14:textId="77777777" w:rsidR="00845579" w:rsidRPr="00390155" w:rsidRDefault="00845579" w:rsidP="008D4C25">
      <w:pPr>
        <w:rPr>
          <w:sz w:val="24"/>
          <w:szCs w:val="24"/>
        </w:rPr>
      </w:pPr>
    </w:p>
    <w:p w14:paraId="0E15397D" w14:textId="2B059BF6" w:rsidR="008D4C25" w:rsidRPr="00A330E8" w:rsidRDefault="00A330E8" w:rsidP="00A330E8">
      <w:pPr>
        <w:pStyle w:val="Default"/>
      </w:pPr>
      <w:r w:rsidRPr="00A330E8">
        <w:tab/>
      </w:r>
      <w:r w:rsidRPr="00A330E8">
        <w:tab/>
      </w:r>
      <w:r w:rsidRPr="00A330E8">
        <w:tab/>
      </w:r>
      <w:r w:rsidR="00195E36">
        <w:tab/>
      </w:r>
      <w:r w:rsidR="0068275A" w:rsidRPr="00A330E8">
        <w:t>02</w:t>
      </w:r>
      <w:r w:rsidR="00AC22AE" w:rsidRPr="00A330E8">
        <w:t>5</w:t>
      </w:r>
      <w:r w:rsidR="008D4C25" w:rsidRPr="00A330E8">
        <w:t>-</w:t>
      </w:r>
      <w:r w:rsidR="00AC22AE" w:rsidRPr="00A330E8">
        <w:t>0</w:t>
      </w:r>
      <w:r w:rsidR="00236A18" w:rsidRPr="00A330E8">
        <w:t>5</w:t>
      </w:r>
      <w:r w:rsidR="000E5D7D" w:rsidRPr="00A330E8">
        <w:t>-</w:t>
      </w:r>
      <w:r>
        <w:t>21</w:t>
      </w:r>
      <w:r w:rsidR="006604B7" w:rsidRPr="00A330E8">
        <w:t xml:space="preserve"> </w:t>
      </w:r>
      <w:r w:rsidR="008D4C25" w:rsidRPr="00A330E8">
        <w:t xml:space="preserve">Nr. </w:t>
      </w:r>
      <w:r w:rsidR="0068275A" w:rsidRPr="00A330E8">
        <w:t>2</w:t>
      </w:r>
      <w:r w:rsidR="00D9595A" w:rsidRPr="00A330E8">
        <w:t>5</w:t>
      </w:r>
      <w:r w:rsidR="008D4C25" w:rsidRPr="00A330E8">
        <w:t>SR-</w:t>
      </w:r>
      <w:r w:rsidR="00B165DB" w:rsidRPr="00A330E8">
        <w:t>VPS-</w:t>
      </w:r>
      <w:r w:rsidR="00195E36" w:rsidRPr="00195E36">
        <w:t>2419</w:t>
      </w:r>
    </w:p>
    <w:p w14:paraId="5F4B1E44" w14:textId="77777777" w:rsidR="008D4C25" w:rsidRPr="00A330E8" w:rsidRDefault="00F852A8" w:rsidP="008D4C25">
      <w:pPr>
        <w:rPr>
          <w:i/>
          <w:sz w:val="24"/>
          <w:szCs w:val="24"/>
        </w:rPr>
      </w:pPr>
      <w:r w:rsidRPr="00A330E8">
        <w:rPr>
          <w:i/>
          <w:sz w:val="24"/>
          <w:szCs w:val="24"/>
        </w:rPr>
        <w:t>Siunčiama CVP IS priemonėmis</w:t>
      </w:r>
    </w:p>
    <w:p w14:paraId="5FD4F6D6" w14:textId="77777777" w:rsidR="00F852A8" w:rsidRPr="00A330E8" w:rsidRDefault="00F852A8" w:rsidP="008D4C25">
      <w:pPr>
        <w:rPr>
          <w:sz w:val="24"/>
          <w:szCs w:val="24"/>
        </w:rPr>
      </w:pPr>
    </w:p>
    <w:p w14:paraId="080E4B4F" w14:textId="77777777" w:rsidR="008D4C25" w:rsidRPr="00A330E8" w:rsidRDefault="008D4C25" w:rsidP="008D4C25">
      <w:pPr>
        <w:rPr>
          <w:b/>
          <w:sz w:val="24"/>
          <w:szCs w:val="24"/>
        </w:rPr>
      </w:pPr>
    </w:p>
    <w:p w14:paraId="2096A2B5" w14:textId="44AE0861" w:rsidR="00FC1591" w:rsidRPr="00A330E8" w:rsidRDefault="00E12FF8" w:rsidP="00FC1591">
      <w:pPr>
        <w:pStyle w:val="Heading"/>
        <w:jc w:val="both"/>
        <w:rPr>
          <w:color w:val="auto"/>
          <w:sz w:val="24"/>
          <w:szCs w:val="24"/>
          <w:lang w:val="lt-LT"/>
        </w:rPr>
      </w:pPr>
      <w:r w:rsidRPr="00A330E8">
        <w:rPr>
          <w:caps w:val="0"/>
          <w:color w:val="auto"/>
          <w:sz w:val="24"/>
          <w:szCs w:val="24"/>
          <w:lang w:val="lt-LT"/>
        </w:rPr>
        <w:t xml:space="preserve">DĖL </w:t>
      </w:r>
      <w:r w:rsidRPr="00A330E8">
        <w:rPr>
          <w:rFonts w:cs="Times New Roman"/>
          <w:caps w:val="0"/>
          <w:color w:val="auto"/>
          <w:sz w:val="24"/>
          <w:szCs w:val="24"/>
          <w:lang w:val="lt-LT"/>
        </w:rPr>
        <w:t>PIRKIMO</w:t>
      </w:r>
    </w:p>
    <w:p w14:paraId="6CDDD758" w14:textId="73084D9E" w:rsidR="00D846B2" w:rsidRPr="00A330E8" w:rsidRDefault="00D846B2" w:rsidP="00FC1591">
      <w:pPr>
        <w:shd w:val="clear" w:color="auto" w:fill="FFFFFF"/>
        <w:tabs>
          <w:tab w:val="right" w:leader="dot" w:pos="14135"/>
        </w:tabs>
        <w:ind w:firstLine="709"/>
        <w:jc w:val="both"/>
        <w:rPr>
          <w:b/>
          <w:sz w:val="24"/>
          <w:szCs w:val="24"/>
        </w:rPr>
      </w:pPr>
    </w:p>
    <w:p w14:paraId="2F6C97F1" w14:textId="77777777" w:rsidR="00C15EB7" w:rsidRPr="00A330E8" w:rsidRDefault="00C15EB7" w:rsidP="00C15EB7">
      <w:pPr>
        <w:tabs>
          <w:tab w:val="right" w:leader="underscore" w:pos="8505"/>
        </w:tabs>
        <w:jc w:val="both"/>
        <w:rPr>
          <w:b/>
          <w:sz w:val="24"/>
          <w:szCs w:val="24"/>
        </w:rPr>
      </w:pPr>
    </w:p>
    <w:p w14:paraId="6E095AF7" w14:textId="20842523" w:rsidR="0018108A" w:rsidRPr="0018108A" w:rsidRDefault="00C07262" w:rsidP="00A330E8">
      <w:pPr>
        <w:ind w:firstLine="567"/>
        <w:jc w:val="both"/>
        <w:rPr>
          <w:bCs/>
          <w:sz w:val="24"/>
          <w:szCs w:val="24"/>
        </w:rPr>
      </w:pPr>
      <w:r>
        <w:rPr>
          <w:bCs/>
          <w:sz w:val="24"/>
          <w:szCs w:val="24"/>
        </w:rPr>
        <w:t>Viešojo pirkimo komisija i</w:t>
      </w:r>
      <w:r w:rsidR="00195E36">
        <w:rPr>
          <w:bCs/>
          <w:sz w:val="24"/>
          <w:szCs w:val="24"/>
        </w:rPr>
        <w:t>nformuoja</w:t>
      </w:r>
      <w:r w:rsidR="009944FC" w:rsidRPr="009944FC">
        <w:rPr>
          <w:bCs/>
          <w:sz w:val="24"/>
          <w:szCs w:val="24"/>
        </w:rPr>
        <w:t xml:space="preserve">, kad </w:t>
      </w:r>
      <w:r w:rsidR="0018108A" w:rsidRPr="0018108A">
        <w:rPr>
          <w:bCs/>
          <w:sz w:val="24"/>
          <w:szCs w:val="24"/>
        </w:rPr>
        <w:t>paskelbtų pirkimo dokumentų SPS priede Nr. 2 „PASLAUGŲ PIRKIMO-PARDAVIMO SUTARTIES SPECIALIOSIOS SĄLYGOS“ dalyje „5. SUTARTIES KAINA IR ATSISKAITYMO TVARKA“ neteisingai nurodyta informacija „Sutarčiai taikomas kainos apskaičiavimo būdas“ ir „Fiksuoto įkainio kainodara“. Taikant tokią kainodarą Perkančioji organizacija negalėtų įsigyti Barkey gamintojo įrangos remontui reikalingų detalių ir /ar medžiagų.</w:t>
      </w:r>
      <w:r w:rsidR="0020615F">
        <w:rPr>
          <w:bCs/>
          <w:sz w:val="24"/>
          <w:szCs w:val="24"/>
        </w:rPr>
        <w:t xml:space="preserve"> </w:t>
      </w:r>
      <w:r w:rsidR="0018108A" w:rsidRPr="0018108A">
        <w:rPr>
          <w:bCs/>
          <w:sz w:val="24"/>
          <w:szCs w:val="24"/>
        </w:rPr>
        <w:t>Pagal pirkimo objektą turė</w:t>
      </w:r>
      <w:r w:rsidR="00A907FA">
        <w:rPr>
          <w:bCs/>
          <w:sz w:val="24"/>
          <w:szCs w:val="24"/>
        </w:rPr>
        <w:t>tų</w:t>
      </w:r>
      <w:r w:rsidR="0018108A" w:rsidRPr="0018108A">
        <w:rPr>
          <w:bCs/>
          <w:sz w:val="24"/>
          <w:szCs w:val="24"/>
        </w:rPr>
        <w:t xml:space="preserve"> būti taikoma Sutarties vykdymo išlaidų atlyginimo kainodara, kurioje paslaugų kaina susideda iš dviejų dalių:</w:t>
      </w:r>
    </w:p>
    <w:p w14:paraId="77F39B7B" w14:textId="2C216FA3" w:rsidR="0018108A" w:rsidRPr="0018108A" w:rsidRDefault="00FA737A" w:rsidP="00A330E8">
      <w:pPr>
        <w:ind w:firstLine="567"/>
        <w:jc w:val="both"/>
        <w:rPr>
          <w:bCs/>
          <w:sz w:val="24"/>
          <w:szCs w:val="24"/>
        </w:rPr>
      </w:pPr>
      <w:r>
        <w:rPr>
          <w:bCs/>
          <w:sz w:val="24"/>
          <w:szCs w:val="24"/>
        </w:rPr>
        <w:t>„</w:t>
      </w:r>
      <w:r w:rsidR="0018108A" w:rsidRPr="0018108A">
        <w:rPr>
          <w:bCs/>
          <w:sz w:val="24"/>
          <w:szCs w:val="24"/>
        </w:rPr>
        <w:t>5.2.1.1. už paslaugas, nurodytas Sutarties priede Nr. 1 „Techninė specifikacija ir įkainiai“, apmokama taikant fiksuotus įkainius, nurodytus Sutarties priede Nr. 1 „Techninė specifikacija ir įkainiai“;</w:t>
      </w:r>
    </w:p>
    <w:p w14:paraId="57A0B14C" w14:textId="77777777" w:rsidR="0018108A" w:rsidRPr="0018108A" w:rsidRDefault="0018108A" w:rsidP="00A330E8">
      <w:pPr>
        <w:ind w:firstLine="567"/>
        <w:jc w:val="both"/>
        <w:rPr>
          <w:bCs/>
          <w:sz w:val="24"/>
          <w:szCs w:val="24"/>
        </w:rPr>
      </w:pPr>
      <w:r w:rsidRPr="0018108A">
        <w:rPr>
          <w:bCs/>
          <w:sz w:val="24"/>
          <w:szCs w:val="24"/>
        </w:rPr>
        <w:t xml:space="preserve">5.2.2.2. už remontui reikalingas detales ir medžiagas, apmokama pagal Tiekėjo faktiškai patirtas išlaidas Paslaugų teikimui skirtų detalių ir/ar medžiagų įsigijimui pagrindžiančius dokumentus. </w:t>
      </w:r>
    </w:p>
    <w:p w14:paraId="4ABE94F0" w14:textId="42B8523E" w:rsidR="0018108A" w:rsidRPr="0018108A" w:rsidRDefault="0018108A" w:rsidP="00A330E8">
      <w:pPr>
        <w:ind w:firstLine="567"/>
        <w:jc w:val="both"/>
        <w:rPr>
          <w:bCs/>
          <w:sz w:val="24"/>
          <w:szCs w:val="24"/>
        </w:rPr>
      </w:pPr>
      <w:r w:rsidRPr="0018108A">
        <w:rPr>
          <w:bCs/>
          <w:sz w:val="24"/>
          <w:szCs w:val="24"/>
        </w:rPr>
        <w:t>5.2.2. Vadovaujantis Sutarties vykdymo išlaidų atlyginimo kainodara, už remontui reikalingas detales, bus apmokėta ne didesnėmis kainomis nei Tiekėjo sumokėta suma tretiesiems asmenims už detalių ir/ar medžiagų įsigijimą, tačiau visais atvejais ne didesnėmis nei rinkos kainomis. Tiekėjas kartu su Pirkėjui teikiama sąskaita–faktūra privalo pateikti Tiekėjo sumokėtą sumą tretiesiems asmenims pagrindžiančius dokumentus (trečiojo asmens sąskaitą–faktūrą išrašytą Tiekėjui ir apmokėtą arba kitus lygiaverčius įrodymus). Į Tiekėjo faktiškai patirtas išlaidas negali būti įtrauktas Tiekėjo pelnas.</w:t>
      </w:r>
      <w:r w:rsidR="00FA737A">
        <w:rPr>
          <w:bCs/>
          <w:sz w:val="24"/>
          <w:szCs w:val="24"/>
        </w:rPr>
        <w:t>“</w:t>
      </w:r>
    </w:p>
    <w:p w14:paraId="4734A3A1" w14:textId="01CF8DEE" w:rsidR="00B1492F" w:rsidRPr="00390155" w:rsidRDefault="00E778BE" w:rsidP="00A330E8">
      <w:pPr>
        <w:ind w:firstLine="567"/>
        <w:jc w:val="both"/>
        <w:rPr>
          <w:sz w:val="24"/>
          <w:szCs w:val="24"/>
        </w:rPr>
      </w:pPr>
      <w:r>
        <w:rPr>
          <w:bCs/>
          <w:sz w:val="24"/>
          <w:szCs w:val="24"/>
        </w:rPr>
        <w:t>Komisija</w:t>
      </w:r>
      <w:r w:rsidR="0018108A" w:rsidRPr="0018108A">
        <w:rPr>
          <w:bCs/>
          <w:sz w:val="24"/>
          <w:szCs w:val="24"/>
        </w:rPr>
        <w:t>, atsižvelgusi į tai, kas išdėstyta aukščiau, vadovau</w:t>
      </w:r>
      <w:r w:rsidR="0020615F">
        <w:rPr>
          <w:bCs/>
          <w:sz w:val="24"/>
          <w:szCs w:val="24"/>
        </w:rPr>
        <w:t>damasi</w:t>
      </w:r>
      <w:r w:rsidR="0018108A" w:rsidRPr="0018108A">
        <w:rPr>
          <w:bCs/>
          <w:sz w:val="24"/>
          <w:szCs w:val="24"/>
        </w:rPr>
        <w:t xml:space="preserve"> LR VPĮ 29 str. 4 d., kai pirkimo dokumentuose padaryta esminių klaidų, dėl kurių pirkimas tampa nebetikslingas ar jį įvykdžius būtų įsigytas perkančiosios organizacijos poreikių neatitinkantis pirkimo objektas</w:t>
      </w:r>
      <w:r w:rsidR="0052626E">
        <w:rPr>
          <w:bCs/>
          <w:sz w:val="24"/>
          <w:szCs w:val="24"/>
        </w:rPr>
        <w:t>,</w:t>
      </w:r>
      <w:r w:rsidR="0018108A" w:rsidRPr="0018108A">
        <w:rPr>
          <w:bCs/>
          <w:sz w:val="24"/>
          <w:szCs w:val="24"/>
        </w:rPr>
        <w:t xml:space="preserve"> nutrauk</w:t>
      </w:r>
      <w:r w:rsidR="0052626E">
        <w:rPr>
          <w:bCs/>
          <w:sz w:val="24"/>
          <w:szCs w:val="24"/>
        </w:rPr>
        <w:t>ė</w:t>
      </w:r>
      <w:r w:rsidR="0018108A" w:rsidRPr="0018108A">
        <w:rPr>
          <w:bCs/>
          <w:sz w:val="24"/>
          <w:szCs w:val="24"/>
        </w:rPr>
        <w:t xml:space="preserve"> Pirkimo procedūras.</w:t>
      </w:r>
    </w:p>
    <w:p w14:paraId="5782C759" w14:textId="77777777" w:rsidR="00B1492F" w:rsidRDefault="00B1492F" w:rsidP="00A330E8">
      <w:pPr>
        <w:ind w:firstLine="567"/>
        <w:jc w:val="both"/>
        <w:rPr>
          <w:sz w:val="24"/>
          <w:szCs w:val="24"/>
        </w:rPr>
      </w:pPr>
    </w:p>
    <w:p w14:paraId="721675CE" w14:textId="77777777" w:rsidR="00A907FA" w:rsidRDefault="00A907FA" w:rsidP="00CF31BC">
      <w:pPr>
        <w:ind w:firstLine="900"/>
        <w:jc w:val="both"/>
        <w:rPr>
          <w:sz w:val="24"/>
          <w:szCs w:val="24"/>
        </w:rPr>
      </w:pPr>
    </w:p>
    <w:p w14:paraId="6E9442F7" w14:textId="77777777" w:rsidR="00A907FA" w:rsidRPr="00390155" w:rsidRDefault="00A907FA" w:rsidP="00CF31BC">
      <w:pPr>
        <w:ind w:firstLine="900"/>
        <w:jc w:val="both"/>
        <w:rPr>
          <w:sz w:val="24"/>
          <w:szCs w:val="24"/>
        </w:rPr>
      </w:pPr>
    </w:p>
    <w:tbl>
      <w:tblPr>
        <w:tblW w:w="0" w:type="auto"/>
        <w:tblLook w:val="04A0" w:firstRow="1" w:lastRow="0" w:firstColumn="1" w:lastColumn="0" w:noHBand="0" w:noVBand="1"/>
      </w:tblPr>
      <w:tblGrid>
        <w:gridCol w:w="4802"/>
        <w:gridCol w:w="4828"/>
      </w:tblGrid>
      <w:tr w:rsidR="008D4C25" w:rsidRPr="00390155" w14:paraId="48142A2D" w14:textId="77777777" w:rsidTr="00C4774C">
        <w:tc>
          <w:tcPr>
            <w:tcW w:w="4927" w:type="dxa"/>
          </w:tcPr>
          <w:p w14:paraId="00746230" w14:textId="77777777" w:rsidR="008D4C25" w:rsidRPr="00390155" w:rsidRDefault="00845579" w:rsidP="00B165DB">
            <w:pPr>
              <w:ind w:hanging="108"/>
              <w:jc w:val="both"/>
              <w:rPr>
                <w:sz w:val="24"/>
                <w:szCs w:val="24"/>
              </w:rPr>
            </w:pPr>
            <w:r w:rsidRPr="00390155">
              <w:rPr>
                <w:sz w:val="24"/>
                <w:szCs w:val="24"/>
              </w:rPr>
              <w:t>Viešųjų pirkimų k</w:t>
            </w:r>
            <w:r w:rsidR="00AC1240" w:rsidRPr="00390155">
              <w:rPr>
                <w:sz w:val="24"/>
                <w:szCs w:val="24"/>
              </w:rPr>
              <w:t xml:space="preserve">omisijos </w:t>
            </w:r>
            <w:r w:rsidR="00B165DB" w:rsidRPr="00390155">
              <w:rPr>
                <w:sz w:val="24"/>
                <w:szCs w:val="24"/>
              </w:rPr>
              <w:t>narė</w:t>
            </w:r>
            <w:r w:rsidR="00AC1240" w:rsidRPr="00390155">
              <w:rPr>
                <w:sz w:val="24"/>
                <w:szCs w:val="24"/>
              </w:rPr>
              <w:t xml:space="preserve"> </w:t>
            </w:r>
          </w:p>
        </w:tc>
        <w:tc>
          <w:tcPr>
            <w:tcW w:w="4928" w:type="dxa"/>
          </w:tcPr>
          <w:p w14:paraId="0BE76B83" w14:textId="77777777" w:rsidR="008D4C25" w:rsidRPr="00390155" w:rsidRDefault="00B165DB" w:rsidP="00B165DB">
            <w:pPr>
              <w:ind w:firstLine="900"/>
              <w:jc w:val="right"/>
              <w:rPr>
                <w:sz w:val="24"/>
                <w:szCs w:val="24"/>
              </w:rPr>
            </w:pPr>
            <w:r w:rsidRPr="00390155">
              <w:rPr>
                <w:sz w:val="24"/>
                <w:szCs w:val="24"/>
              </w:rPr>
              <w:t>Dainora Mažeikienė</w:t>
            </w:r>
          </w:p>
        </w:tc>
      </w:tr>
    </w:tbl>
    <w:p w14:paraId="48A2DE6B" w14:textId="77777777" w:rsidR="008D4C25" w:rsidRPr="00390155" w:rsidRDefault="008D4C25" w:rsidP="00CF31BC">
      <w:pPr>
        <w:ind w:firstLine="900"/>
        <w:rPr>
          <w:sz w:val="24"/>
          <w:szCs w:val="24"/>
        </w:rPr>
      </w:pPr>
    </w:p>
    <w:p w14:paraId="7504F590" w14:textId="77777777" w:rsidR="0068275A" w:rsidRPr="00390155" w:rsidRDefault="0068275A" w:rsidP="008D4C25">
      <w:pPr>
        <w:rPr>
          <w:sz w:val="24"/>
          <w:szCs w:val="24"/>
        </w:rPr>
      </w:pPr>
    </w:p>
    <w:p w14:paraId="672C6914" w14:textId="2865AF2A" w:rsidR="004C061D" w:rsidRPr="00390155" w:rsidRDefault="004C061D" w:rsidP="008D4C25"/>
    <w:p w14:paraId="2DC818EE" w14:textId="77777777" w:rsidR="004C061D" w:rsidRPr="00390155" w:rsidRDefault="004C061D" w:rsidP="008D4C25"/>
    <w:p w14:paraId="7071352E" w14:textId="77777777" w:rsidR="008D4C25" w:rsidRPr="00390155" w:rsidRDefault="008D4C25" w:rsidP="008D4C25"/>
    <w:p w14:paraId="45FE6CB3" w14:textId="020BA959" w:rsidR="00242A09" w:rsidRPr="00390155" w:rsidRDefault="005A5330" w:rsidP="00242A09">
      <w:pPr>
        <w:jc w:val="both"/>
      </w:pPr>
      <w:r w:rsidRPr="00390155">
        <w:t>D.</w:t>
      </w:r>
      <w:r w:rsidR="00264571" w:rsidRPr="00390155">
        <w:t xml:space="preserve"> </w:t>
      </w:r>
      <w:r w:rsidRPr="00390155">
        <w:t>Mažeikienė</w:t>
      </w:r>
      <w:r w:rsidR="008D4C25" w:rsidRPr="00390155">
        <w:t xml:space="preserve"> </w:t>
      </w:r>
      <w:r w:rsidR="0033386B">
        <w:t>+370</w:t>
      </w:r>
      <w:r w:rsidR="008D4C25" w:rsidRPr="00390155">
        <w:t xml:space="preserve"> 5 </w:t>
      </w:r>
      <w:r w:rsidR="00242A09" w:rsidRPr="00390155">
        <w:t xml:space="preserve">250 1819, </w:t>
      </w:r>
      <w:hyperlink r:id="rId12" w:history="1">
        <w:r w:rsidR="00242A09" w:rsidRPr="00390155">
          <w:rPr>
            <w:rStyle w:val="Hyperlink"/>
          </w:rPr>
          <w:t>dainora.mazeikiene@santa.lt</w:t>
        </w:r>
      </w:hyperlink>
    </w:p>
    <w:p w14:paraId="30871E27" w14:textId="45DA6B24" w:rsidR="00242A09" w:rsidRDefault="00242A09" w:rsidP="00A01E40">
      <w:pPr>
        <w:jc w:val="both"/>
        <w:rPr>
          <w:noProof/>
        </w:rPr>
      </w:pPr>
    </w:p>
    <w:p w14:paraId="674D2F39" w14:textId="1719942C" w:rsidR="00F1242E" w:rsidRDefault="00F1242E" w:rsidP="00A01E40">
      <w:pPr>
        <w:jc w:val="both"/>
        <w:rPr>
          <w:noProof/>
        </w:rPr>
      </w:pPr>
    </w:p>
    <w:p w14:paraId="05DB4D21" w14:textId="77777777" w:rsidR="0052626E" w:rsidRDefault="0052626E" w:rsidP="00A01E40">
      <w:pPr>
        <w:jc w:val="both"/>
        <w:rPr>
          <w:noProof/>
        </w:rPr>
      </w:pPr>
    </w:p>
    <w:p w14:paraId="4B561621" w14:textId="77777777" w:rsidR="00F1242E" w:rsidRPr="00390155" w:rsidRDefault="00F1242E" w:rsidP="00A01E40">
      <w:pPr>
        <w:jc w:val="both"/>
        <w:rPr>
          <w:noProof/>
        </w:rPr>
      </w:pPr>
    </w:p>
    <w:tbl>
      <w:tblPr>
        <w:tblStyle w:val="TableGrid"/>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53"/>
        <w:gridCol w:w="2091"/>
        <w:gridCol w:w="2409"/>
        <w:gridCol w:w="3545"/>
      </w:tblGrid>
      <w:tr w:rsidR="00242A09" w:rsidRPr="00390155" w14:paraId="781BB380" w14:textId="77777777" w:rsidTr="00242A09">
        <w:trPr>
          <w:jc w:val="center"/>
        </w:trPr>
        <w:tc>
          <w:tcPr>
            <w:tcW w:w="1453" w:type="dxa"/>
            <w:tcBorders>
              <w:top w:val="single" w:sz="4" w:space="0" w:color="auto"/>
            </w:tcBorders>
          </w:tcPr>
          <w:p w14:paraId="4A9C8187" w14:textId="77777777" w:rsidR="00242A09" w:rsidRPr="00390155" w:rsidRDefault="00242A09" w:rsidP="00EC001D">
            <w:pPr>
              <w:ind w:right="-108"/>
            </w:pPr>
            <w:r w:rsidRPr="00390155">
              <w:t>Santariškių g. 2,</w:t>
            </w:r>
          </w:p>
        </w:tc>
        <w:tc>
          <w:tcPr>
            <w:tcW w:w="2091" w:type="dxa"/>
            <w:tcBorders>
              <w:top w:val="single" w:sz="4" w:space="0" w:color="auto"/>
            </w:tcBorders>
          </w:tcPr>
          <w:p w14:paraId="7121FD32" w14:textId="4449EC49" w:rsidR="00242A09" w:rsidRPr="00390155" w:rsidRDefault="00242A09" w:rsidP="00EC001D">
            <w:pPr>
              <w:ind w:right="-108"/>
            </w:pPr>
            <w:r w:rsidRPr="00390155">
              <w:t xml:space="preserve">Tel. </w:t>
            </w:r>
            <w:r w:rsidR="0033386B">
              <w:t>+370</w:t>
            </w:r>
            <w:r w:rsidRPr="00390155">
              <w:t xml:space="preserve"> 5 236 5000</w:t>
            </w:r>
          </w:p>
        </w:tc>
        <w:tc>
          <w:tcPr>
            <w:tcW w:w="2409" w:type="dxa"/>
            <w:tcBorders>
              <w:top w:val="single" w:sz="4" w:space="0" w:color="auto"/>
            </w:tcBorders>
          </w:tcPr>
          <w:p w14:paraId="3FFB493F" w14:textId="77777777" w:rsidR="00242A09" w:rsidRPr="00390155" w:rsidRDefault="00242A09" w:rsidP="00EC001D">
            <w:pPr>
              <w:ind w:right="-108"/>
            </w:pPr>
            <w:r w:rsidRPr="00390155">
              <w:t>Interneto svetainė santa.lt</w:t>
            </w:r>
          </w:p>
        </w:tc>
        <w:tc>
          <w:tcPr>
            <w:tcW w:w="3545" w:type="dxa"/>
            <w:vMerge w:val="restart"/>
            <w:tcBorders>
              <w:top w:val="single" w:sz="4" w:space="0" w:color="auto"/>
            </w:tcBorders>
          </w:tcPr>
          <w:p w14:paraId="2635C6E3" w14:textId="77777777" w:rsidR="00242A09" w:rsidRPr="00390155" w:rsidRDefault="00242A09" w:rsidP="00EC001D">
            <w:r w:rsidRPr="00390155">
              <w:t>Duomenys kaupiami ir saugomi Juridinių asmenų registre, kodas 124364561, PVM mokėtojo kodas LT243645610</w:t>
            </w:r>
          </w:p>
        </w:tc>
      </w:tr>
      <w:tr w:rsidR="00242A09" w:rsidRPr="00390155" w14:paraId="0B392F64" w14:textId="77777777" w:rsidTr="00242A09">
        <w:trPr>
          <w:jc w:val="center"/>
        </w:trPr>
        <w:tc>
          <w:tcPr>
            <w:tcW w:w="1453" w:type="dxa"/>
          </w:tcPr>
          <w:p w14:paraId="59C228D0" w14:textId="77777777" w:rsidR="00242A09" w:rsidRPr="00390155" w:rsidRDefault="00242A09" w:rsidP="00EC001D">
            <w:r w:rsidRPr="00390155">
              <w:t>08406 Vilnius</w:t>
            </w:r>
          </w:p>
        </w:tc>
        <w:tc>
          <w:tcPr>
            <w:tcW w:w="2091" w:type="dxa"/>
          </w:tcPr>
          <w:p w14:paraId="08A4A263" w14:textId="4DF14F9F" w:rsidR="00242A09" w:rsidRPr="00390155" w:rsidRDefault="00242A09" w:rsidP="00EC001D">
            <w:pPr>
              <w:ind w:right="-108"/>
            </w:pPr>
            <w:r w:rsidRPr="00390155">
              <w:t xml:space="preserve">Faks. </w:t>
            </w:r>
            <w:r w:rsidR="0033386B">
              <w:t>+370</w:t>
            </w:r>
            <w:r w:rsidRPr="00390155">
              <w:t xml:space="preserve"> 5 236 5111  </w:t>
            </w:r>
          </w:p>
        </w:tc>
        <w:tc>
          <w:tcPr>
            <w:tcW w:w="2409" w:type="dxa"/>
          </w:tcPr>
          <w:p w14:paraId="2EF655E1" w14:textId="77777777" w:rsidR="00242A09" w:rsidRPr="00390155" w:rsidRDefault="00242A09" w:rsidP="00EC001D">
            <w:pPr>
              <w:ind w:right="-108"/>
            </w:pPr>
            <w:r w:rsidRPr="00390155">
              <w:t xml:space="preserve">El. p. info@santa.lt </w:t>
            </w:r>
          </w:p>
        </w:tc>
        <w:tc>
          <w:tcPr>
            <w:tcW w:w="3545" w:type="dxa"/>
            <w:vMerge/>
          </w:tcPr>
          <w:p w14:paraId="3B496F22" w14:textId="77777777" w:rsidR="00242A09" w:rsidRPr="00390155" w:rsidRDefault="00242A09" w:rsidP="00EC001D"/>
        </w:tc>
      </w:tr>
    </w:tbl>
    <w:p w14:paraId="4A9372CB" w14:textId="77777777" w:rsidR="008B7FAD" w:rsidRPr="00390155" w:rsidRDefault="008B7FAD" w:rsidP="00A01E40">
      <w:pPr>
        <w:jc w:val="both"/>
      </w:pPr>
    </w:p>
    <w:sectPr w:rsidR="008B7FAD" w:rsidRPr="00390155" w:rsidSect="00452914">
      <w:footerReference w:type="default" r:id="rId13"/>
      <w:pgSz w:w="11907" w:h="16840" w:code="9"/>
      <w:pgMar w:top="1134" w:right="567" w:bottom="630" w:left="1710"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BA9BB" w14:textId="77777777" w:rsidR="00E801A4" w:rsidRDefault="00E801A4" w:rsidP="00452914">
      <w:r>
        <w:separator/>
      </w:r>
    </w:p>
  </w:endnote>
  <w:endnote w:type="continuationSeparator" w:id="0">
    <w:p w14:paraId="53C3F13B" w14:textId="77777777" w:rsidR="00E801A4" w:rsidRDefault="00E801A4" w:rsidP="0045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jaVuSans-Bold">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8752014"/>
      <w:docPartObj>
        <w:docPartGallery w:val="Page Numbers (Bottom of Page)"/>
        <w:docPartUnique/>
      </w:docPartObj>
    </w:sdtPr>
    <w:sdtEndPr>
      <w:rPr>
        <w:noProof/>
      </w:rPr>
    </w:sdtEndPr>
    <w:sdtContent>
      <w:p w14:paraId="522C3F4D" w14:textId="6AB5BD35" w:rsidR="00452914" w:rsidRDefault="00452914">
        <w:pPr>
          <w:pStyle w:val="Footer"/>
          <w:jc w:val="right"/>
        </w:pPr>
        <w:r>
          <w:fldChar w:fldCharType="begin"/>
        </w:r>
        <w:r>
          <w:instrText xml:space="preserve"> PAGE   \* MERGEFORMAT </w:instrText>
        </w:r>
        <w:r>
          <w:fldChar w:fldCharType="separate"/>
        </w:r>
        <w:r w:rsidR="000E5D7D">
          <w:rPr>
            <w:noProof/>
          </w:rPr>
          <w:t>2</w:t>
        </w:r>
        <w:r>
          <w:rPr>
            <w:noProof/>
          </w:rPr>
          <w:fldChar w:fldCharType="end"/>
        </w:r>
      </w:p>
    </w:sdtContent>
  </w:sdt>
  <w:p w14:paraId="6D0F54DD" w14:textId="77777777" w:rsidR="00452914" w:rsidRDefault="00452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DC521" w14:textId="77777777" w:rsidR="00E801A4" w:rsidRDefault="00E801A4" w:rsidP="00452914">
      <w:r>
        <w:separator/>
      </w:r>
    </w:p>
  </w:footnote>
  <w:footnote w:type="continuationSeparator" w:id="0">
    <w:p w14:paraId="29B3C167" w14:textId="77777777" w:rsidR="00E801A4" w:rsidRDefault="00E801A4" w:rsidP="00452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B76F3"/>
    <w:multiLevelType w:val="hybridMultilevel"/>
    <w:tmpl w:val="F36633F2"/>
    <w:lvl w:ilvl="0" w:tplc="4552EA36">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3AD3931"/>
    <w:multiLevelType w:val="hybridMultilevel"/>
    <w:tmpl w:val="8A9CFAD2"/>
    <w:lvl w:ilvl="0" w:tplc="774ADFD4">
      <w:start w:val="3"/>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15:restartNumberingAfterBreak="0">
    <w:nsid w:val="0E0C231B"/>
    <w:multiLevelType w:val="hybridMultilevel"/>
    <w:tmpl w:val="BE18443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59746D"/>
    <w:multiLevelType w:val="hybridMultilevel"/>
    <w:tmpl w:val="829653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D76488"/>
    <w:multiLevelType w:val="hybridMultilevel"/>
    <w:tmpl w:val="17DA8F50"/>
    <w:lvl w:ilvl="0" w:tplc="0AE43B52">
      <w:start w:val="3"/>
      <w:numFmt w:val="bullet"/>
      <w:lvlText w:val="-"/>
      <w:lvlJc w:val="left"/>
      <w:pPr>
        <w:ind w:left="1350" w:hanging="360"/>
      </w:pPr>
      <w:rPr>
        <w:rFonts w:ascii="Times New Roman" w:eastAsia="Times New Roman" w:hAnsi="Times New Roman" w:cs="Times New Roman"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5" w15:restartNumberingAfterBreak="0">
    <w:nsid w:val="26E7291C"/>
    <w:multiLevelType w:val="hybridMultilevel"/>
    <w:tmpl w:val="BCD24168"/>
    <w:lvl w:ilvl="0" w:tplc="A3383A98">
      <w:start w:val="12"/>
      <w:numFmt w:val="bullet"/>
      <w:lvlText w:val="-"/>
      <w:lvlJc w:val="left"/>
      <w:pPr>
        <w:ind w:left="803" w:hanging="360"/>
      </w:pPr>
      <w:rPr>
        <w:rFonts w:ascii="Calibri" w:eastAsia="Calibri" w:hAnsi="Calibri" w:cs="Times New Roman"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6" w15:restartNumberingAfterBreak="0">
    <w:nsid w:val="2DA60704"/>
    <w:multiLevelType w:val="hybridMultilevel"/>
    <w:tmpl w:val="11CAEC82"/>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FA2037"/>
    <w:multiLevelType w:val="hybridMultilevel"/>
    <w:tmpl w:val="4BFA0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562DE"/>
    <w:multiLevelType w:val="hybridMultilevel"/>
    <w:tmpl w:val="D152DA30"/>
    <w:lvl w:ilvl="0" w:tplc="DE38A246">
      <w:start w:val="2021"/>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E585015"/>
    <w:multiLevelType w:val="hybridMultilevel"/>
    <w:tmpl w:val="FCB41FC2"/>
    <w:lvl w:ilvl="0" w:tplc="0276DBD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56CB6D3F"/>
    <w:multiLevelType w:val="hybridMultilevel"/>
    <w:tmpl w:val="E6EEDBDC"/>
    <w:lvl w:ilvl="0" w:tplc="7414AF6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8551EE3"/>
    <w:multiLevelType w:val="hybridMultilevel"/>
    <w:tmpl w:val="AE161B32"/>
    <w:lvl w:ilvl="0" w:tplc="CF74398A">
      <w:start w:val="2019"/>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1355497043">
    <w:abstractNumId w:val="9"/>
  </w:num>
  <w:num w:numId="2" w16cid:durableId="1320958712">
    <w:abstractNumId w:val="1"/>
  </w:num>
  <w:num w:numId="3" w16cid:durableId="1689210528">
    <w:abstractNumId w:val="4"/>
  </w:num>
  <w:num w:numId="4" w16cid:durableId="471866486">
    <w:abstractNumId w:val="11"/>
  </w:num>
  <w:num w:numId="5" w16cid:durableId="848910590">
    <w:abstractNumId w:val="0"/>
  </w:num>
  <w:num w:numId="6" w16cid:durableId="726999397">
    <w:abstractNumId w:val="7"/>
  </w:num>
  <w:num w:numId="7" w16cid:durableId="1543637959">
    <w:abstractNumId w:val="6"/>
  </w:num>
  <w:num w:numId="8" w16cid:durableId="510531030">
    <w:abstractNumId w:val="5"/>
  </w:num>
  <w:num w:numId="9" w16cid:durableId="763114026">
    <w:abstractNumId w:val="2"/>
  </w:num>
  <w:num w:numId="10" w16cid:durableId="420611563">
    <w:abstractNumId w:val="3"/>
  </w:num>
  <w:num w:numId="11" w16cid:durableId="800459508">
    <w:abstractNumId w:val="10"/>
  </w:num>
  <w:num w:numId="12" w16cid:durableId="2970359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C25"/>
    <w:rsid w:val="00001DE1"/>
    <w:rsid w:val="00013404"/>
    <w:rsid w:val="00024359"/>
    <w:rsid w:val="00032F97"/>
    <w:rsid w:val="0004017D"/>
    <w:rsid w:val="00050898"/>
    <w:rsid w:val="00065674"/>
    <w:rsid w:val="0006630B"/>
    <w:rsid w:val="000B22E6"/>
    <w:rsid w:val="000B7D0E"/>
    <w:rsid w:val="000C0BB0"/>
    <w:rsid w:val="000D12C5"/>
    <w:rsid w:val="000D5951"/>
    <w:rsid w:val="000E5D7D"/>
    <w:rsid w:val="001046D8"/>
    <w:rsid w:val="00132E81"/>
    <w:rsid w:val="0013550F"/>
    <w:rsid w:val="001368E0"/>
    <w:rsid w:val="00140EA5"/>
    <w:rsid w:val="00156477"/>
    <w:rsid w:val="0017526A"/>
    <w:rsid w:val="0018108A"/>
    <w:rsid w:val="00187C76"/>
    <w:rsid w:val="00195E36"/>
    <w:rsid w:val="001D76F2"/>
    <w:rsid w:val="001E0495"/>
    <w:rsid w:val="001F294D"/>
    <w:rsid w:val="0020615F"/>
    <w:rsid w:val="0021186F"/>
    <w:rsid w:val="00211D4C"/>
    <w:rsid w:val="00214CF4"/>
    <w:rsid w:val="00215809"/>
    <w:rsid w:val="002321B6"/>
    <w:rsid w:val="002332A1"/>
    <w:rsid w:val="00236A18"/>
    <w:rsid w:val="0023731F"/>
    <w:rsid w:val="00242A09"/>
    <w:rsid w:val="00255ECE"/>
    <w:rsid w:val="00261B41"/>
    <w:rsid w:val="00261C8F"/>
    <w:rsid w:val="00264571"/>
    <w:rsid w:val="00264EC9"/>
    <w:rsid w:val="002758EC"/>
    <w:rsid w:val="002759EA"/>
    <w:rsid w:val="002A132F"/>
    <w:rsid w:val="002A6FF2"/>
    <w:rsid w:val="002A7820"/>
    <w:rsid w:val="002F19BA"/>
    <w:rsid w:val="0033386B"/>
    <w:rsid w:val="00346C4D"/>
    <w:rsid w:val="00371308"/>
    <w:rsid w:val="00375FC2"/>
    <w:rsid w:val="0038166E"/>
    <w:rsid w:val="003854D1"/>
    <w:rsid w:val="00387F04"/>
    <w:rsid w:val="00390155"/>
    <w:rsid w:val="003959F6"/>
    <w:rsid w:val="003C2597"/>
    <w:rsid w:val="003F0DF3"/>
    <w:rsid w:val="00401DB1"/>
    <w:rsid w:val="00406176"/>
    <w:rsid w:val="004141C0"/>
    <w:rsid w:val="00422A36"/>
    <w:rsid w:val="004426DE"/>
    <w:rsid w:val="00444976"/>
    <w:rsid w:val="00452914"/>
    <w:rsid w:val="00462C24"/>
    <w:rsid w:val="00484BB8"/>
    <w:rsid w:val="004A64C0"/>
    <w:rsid w:val="004B389A"/>
    <w:rsid w:val="004C061D"/>
    <w:rsid w:val="004F043F"/>
    <w:rsid w:val="00500953"/>
    <w:rsid w:val="005074AB"/>
    <w:rsid w:val="005074BD"/>
    <w:rsid w:val="00514B85"/>
    <w:rsid w:val="00515873"/>
    <w:rsid w:val="0052626E"/>
    <w:rsid w:val="00540260"/>
    <w:rsid w:val="00545838"/>
    <w:rsid w:val="00552A3A"/>
    <w:rsid w:val="00561211"/>
    <w:rsid w:val="00562AF3"/>
    <w:rsid w:val="005746F0"/>
    <w:rsid w:val="00583FBB"/>
    <w:rsid w:val="00593852"/>
    <w:rsid w:val="005A5330"/>
    <w:rsid w:val="005C0133"/>
    <w:rsid w:val="005C4D4B"/>
    <w:rsid w:val="005D11EA"/>
    <w:rsid w:val="005E03CD"/>
    <w:rsid w:val="005E6F3C"/>
    <w:rsid w:val="006006F2"/>
    <w:rsid w:val="0061684C"/>
    <w:rsid w:val="0062650D"/>
    <w:rsid w:val="0063238C"/>
    <w:rsid w:val="00634627"/>
    <w:rsid w:val="006421F8"/>
    <w:rsid w:val="0066021D"/>
    <w:rsid w:val="006604B7"/>
    <w:rsid w:val="0068275A"/>
    <w:rsid w:val="00683C7C"/>
    <w:rsid w:val="006842FB"/>
    <w:rsid w:val="00686FFB"/>
    <w:rsid w:val="00690D0F"/>
    <w:rsid w:val="00693000"/>
    <w:rsid w:val="00697539"/>
    <w:rsid w:val="006B0567"/>
    <w:rsid w:val="006C2984"/>
    <w:rsid w:val="006D0262"/>
    <w:rsid w:val="006E2468"/>
    <w:rsid w:val="006F526D"/>
    <w:rsid w:val="00711E6A"/>
    <w:rsid w:val="00721047"/>
    <w:rsid w:val="00721F60"/>
    <w:rsid w:val="0073058E"/>
    <w:rsid w:val="00740AC9"/>
    <w:rsid w:val="00751835"/>
    <w:rsid w:val="00773B8B"/>
    <w:rsid w:val="00777A90"/>
    <w:rsid w:val="007966D4"/>
    <w:rsid w:val="007D787B"/>
    <w:rsid w:val="007F229E"/>
    <w:rsid w:val="008255FC"/>
    <w:rsid w:val="0082564D"/>
    <w:rsid w:val="008259EA"/>
    <w:rsid w:val="00830EFD"/>
    <w:rsid w:val="00844795"/>
    <w:rsid w:val="00845579"/>
    <w:rsid w:val="00845638"/>
    <w:rsid w:val="00850634"/>
    <w:rsid w:val="00877546"/>
    <w:rsid w:val="008839BC"/>
    <w:rsid w:val="00890A17"/>
    <w:rsid w:val="008A5491"/>
    <w:rsid w:val="008B1ED4"/>
    <w:rsid w:val="008B7FAD"/>
    <w:rsid w:val="008C7708"/>
    <w:rsid w:val="008D4C25"/>
    <w:rsid w:val="008F7A89"/>
    <w:rsid w:val="00904170"/>
    <w:rsid w:val="00904F43"/>
    <w:rsid w:val="009605BB"/>
    <w:rsid w:val="009744E6"/>
    <w:rsid w:val="00981108"/>
    <w:rsid w:val="00984B0E"/>
    <w:rsid w:val="009874CC"/>
    <w:rsid w:val="009944FC"/>
    <w:rsid w:val="009C6C32"/>
    <w:rsid w:val="009D0255"/>
    <w:rsid w:val="009D22BA"/>
    <w:rsid w:val="00A01E40"/>
    <w:rsid w:val="00A13688"/>
    <w:rsid w:val="00A1480E"/>
    <w:rsid w:val="00A330E8"/>
    <w:rsid w:val="00A379C9"/>
    <w:rsid w:val="00A462AE"/>
    <w:rsid w:val="00A65603"/>
    <w:rsid w:val="00A75979"/>
    <w:rsid w:val="00A907FA"/>
    <w:rsid w:val="00A91C6D"/>
    <w:rsid w:val="00A949FD"/>
    <w:rsid w:val="00A94E84"/>
    <w:rsid w:val="00AA4103"/>
    <w:rsid w:val="00AC1240"/>
    <w:rsid w:val="00AC22AE"/>
    <w:rsid w:val="00AF762D"/>
    <w:rsid w:val="00B13EA8"/>
    <w:rsid w:val="00B1492F"/>
    <w:rsid w:val="00B165DB"/>
    <w:rsid w:val="00B42C24"/>
    <w:rsid w:val="00B432B3"/>
    <w:rsid w:val="00B460D6"/>
    <w:rsid w:val="00B50DC3"/>
    <w:rsid w:val="00B82730"/>
    <w:rsid w:val="00BA64E2"/>
    <w:rsid w:val="00BB0743"/>
    <w:rsid w:val="00BD465A"/>
    <w:rsid w:val="00BF16D2"/>
    <w:rsid w:val="00C07262"/>
    <w:rsid w:val="00C15EB7"/>
    <w:rsid w:val="00C203CF"/>
    <w:rsid w:val="00C310F4"/>
    <w:rsid w:val="00C548C5"/>
    <w:rsid w:val="00C63436"/>
    <w:rsid w:val="00C71583"/>
    <w:rsid w:val="00C74758"/>
    <w:rsid w:val="00C75F2F"/>
    <w:rsid w:val="00C95D1C"/>
    <w:rsid w:val="00CA2155"/>
    <w:rsid w:val="00CA7DA6"/>
    <w:rsid w:val="00CB6181"/>
    <w:rsid w:val="00CD553C"/>
    <w:rsid w:val="00CD6C1D"/>
    <w:rsid w:val="00CF31BC"/>
    <w:rsid w:val="00D02FDE"/>
    <w:rsid w:val="00D14ED1"/>
    <w:rsid w:val="00D3007E"/>
    <w:rsid w:val="00D44FF7"/>
    <w:rsid w:val="00D65265"/>
    <w:rsid w:val="00D7795D"/>
    <w:rsid w:val="00D846B2"/>
    <w:rsid w:val="00D9595A"/>
    <w:rsid w:val="00DB1B1D"/>
    <w:rsid w:val="00DE0F50"/>
    <w:rsid w:val="00DF6B09"/>
    <w:rsid w:val="00E12FF8"/>
    <w:rsid w:val="00E21620"/>
    <w:rsid w:val="00E26DCD"/>
    <w:rsid w:val="00E27AC3"/>
    <w:rsid w:val="00E40852"/>
    <w:rsid w:val="00E55788"/>
    <w:rsid w:val="00E55CB3"/>
    <w:rsid w:val="00E65299"/>
    <w:rsid w:val="00E73D09"/>
    <w:rsid w:val="00E74C2D"/>
    <w:rsid w:val="00E778BE"/>
    <w:rsid w:val="00E801A4"/>
    <w:rsid w:val="00E8140C"/>
    <w:rsid w:val="00EA3091"/>
    <w:rsid w:val="00EC5568"/>
    <w:rsid w:val="00EE4F6F"/>
    <w:rsid w:val="00EE5D9A"/>
    <w:rsid w:val="00F1242E"/>
    <w:rsid w:val="00F12C82"/>
    <w:rsid w:val="00F42270"/>
    <w:rsid w:val="00F53C56"/>
    <w:rsid w:val="00F632F1"/>
    <w:rsid w:val="00F647D0"/>
    <w:rsid w:val="00F8387F"/>
    <w:rsid w:val="00F852A8"/>
    <w:rsid w:val="00F9700F"/>
    <w:rsid w:val="00FA56A1"/>
    <w:rsid w:val="00FA737A"/>
    <w:rsid w:val="00FC1591"/>
    <w:rsid w:val="00FC35F4"/>
    <w:rsid w:val="00FD3503"/>
    <w:rsid w:val="00FF1109"/>
    <w:rsid w:val="00FF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81B9E"/>
  <w15:docId w15:val="{3244379B-577B-4424-A1B1-F6449545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C2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D4C25"/>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4C2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D4C25"/>
    <w:rPr>
      <w:rFonts w:ascii="Tahoma" w:hAnsi="Tahoma" w:cs="Tahoma"/>
      <w:sz w:val="16"/>
      <w:szCs w:val="16"/>
    </w:rPr>
  </w:style>
  <w:style w:type="character" w:customStyle="1" w:styleId="BalloonTextChar">
    <w:name w:val="Balloon Text Char"/>
    <w:basedOn w:val="DefaultParagraphFont"/>
    <w:link w:val="BalloonText"/>
    <w:uiPriority w:val="99"/>
    <w:semiHidden/>
    <w:rsid w:val="008D4C25"/>
    <w:rPr>
      <w:rFonts w:ascii="Tahoma" w:eastAsia="Times New Roman" w:hAnsi="Tahoma" w:cs="Tahoma"/>
      <w:sz w:val="16"/>
      <w:szCs w:val="16"/>
    </w:rPr>
  </w:style>
  <w:style w:type="paragraph" w:styleId="BodyText">
    <w:name w:val="Body Text"/>
    <w:basedOn w:val="Normal"/>
    <w:link w:val="BodyTextChar"/>
    <w:rsid w:val="00CF31BC"/>
    <w:rPr>
      <w:sz w:val="24"/>
    </w:rPr>
  </w:style>
  <w:style w:type="character" w:customStyle="1" w:styleId="BodyTextChar">
    <w:name w:val="Body Text Char"/>
    <w:basedOn w:val="DefaultParagraphFont"/>
    <w:link w:val="BodyText"/>
    <w:rsid w:val="00CF31BC"/>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unhideWhenUsed/>
    <w:rsid w:val="0038166E"/>
    <w:pPr>
      <w:spacing w:after="120" w:line="480" w:lineRule="auto"/>
      <w:ind w:left="283"/>
    </w:pPr>
  </w:style>
  <w:style w:type="character" w:customStyle="1" w:styleId="BodyTextIndent2Char">
    <w:name w:val="Body Text Indent 2 Char"/>
    <w:basedOn w:val="DefaultParagraphFont"/>
    <w:link w:val="BodyTextIndent2"/>
    <w:uiPriority w:val="99"/>
    <w:rsid w:val="0038166E"/>
    <w:rPr>
      <w:rFonts w:ascii="Times New Roman" w:eastAsia="Times New Roman" w:hAnsi="Times New Roman" w:cs="Times New Roman"/>
      <w:sz w:val="20"/>
      <w:szCs w:val="20"/>
    </w:rPr>
  </w:style>
  <w:style w:type="paragraph" w:styleId="ListParagraph">
    <w:name w:val="List Paragraph"/>
    <w:aliases w:val="lp1,Bullet 1,Use Case List Paragraph,Numbering,ERP-List Paragraph,List Paragraph11,List Paragraph Red,List Paragraph21,Table of contents numbered,List Paragraph2,Bullet EY,Sąrašo pastraipa.Bullet,Sąrašo pastraipa;Bullet,Lentele,punktai"/>
    <w:basedOn w:val="Normal"/>
    <w:link w:val="ListParagraphChar"/>
    <w:uiPriority w:val="34"/>
    <w:qFormat/>
    <w:rsid w:val="0038166E"/>
    <w:pPr>
      <w:ind w:left="720"/>
      <w:contextualSpacing/>
    </w:pPr>
  </w:style>
  <w:style w:type="paragraph" w:customStyle="1" w:styleId="Body2">
    <w:name w:val="Body 2"/>
    <w:rsid w:val="007966D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8B7FAD"/>
    <w:rPr>
      <w:color w:val="0000FF" w:themeColor="hyperlink"/>
      <w:u w:val="single"/>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Bullet EY Char"/>
    <w:link w:val="ListParagraph"/>
    <w:uiPriority w:val="34"/>
    <w:locked/>
    <w:rsid w:val="00BA64E2"/>
    <w:rPr>
      <w:rFonts w:ascii="Times New Roman" w:eastAsia="Times New Roman" w:hAnsi="Times New Roman" w:cs="Times New Roman"/>
      <w:sz w:val="20"/>
      <w:szCs w:val="20"/>
    </w:rPr>
  </w:style>
  <w:style w:type="paragraph" w:customStyle="1" w:styleId="Heading">
    <w:name w:val="Heading"/>
    <w:next w:val="Body2"/>
    <w:rsid w:val="00FC159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styleId="Strong">
    <w:name w:val="Strong"/>
    <w:basedOn w:val="DefaultParagraphFont"/>
    <w:uiPriority w:val="22"/>
    <w:qFormat/>
    <w:rsid w:val="0017526A"/>
    <w:rPr>
      <w:b/>
      <w:bCs/>
    </w:rPr>
  </w:style>
  <w:style w:type="paragraph" w:styleId="Header">
    <w:name w:val="header"/>
    <w:basedOn w:val="Normal"/>
    <w:link w:val="HeaderChar"/>
    <w:uiPriority w:val="99"/>
    <w:unhideWhenUsed/>
    <w:rsid w:val="00452914"/>
    <w:pPr>
      <w:tabs>
        <w:tab w:val="center" w:pos="4680"/>
        <w:tab w:val="right" w:pos="9360"/>
      </w:tabs>
    </w:pPr>
  </w:style>
  <w:style w:type="character" w:customStyle="1" w:styleId="HeaderChar">
    <w:name w:val="Header Char"/>
    <w:basedOn w:val="DefaultParagraphFont"/>
    <w:link w:val="Header"/>
    <w:uiPriority w:val="99"/>
    <w:rsid w:val="0045291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52914"/>
    <w:pPr>
      <w:tabs>
        <w:tab w:val="center" w:pos="4680"/>
        <w:tab w:val="right" w:pos="9360"/>
      </w:tabs>
    </w:pPr>
  </w:style>
  <w:style w:type="character" w:customStyle="1" w:styleId="FooterChar">
    <w:name w:val="Footer Char"/>
    <w:basedOn w:val="DefaultParagraphFont"/>
    <w:link w:val="Footer"/>
    <w:uiPriority w:val="99"/>
    <w:rsid w:val="00452914"/>
    <w:rPr>
      <w:rFonts w:ascii="Times New Roman" w:eastAsia="Times New Roman" w:hAnsi="Times New Roman" w:cs="Times New Roman"/>
      <w:sz w:val="20"/>
      <w:szCs w:val="20"/>
    </w:rPr>
  </w:style>
  <w:style w:type="character" w:customStyle="1" w:styleId="xslt-doc-number">
    <w:name w:val="xslt-doc-number"/>
    <w:basedOn w:val="DefaultParagraphFont"/>
    <w:rsid w:val="00BB0743"/>
  </w:style>
  <w:style w:type="character" w:customStyle="1" w:styleId="fontstyle01">
    <w:name w:val="fontstyle01"/>
    <w:basedOn w:val="DefaultParagraphFont"/>
    <w:rsid w:val="0082564D"/>
    <w:rPr>
      <w:rFonts w:ascii="DejaVuSans-Bold" w:hAnsi="DejaVuSans-Bold" w:hint="default"/>
      <w:b/>
      <w:bCs/>
      <w:i w:val="0"/>
      <w:iCs w:val="0"/>
      <w:color w:val="FFFFFF"/>
      <w:sz w:val="24"/>
      <w:szCs w:val="24"/>
    </w:rPr>
  </w:style>
  <w:style w:type="character" w:styleId="UnresolvedMention">
    <w:name w:val="Unresolved Mention"/>
    <w:basedOn w:val="DefaultParagraphFont"/>
    <w:uiPriority w:val="99"/>
    <w:semiHidden/>
    <w:unhideWhenUsed/>
    <w:rsid w:val="0061684C"/>
    <w:rPr>
      <w:color w:val="605E5C"/>
      <w:shd w:val="clear" w:color="auto" w:fill="E1DFDD"/>
    </w:rPr>
  </w:style>
  <w:style w:type="table" w:styleId="TableGrid">
    <w:name w:val="Table Grid"/>
    <w:basedOn w:val="TableNormal"/>
    <w:rsid w:val="00242A0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30E8"/>
    <w:pPr>
      <w:autoSpaceDE w:val="0"/>
      <w:autoSpaceDN w:val="0"/>
      <w:adjustRightInd w:val="0"/>
      <w:spacing w:after="0" w:line="240" w:lineRule="auto"/>
    </w:pPr>
    <w:rPr>
      <w:rFonts w:ascii="Times New Roman" w:eastAsia="SimSu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inora.mazeikiene@sant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408FD45EAAA04C965E61173E900B06" ma:contentTypeVersion="4" ma:contentTypeDescription="Create a new document." ma:contentTypeScope="" ma:versionID="7dc89f1f8b12cbf85d6b7fd0a533bb6b">
  <xsd:schema xmlns:xsd="http://www.w3.org/2001/XMLSchema" xmlns:xs="http://www.w3.org/2001/XMLSchema" xmlns:p="http://schemas.microsoft.com/office/2006/metadata/properties" xmlns:ns3="0b15fa05-3445-4e2c-9e13-3780f966b92e" targetNamespace="http://schemas.microsoft.com/office/2006/metadata/properties" ma:root="true" ma:fieldsID="15cf47072f7b9c3b6661347f4d386208" ns3:_="">
    <xsd:import namespace="0b15fa05-3445-4e2c-9e13-3780f966b92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5fa05-3445-4e2c-9e13-3780f966b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BF5E07-5545-4AE7-A032-396C557B1E5A}">
  <ds:schemaRefs>
    <ds:schemaRef ds:uri="http://schemas.microsoft.com/sharepoint/v3/contenttype/forms"/>
  </ds:schemaRefs>
</ds:datastoreItem>
</file>

<file path=customXml/itemProps2.xml><?xml version="1.0" encoding="utf-8"?>
<ds:datastoreItem xmlns:ds="http://schemas.openxmlformats.org/officeDocument/2006/customXml" ds:itemID="{8E140366-6944-4B2A-B312-151D11FBC7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F5A084-8819-4E74-8D41-6FB54E1D9412}">
  <ds:schemaRefs>
    <ds:schemaRef ds:uri="http://schemas.openxmlformats.org/officeDocument/2006/bibliography"/>
  </ds:schemaRefs>
</ds:datastoreItem>
</file>

<file path=customXml/itemProps4.xml><?xml version="1.0" encoding="utf-8"?>
<ds:datastoreItem xmlns:ds="http://schemas.openxmlformats.org/officeDocument/2006/customXml" ds:itemID="{D3A1B81C-880C-49BE-8E37-0138180EE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5fa05-3445-4e2c-9e13-3780f966b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1514</Words>
  <Characters>864</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dc:creator>
  <cp:lastModifiedBy>Dainora Mažeikienė</cp:lastModifiedBy>
  <cp:revision>3</cp:revision>
  <cp:lastPrinted>2023-01-04T06:49:00Z</cp:lastPrinted>
  <dcterms:created xsi:type="dcterms:W3CDTF">2025-06-09T14:56:00Z</dcterms:created>
  <dcterms:modified xsi:type="dcterms:W3CDTF">2025-06-09T14:56:00Z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0x010100DF408FD45EAAA04C965E61173E900B06</vt:lpwstr>
  </property>
</Properties>
</file>