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57DAAE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B0B3C">
            <w:rPr>
              <w:rFonts w:ascii="Times New Roman" w:eastAsia="Times New Roman" w:hAnsi="Times New Roman" w:cs="Times New Roman"/>
              <w:noProof/>
              <w:sz w:val="24"/>
              <w:szCs w:val="24"/>
            </w:rPr>
            <w:t>6</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0CA3AFB"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EB0B3C">
            <w:rPr>
              <w:rFonts w:ascii="Times New Roman" w:hAnsi="Times New Roman" w:cs="Times New Roman"/>
              <w:b/>
              <w:bCs/>
              <w:caps/>
              <w:sz w:val="28"/>
              <w:szCs w:val="28"/>
            </w:rPr>
            <w:t>MOBILUS ODONTOLOGINIS ĮRANGINYS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330F6A"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EB0B3C">
        <w:rPr>
          <w:rFonts w:ascii="Times New Roman" w:eastAsia="Calibri" w:hAnsi="Times New Roman" w:cs="Times New Roman"/>
          <w:color w:val="000000" w:themeColor="text1"/>
          <w:sz w:val="24"/>
          <w:szCs w:val="24"/>
        </w:rPr>
        <w:t>mobilų odontologinį įrenginį</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0F0EB8F9"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F765F2">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17C2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6B2"/>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0C5"/>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B3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6C"/>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5F2"/>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547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70452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25</Pages>
  <Words>28521</Words>
  <Characters>16258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33</cp:revision>
  <cp:lastPrinted>2024-05-31T08:19:00Z</cp:lastPrinted>
  <dcterms:created xsi:type="dcterms:W3CDTF">2024-05-30T07:50:00Z</dcterms:created>
  <dcterms:modified xsi:type="dcterms:W3CDTF">2025-06-09T06:40:00Z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