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4650D2B"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DC435B">
            <w:rPr>
              <w:rFonts w:ascii="Times New Roman" w:hAnsi="Times New Roman" w:cs="Times New Roman"/>
              <w:b/>
              <w:bCs/>
              <w:sz w:val="24"/>
              <w:szCs w:val="24"/>
            </w:rPr>
            <w:t>VALSTYBINĖS REIKŠMĖS MAGISTRALINIO KELIO A</w:t>
          </w:r>
          <w:r w:rsidR="001F22D8">
            <w:rPr>
              <w:rFonts w:ascii="Times New Roman" w:hAnsi="Times New Roman" w:cs="Times New Roman"/>
              <w:b/>
              <w:bCs/>
              <w:sz w:val="24"/>
              <w:szCs w:val="24"/>
            </w:rPr>
            <w:t>11</w:t>
          </w:r>
          <w:r w:rsidR="00DC435B">
            <w:rPr>
              <w:rFonts w:ascii="Times New Roman" w:hAnsi="Times New Roman" w:cs="Times New Roman"/>
              <w:b/>
              <w:bCs/>
              <w:sz w:val="24"/>
              <w:szCs w:val="24"/>
            </w:rPr>
            <w:t xml:space="preserve"> ŠIAULIAI-PALANGA RUOŽO NUO 136,733 IKI 137,071 KM PAPRASTOJO REMONTO, SUREMONTUOJANT TAKĄ, APRAŠO PARENGIMAS IR DARBŲ ATLIKIMAS“</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6F017D3F" w:rsidR="00342BAA" w:rsidRPr="00342BAA" w:rsidRDefault="00BF1065"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87D780A" w:rsidR="00342BAA" w:rsidRPr="00342BAA" w:rsidRDefault="00BF1065"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260810B9" w:rsidR="00342BAA" w:rsidRPr="00342BAA" w:rsidRDefault="00BF1065"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D7803E7" w:rsidR="00342BAA" w:rsidRPr="00342BAA" w:rsidRDefault="00BF1065"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7A8385"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59EA68DF"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1C2C533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7382F6DC"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3892E08C" w:rsidR="00CC7D46" w:rsidRDefault="00CC7D46"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8</w:t>
                </w:r>
              </w:p>
            </w:tc>
          </w:tr>
          <w:tr w:rsidR="00CC7D46" w14:paraId="58D4D8FD" w14:textId="77777777" w:rsidTr="007A6EED">
            <w:tc>
              <w:tcPr>
                <w:tcW w:w="560" w:type="dxa"/>
              </w:tcPr>
              <w:p w14:paraId="6C4D56B7" w14:textId="77777777" w:rsidR="00CC7D46" w:rsidRDefault="00CC7D46" w:rsidP="00B43F37">
                <w:pPr>
                  <w:ind w:firstLine="0"/>
                  <w:rPr>
                    <w:rFonts w:hAnsi="Times New Roman" w:cs="Times New Roman"/>
                    <w:sz w:val="24"/>
                    <w:szCs w:val="24"/>
                  </w:rPr>
                </w:pPr>
                <w:r>
                  <w:rPr>
                    <w:rFonts w:hAnsi="Times New Roman" w:cs="Times New Roman"/>
                    <w:sz w:val="24"/>
                    <w:szCs w:val="24"/>
                  </w:rPr>
                  <w:t>18.</w:t>
                </w:r>
              </w:p>
              <w:p w14:paraId="76FE2FE6" w14:textId="77777777" w:rsidR="004F6840" w:rsidRDefault="004F6840" w:rsidP="00B43F37">
                <w:pPr>
                  <w:ind w:firstLine="0"/>
                  <w:rPr>
                    <w:rFonts w:hAnsi="Times New Roman" w:cs="Times New Roman"/>
                    <w:sz w:val="24"/>
                    <w:szCs w:val="24"/>
                  </w:rPr>
                </w:pPr>
                <w:r>
                  <w:rPr>
                    <w:rFonts w:hAnsi="Times New Roman" w:cs="Times New Roman"/>
                    <w:sz w:val="24"/>
                    <w:szCs w:val="24"/>
                  </w:rPr>
                  <w:t>19.</w:t>
                </w:r>
              </w:p>
              <w:p w14:paraId="636A4C31" w14:textId="21D7375F" w:rsidR="004F6840" w:rsidRDefault="004F6840" w:rsidP="00B43F37">
                <w:pPr>
                  <w:ind w:firstLine="0"/>
                  <w:rPr>
                    <w:rFonts w:hAnsi="Times New Roman" w:cs="Times New Roman"/>
                    <w:sz w:val="24"/>
                    <w:szCs w:val="24"/>
                  </w:rPr>
                </w:pPr>
                <w:r>
                  <w:rPr>
                    <w:rFonts w:hAnsi="Times New Roman" w:cs="Times New Roman"/>
                    <w:sz w:val="24"/>
                    <w:szCs w:val="24"/>
                  </w:rPr>
                  <w:t>20.</w:t>
                </w:r>
              </w:p>
            </w:tc>
            <w:tc>
              <w:tcPr>
                <w:tcW w:w="9049" w:type="dxa"/>
              </w:tcPr>
              <w:p w14:paraId="6B954CC7" w14:textId="77777777" w:rsid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757A5601" w14:textId="77777777" w:rsidR="004F6840" w:rsidRDefault="004F6840" w:rsidP="00970A83">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0B9E22F4" w:rsidR="004F6840" w:rsidRPr="004F6840" w:rsidRDefault="004F6840" w:rsidP="00970A83">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34576DC8" w14:textId="738AE301" w:rsidR="00CC7D46" w:rsidRDefault="00CC7D46"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2</w:t>
                </w:r>
              </w:p>
              <w:p w14:paraId="0754C1F4" w14:textId="01A39041" w:rsidR="004F6840" w:rsidRDefault="004F6840"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4</w:t>
                </w:r>
              </w:p>
              <w:p w14:paraId="2FC2A230" w14:textId="40FE896F" w:rsidR="004F6840" w:rsidRDefault="004F6840"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744464"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66DC5295"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DC435B">
        <w:rPr>
          <w:rFonts w:ascii="Times New Roman" w:eastAsia="Calibri" w:hAnsi="Times New Roman" w:cs="Times New Roman"/>
          <w:sz w:val="24"/>
          <w:szCs w:val="24"/>
        </w:rPr>
        <w:t>paprastojo remonto, suremontuojant taką, aprašo parengimo ir darbų atlikimo</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419BBF9"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w:t>
      </w:r>
      <w:r w:rsidR="00A30933">
        <w:rPr>
          <w:rFonts w:ascii="Times New Roman" w:eastAsia="Calibri" w:hAnsi="Times New Roman" w:cs="Times New Roman"/>
          <w:sz w:val="24"/>
          <w:szCs w:val="24"/>
          <w:lang w:eastAsia="en-US"/>
        </w:rPr>
        <w:t>, 27</w:t>
      </w:r>
      <w:r w:rsidR="000B2342" w:rsidRPr="000B2342">
        <w:rPr>
          <w:rFonts w:ascii="Times New Roman" w:eastAsia="Calibri" w:hAnsi="Times New Roman" w:cs="Times New Roman"/>
          <w:sz w:val="24"/>
          <w:szCs w:val="24"/>
          <w:lang w:eastAsia="en-US"/>
        </w:rPr>
        <w:t xml:space="preserve">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w:t>
      </w:r>
      <w:r w:rsidR="00A30933">
        <w:rPr>
          <w:rFonts w:ascii="Times New Roman" w:eastAsia="Times New Roman" w:hAnsi="Times New Roman" w:cs="Times New Roman"/>
          <w:sz w:val="24"/>
          <w:szCs w:val="24"/>
        </w:rPr>
        <w:t>, Pirkimo sąlygų 2 priede „Techninė specifikacija“</w:t>
      </w:r>
      <w:r w:rsidR="00E823B9" w:rsidRPr="00E823B9">
        <w:rPr>
          <w:rFonts w:ascii="Times New Roman" w:eastAsia="Times New Roman" w:hAnsi="Times New Roman" w:cs="Times New Roman"/>
          <w:sz w:val="24"/>
          <w:szCs w:val="24"/>
        </w:rPr>
        <w:t xml:space="preserve">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2E2CF871"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A30933">
        <w:rPr>
          <w:rFonts w:ascii="Times New Roman" w:eastAsia="Calibri" w:hAnsi="Times New Roman" w:cs="Times New Roman"/>
          <w:b/>
          <w:bCs/>
          <w:color w:val="000000" w:themeColor="text1"/>
          <w:sz w:val="24"/>
          <w:szCs w:val="24"/>
        </w:rPr>
        <w:t>Valstybinės reikšmės magistralinio kelio A11 Šiauliai-Palanga ruožo nuo 136,733 iki 137,071 km paprastojo remonto, suremontuojant taką, aprašo parengimą ir darbų atlikimą</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2" w:name="_Hlk161144860"/>
      <w:r w:rsidRPr="00576D8A">
        <w:rPr>
          <w:rFonts w:ascii="Times New Roman" w:eastAsia="Arial" w:hAnsi="Times New Roman" w:cs="Times New Roman"/>
          <w:sz w:val="24"/>
          <w:szCs w:val="24"/>
        </w:rPr>
        <w:t>pirkimo dokumentuose nustatytų kvalifikacinių reikalavimų atitikties deklaraciją</w:t>
      </w:r>
      <w:bookmarkEnd w:id="12"/>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lastRenderedPageBreak/>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8D2DCF3" w14:textId="0EF72189" w:rsidR="00BF1065" w:rsidRPr="00BF1065" w:rsidRDefault="00BF1065" w:rsidP="00BF1065">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C7332D1" w14:textId="5EF6873D" w:rsidR="00BF1065" w:rsidRPr="00BF1065" w:rsidRDefault="00BF1065" w:rsidP="00BF1065">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A713BEA" w14:textId="2395DBC6" w:rsidR="00BF1065" w:rsidRPr="00BF1065" w:rsidRDefault="00BF1065" w:rsidP="00BF1065">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lastRenderedPageBreak/>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824015">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25145E7F" w14:textId="40605779" w:rsidR="00BF1065" w:rsidRPr="00BF1065" w:rsidRDefault="00BF1065" w:rsidP="00BF1065">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536CA0">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CB7D851" w14:textId="77777777" w:rsidR="00BF1065" w:rsidRDefault="00BF1065"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0E150A16"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w:t>
      </w:r>
      <w:r w:rsidR="00A30933">
        <w:rPr>
          <w:rFonts w:ascii="Times New Roman" w:eastAsia="Calibri" w:hAnsi="Times New Roman" w:cs="Times New Roman"/>
          <w:b/>
          <w:sz w:val="24"/>
          <w:szCs w:val="24"/>
          <w:lang w:eastAsia="en-US"/>
        </w:rPr>
        <w:t>paprastojo</w:t>
      </w:r>
      <w:r w:rsidR="008A7758" w:rsidRPr="008A7758">
        <w:rPr>
          <w:rFonts w:ascii="Times New Roman" w:eastAsia="Calibri" w:hAnsi="Times New Roman" w:cs="Times New Roman"/>
          <w:b/>
          <w:sz w:val="24"/>
          <w:szCs w:val="24"/>
          <w:lang w:eastAsia="en-US"/>
        </w:rPr>
        <w:t xml:space="preserve"> remonto aprašą,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6ACC95CC" w:rsidR="00416767" w:rsidRPr="00566C91" w:rsidRDefault="00566C91" w:rsidP="00566C91">
      <w:pPr>
        <w:pStyle w:val="Betarp"/>
        <w:ind w:firstLine="709"/>
        <w:contextualSpacing/>
        <w:rPr>
          <w:rFonts w:ascii="Times New Roman" w:eastAsiaTheme="minorHAnsi" w:hAnsi="Times New Roman" w:cs="Times New Roman"/>
          <w:b/>
          <w:sz w:val="24"/>
          <w:szCs w:val="24"/>
        </w:rPr>
      </w:pPr>
      <w:r w:rsidRPr="00566C91">
        <w:rPr>
          <w:rFonts w:ascii="Times New Roman" w:eastAsiaTheme="minorHAnsi" w:hAnsi="Times New Roman" w:cs="Times New Roman"/>
          <w:b/>
          <w:sz w:val="24"/>
          <w:szCs w:val="24"/>
        </w:rPr>
        <w:t>9.2. Tiekėjas, vykdydamas Sutartį, taip pat turi vadovautis 2025 m. balandžio 29 d. Nr. S1-473 „Bendradarbiavimo sutartis dėl investavimo į patikėjimo teise valdomą turtą“ ir vykdyti priskirtus įsipareigojimus.</w:t>
      </w: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884BC4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03C94AD"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9F4A779"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4D7B6E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902F363"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38C2DB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D60F336"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CF7A9D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C0668C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75655170"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A774D3A"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157069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C2028F1"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7603EA6"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0F240FB"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5BFAF27A"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3F45AF5"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DB0379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460049E" w14:textId="77777777" w:rsidR="00BF1065" w:rsidRPr="00744464" w:rsidRDefault="00BF1065" w:rsidP="00744464">
      <w:pPr>
        <w:spacing w:line="240" w:lineRule="auto"/>
        <w:ind w:right="758" w:firstLine="0"/>
        <w:rPr>
          <w:rFonts w:ascii="Times New Roman" w:hAnsi="Times New Roman" w:cs="Times New Roman"/>
          <w:sz w:val="24"/>
          <w:szCs w:val="24"/>
        </w:rPr>
      </w:pPr>
    </w:p>
    <w:p w14:paraId="13966F7F"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55AF5B2D"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1F22D8" w:rsidRPr="001F22D8">
        <w:rPr>
          <w:rFonts w:ascii="Times New Roman" w:eastAsia="Times New Roman" w:hAnsi="Times New Roman" w:cs="Times New Roman"/>
          <w:b/>
          <w:bCs/>
          <w:sz w:val="24"/>
          <w:szCs w:val="24"/>
        </w:rPr>
        <w:t>VALSTYBINĖS REIKŠMĖS MAGISTRALINIO KELIO A</w:t>
      </w:r>
      <w:r w:rsidR="001F22D8">
        <w:rPr>
          <w:rFonts w:ascii="Times New Roman" w:eastAsia="Times New Roman" w:hAnsi="Times New Roman" w:cs="Times New Roman"/>
          <w:b/>
          <w:bCs/>
          <w:sz w:val="24"/>
          <w:szCs w:val="24"/>
        </w:rPr>
        <w:t xml:space="preserve">11 </w:t>
      </w:r>
      <w:r w:rsidR="001F22D8" w:rsidRPr="001F22D8">
        <w:rPr>
          <w:rFonts w:ascii="Times New Roman" w:eastAsia="Times New Roman" w:hAnsi="Times New Roman" w:cs="Times New Roman"/>
          <w:b/>
          <w:bCs/>
          <w:sz w:val="24"/>
          <w:szCs w:val="24"/>
        </w:rPr>
        <w:t>ŠIAULIAI-PALANGA RUOŽO NUO 136,733 IKI 137,071 KM PAPRASTOJO REMONTO, SUREMONTUOJANT TAKĄ, APRAŠO PARENGIM</w:t>
      </w:r>
      <w:r w:rsidR="001F22D8">
        <w:rPr>
          <w:rFonts w:ascii="Times New Roman" w:eastAsia="Times New Roman" w:hAnsi="Times New Roman" w:cs="Times New Roman"/>
          <w:b/>
          <w:bCs/>
          <w:sz w:val="24"/>
          <w:szCs w:val="24"/>
        </w:rPr>
        <w:t>O</w:t>
      </w:r>
      <w:r w:rsidR="001F22D8" w:rsidRPr="001F22D8">
        <w:rPr>
          <w:rFonts w:ascii="Times New Roman" w:eastAsia="Times New Roman" w:hAnsi="Times New Roman" w:cs="Times New Roman"/>
          <w:b/>
          <w:bCs/>
          <w:sz w:val="24"/>
          <w:szCs w:val="24"/>
        </w:rPr>
        <w:t xml:space="preserve"> IR DARBŲ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5FFC990A" w:rsidR="007A576B" w:rsidRPr="00940217" w:rsidRDefault="00313C82"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Paprastojo</w:t>
            </w:r>
            <w:r w:rsidR="007A576B">
              <w:rPr>
                <w:rFonts w:ascii="Times New Roman" w:hAnsi="Times New Roman" w:cs="Times New Roman"/>
                <w:bCs/>
                <w:color w:val="000000" w:themeColor="text1"/>
                <w:kern w:val="2"/>
                <w:sz w:val="24"/>
                <w:szCs w:val="24"/>
                <w14:ligatures w14:val="standardContextual"/>
              </w:rPr>
              <w:t xml:space="preserve"> remonto aprašo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4AA3F298"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r w:rsidR="00C63D8E">
              <w:rPr>
                <w:rFonts w:ascii="Times New Roman" w:hAnsi="Times New Roman" w:cs="Times New Roman"/>
                <w:bCs/>
                <w:sz w:val="24"/>
                <w:szCs w:val="24"/>
              </w:rPr>
              <w:t xml:space="preserve"> pagal patvirtintą aprašą</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6AB91C70" w:rsidR="008B45EC" w:rsidRPr="00EE5431" w:rsidRDefault="00D27D92" w:rsidP="00EE5431">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EE5431">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36271BD" w:rsidR="002F1625" w:rsidRPr="00EE5431" w:rsidRDefault="00D27D92" w:rsidP="00EE5431">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EE5431">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35"/>
        <w:gridCol w:w="52"/>
        <w:gridCol w:w="3209"/>
        <w:gridCol w:w="3402"/>
      </w:tblGrid>
      <w:tr w:rsidR="008B45EC" w:rsidRPr="00C81863" w14:paraId="315DEBFF" w14:textId="77777777" w:rsidTr="008D668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209" w:type="dxa"/>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8D668C">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gridSpan w:val="2"/>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3209" w:type="dxa"/>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5"/>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8D668C">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8D668C">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8D668C">
        <w:tc>
          <w:tcPr>
            <w:tcW w:w="6771" w:type="dxa"/>
            <w:gridSpan w:val="4"/>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5"/>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8D668C">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8D668C">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8D668C">
        <w:tc>
          <w:tcPr>
            <w:tcW w:w="6771" w:type="dxa"/>
            <w:gridSpan w:val="4"/>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w:t>
      </w:r>
      <w:r w:rsidRPr="002B5720">
        <w:rPr>
          <w:rFonts w:ascii="Times New Roman" w:eastAsia="Times New Roman" w:hAnsi="Times New Roman" w:cs="Times New Roman"/>
          <w:sz w:val="24"/>
          <w:szCs w:val="24"/>
        </w:rPr>
        <w:lastRenderedPageBreak/>
        <w:t xml:space="preserve">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5C23FA8B" w14:textId="77777777" w:rsidR="009B2E73" w:rsidRDefault="009B2E73" w:rsidP="003E1F68">
      <w:pPr>
        <w:spacing w:line="240" w:lineRule="auto"/>
        <w:ind w:firstLine="0"/>
        <w:jc w:val="left"/>
        <w:rPr>
          <w:rFonts w:ascii="Times New Roman" w:hAnsi="Times New Roman" w:cs="Times New Roman"/>
          <w:sz w:val="24"/>
          <w:szCs w:val="24"/>
        </w:rPr>
      </w:pPr>
    </w:p>
    <w:p w14:paraId="64D2CB36" w14:textId="77777777" w:rsidR="009B2E73" w:rsidRDefault="009B2E73" w:rsidP="003E1F68">
      <w:pPr>
        <w:spacing w:line="240" w:lineRule="auto"/>
        <w:ind w:firstLine="0"/>
        <w:jc w:val="left"/>
        <w:rPr>
          <w:rFonts w:ascii="Times New Roman" w:hAnsi="Times New Roman" w:cs="Times New Roman"/>
          <w:sz w:val="24"/>
          <w:szCs w:val="24"/>
        </w:rPr>
      </w:pPr>
    </w:p>
    <w:p w14:paraId="513E4C5B" w14:textId="77777777" w:rsidR="009B2E73" w:rsidRDefault="009B2E73" w:rsidP="003E1F68">
      <w:pPr>
        <w:spacing w:line="240" w:lineRule="auto"/>
        <w:ind w:firstLine="0"/>
        <w:jc w:val="left"/>
        <w:rPr>
          <w:rFonts w:ascii="Times New Roman" w:hAnsi="Times New Roman" w:cs="Times New Roman"/>
          <w:sz w:val="24"/>
          <w:szCs w:val="24"/>
        </w:rPr>
      </w:pPr>
    </w:p>
    <w:p w14:paraId="61EAD6CE" w14:textId="77777777" w:rsidR="009B2E73" w:rsidRDefault="009B2E73" w:rsidP="003E1F68">
      <w:pPr>
        <w:spacing w:line="240" w:lineRule="auto"/>
        <w:ind w:firstLine="0"/>
        <w:jc w:val="left"/>
        <w:rPr>
          <w:rFonts w:ascii="Times New Roman" w:hAnsi="Times New Roman" w:cs="Times New Roman"/>
          <w:sz w:val="24"/>
          <w:szCs w:val="24"/>
        </w:rPr>
      </w:pPr>
    </w:p>
    <w:p w14:paraId="670E2A99" w14:textId="77777777" w:rsidR="009B2E73" w:rsidRDefault="009B2E73" w:rsidP="003E1F68">
      <w:pPr>
        <w:spacing w:line="240" w:lineRule="auto"/>
        <w:ind w:firstLine="0"/>
        <w:jc w:val="left"/>
        <w:rPr>
          <w:rFonts w:ascii="Times New Roman" w:hAnsi="Times New Roman" w:cs="Times New Roman"/>
          <w:sz w:val="24"/>
          <w:szCs w:val="24"/>
        </w:rPr>
      </w:pPr>
    </w:p>
    <w:p w14:paraId="7EC9A33E" w14:textId="77777777" w:rsidR="009B2E73" w:rsidRDefault="009B2E73" w:rsidP="003E1F68">
      <w:pPr>
        <w:spacing w:line="240" w:lineRule="auto"/>
        <w:ind w:firstLine="0"/>
        <w:jc w:val="left"/>
        <w:rPr>
          <w:rFonts w:ascii="Times New Roman" w:hAnsi="Times New Roman" w:cs="Times New Roman"/>
          <w:sz w:val="24"/>
          <w:szCs w:val="24"/>
        </w:rPr>
      </w:pPr>
    </w:p>
    <w:p w14:paraId="490AC120" w14:textId="77777777" w:rsidR="009B2E73" w:rsidRDefault="009B2E73" w:rsidP="003E1F68">
      <w:pPr>
        <w:spacing w:line="240" w:lineRule="auto"/>
        <w:ind w:firstLine="0"/>
        <w:jc w:val="left"/>
        <w:rPr>
          <w:rFonts w:ascii="Times New Roman" w:hAnsi="Times New Roman" w:cs="Times New Roman"/>
          <w:sz w:val="24"/>
          <w:szCs w:val="24"/>
        </w:rPr>
      </w:pPr>
    </w:p>
    <w:p w14:paraId="592D72CE" w14:textId="77777777" w:rsidR="009B2E73" w:rsidRDefault="009B2E73"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13845450" w14:textId="77777777" w:rsidR="006635BB" w:rsidRPr="006635BB" w:rsidRDefault="006635BB" w:rsidP="006635BB">
            <w:pPr>
              <w:autoSpaceDE w:val="0"/>
              <w:autoSpaceDN w:val="0"/>
              <w:adjustRightInd w:val="0"/>
              <w:rPr>
                <w:rFonts w:cs="Calibri"/>
                <w:color w:val="000000"/>
              </w:rPr>
            </w:pPr>
            <w:r w:rsidRPr="006635BB">
              <w:rPr>
                <w:rFonts w:cs="Calibri"/>
                <w:color w:val="000000"/>
              </w:rPr>
              <w:t>Sutarčiai vykdyti tiekėjas turi turėti:</w:t>
            </w:r>
          </w:p>
          <w:p w14:paraId="14D0A604" w14:textId="3CA0A681" w:rsidR="006635BB" w:rsidRPr="006635BB" w:rsidRDefault="006635BB" w:rsidP="006635BB">
            <w:pPr>
              <w:shd w:val="clear" w:color="auto" w:fill="FFFFFF"/>
              <w:rPr>
                <w:rFonts w:cs="Calibri"/>
                <w:color w:val="000000"/>
              </w:rPr>
            </w:pPr>
            <w:r w:rsidRPr="006635BB">
              <w:rPr>
                <w:rFonts w:cs="Calibri"/>
                <w:color w:val="000000"/>
              </w:rPr>
              <w:t xml:space="preserve">a) ypatingo statinio projekto vadovą, turintį teisę eiti </w:t>
            </w:r>
            <w:r w:rsidRPr="006635BB">
              <w:rPr>
                <w:rFonts w:asciiTheme="minorHAnsi" w:hAnsiTheme="minorHAnsi" w:cs="Calibri"/>
                <w:color w:val="000000"/>
                <w:sz w:val="21"/>
                <w:szCs w:val="21"/>
              </w:rPr>
              <w:t xml:space="preserve"> </w:t>
            </w:r>
            <w:r w:rsidRPr="006635BB">
              <w:rPr>
                <w:rFonts w:cs="Calibri"/>
                <w:color w:val="000000"/>
              </w:rPr>
              <w:lastRenderedPageBreak/>
              <w:t xml:space="preserve">ypatingo statinio (statiniai: susisiekimo komunikacijos (gatvės)) projekto vadovo pareigas; </w:t>
            </w:r>
          </w:p>
          <w:p w14:paraId="237DAA11" w14:textId="77777777" w:rsidR="006635BB" w:rsidRPr="006635BB" w:rsidRDefault="006635BB" w:rsidP="006635BB">
            <w:pPr>
              <w:shd w:val="clear" w:color="auto" w:fill="FFFFFF"/>
              <w:rPr>
                <w:rFonts w:cs="Calibri"/>
                <w:color w:val="000000"/>
              </w:rPr>
            </w:pPr>
          </w:p>
          <w:p w14:paraId="26F21403" w14:textId="6EDE5454" w:rsidR="006635BB" w:rsidRPr="006635BB" w:rsidRDefault="006635BB" w:rsidP="006635BB">
            <w:pPr>
              <w:shd w:val="clear" w:color="auto" w:fill="FFFFFF"/>
              <w:rPr>
                <w:rFonts w:cs="Calibri"/>
                <w:color w:val="000000"/>
              </w:rPr>
            </w:pPr>
            <w:r w:rsidRPr="006635BB">
              <w:rPr>
                <w:rFonts w:cs="Calibri"/>
                <w:color w:val="000000"/>
              </w:rPr>
              <w:t xml:space="preserve">       b)  ypatingo statinio statybos vadovą, turintį teisę eiti ypatingo statinio (statiniai: susisiekimo komunikacijos (gatvės)) projekto vadovo pareigas;</w:t>
            </w:r>
          </w:p>
          <w:p w14:paraId="2FF675A8" w14:textId="77777777" w:rsidR="006635BB" w:rsidRPr="006635BB" w:rsidRDefault="006635BB" w:rsidP="006635BB">
            <w:pPr>
              <w:shd w:val="clear" w:color="auto" w:fill="FFFFFF"/>
              <w:rPr>
                <w:rFonts w:cs="Calibri"/>
                <w:color w:val="000000"/>
              </w:rPr>
            </w:pPr>
            <w:r w:rsidRPr="006635BB">
              <w:rPr>
                <w:rFonts w:cs="Calibri"/>
                <w:color w:val="000000"/>
              </w:rPr>
              <w:t xml:space="preserve"> </w:t>
            </w:r>
          </w:p>
          <w:p w14:paraId="79997004" w14:textId="2EC6EE3A" w:rsidR="00FB39F0" w:rsidRDefault="006635BB" w:rsidP="006635BB">
            <w:pPr>
              <w:shd w:val="clear" w:color="auto" w:fill="FFFFFF"/>
              <w:rPr>
                <w:rFonts w:cs="Calibri"/>
                <w:color w:val="000000"/>
              </w:rPr>
            </w:pPr>
            <w:r w:rsidRPr="006635BB">
              <w:rPr>
                <w:rFonts w:cs="Calibri"/>
                <w:color w:val="000000"/>
              </w:rPr>
              <w:t xml:space="preserve">       c)  specialistus/-ą, turinčius/-į (atskirai ar visi kartu) matininko ir geodezininko kvalifikacijos pažymėjimus;</w:t>
            </w:r>
          </w:p>
          <w:p w14:paraId="4B6BFE96" w14:textId="77777777" w:rsidR="006635BB" w:rsidRPr="006635BB" w:rsidRDefault="006635BB" w:rsidP="006635BB">
            <w:pPr>
              <w:shd w:val="clear" w:color="auto" w:fill="FFFFFF"/>
              <w:rPr>
                <w:rFonts w:cs="Calibri"/>
                <w:color w:val="000000"/>
              </w:rPr>
            </w:pP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2C15875F" w14:textId="77777777" w:rsidR="006635BB" w:rsidRPr="006635BB" w:rsidRDefault="006635BB" w:rsidP="006635BB">
            <w:pPr>
              <w:autoSpaceDE w:val="0"/>
              <w:autoSpaceDN w:val="0"/>
              <w:adjustRightInd w:val="0"/>
              <w:rPr>
                <w:rFonts w:cs="Calibri"/>
                <w:color w:val="000000"/>
              </w:rPr>
            </w:pPr>
            <w:r w:rsidRPr="006635BB">
              <w:rPr>
                <w:rFonts w:cs="Calibri"/>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14:paraId="50F7203A" w14:textId="77777777" w:rsidR="006635BB" w:rsidRPr="006635BB" w:rsidRDefault="006635BB" w:rsidP="006635BB">
            <w:pPr>
              <w:autoSpaceDE w:val="0"/>
              <w:autoSpaceDN w:val="0"/>
              <w:adjustRightInd w:val="0"/>
              <w:rPr>
                <w:rFonts w:cs="Calibri"/>
                <w:color w:val="000000"/>
              </w:rPr>
            </w:pPr>
            <w:r w:rsidRPr="006635BB">
              <w:rPr>
                <w:rFonts w:cs="Calibri"/>
                <w:color w:val="000000"/>
              </w:rPr>
              <w:t>2. (a,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02EBB8C3" w:rsidR="00C01D5C" w:rsidRPr="00C01D5C" w:rsidRDefault="006635BB" w:rsidP="006635BB">
            <w:pPr>
              <w:autoSpaceDE w:val="0"/>
              <w:autoSpaceDN w:val="0"/>
              <w:adjustRightInd w:val="0"/>
              <w:rPr>
                <w:rFonts w:cs="Calibri"/>
                <w:color w:val="000000"/>
              </w:rPr>
            </w:pPr>
            <w:r w:rsidRPr="006635BB">
              <w:rPr>
                <w:rFonts w:cs="Calibri"/>
                <w:color w:val="000000"/>
              </w:rPr>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lastRenderedPageBreak/>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09603FA5" w14:textId="77777777" w:rsidR="000D5D5E" w:rsidRPr="000D5D5E" w:rsidRDefault="000D5D5E" w:rsidP="000D5D5E">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39"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39"/>
    </w:p>
    <w:p w14:paraId="4C765A75"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73791936"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07C91D3D"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497360EF"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6A5A9E5E"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317A6B6B"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4077B798"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4BCB263F"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4B872B88"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1B9DE8C9"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13F81B79"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3042AA21" w14:textId="77777777" w:rsidR="000D5D5E" w:rsidRPr="000D5D5E" w:rsidRDefault="000D5D5E" w:rsidP="000D5D5E">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08857E2C"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04460AB8" w14:textId="77777777" w:rsidR="000D5D5E" w:rsidRPr="000D5D5E" w:rsidRDefault="000D5D5E" w:rsidP="000D5D5E">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0E15F92F"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7C05265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6C9D90A7"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73C352F9"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2753017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366CC298"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0572252D"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0708EEAA"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7CB8B5E3" w14:textId="77777777" w:rsidR="000D5D5E" w:rsidRPr="000D5D5E" w:rsidRDefault="000D5D5E" w:rsidP="000D5D5E">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526C644"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4B9101D5"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15002E22"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42F69B74"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09B68776"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3A7776EF"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41A8A17" w14:textId="77777777" w:rsidR="000D5D5E" w:rsidRPr="000D5D5E" w:rsidRDefault="000D5D5E" w:rsidP="000D5D5E">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93050F9"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2D9F3846" w14:textId="77777777" w:rsidR="000D5D5E" w:rsidRPr="000D5D5E" w:rsidRDefault="000D5D5E" w:rsidP="000D5D5E">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503EAAC6" w14:textId="77777777" w:rsidR="000D5D5E" w:rsidRPr="000D5D5E" w:rsidRDefault="000D5D5E" w:rsidP="000D5D5E">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0F2A4380" w14:textId="77777777" w:rsidR="000D5D5E" w:rsidRPr="000D5D5E" w:rsidRDefault="000D5D5E" w:rsidP="000D5D5E">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0"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0"/>
    </w:p>
    <w:p w14:paraId="636C499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4C50C3C8" w14:textId="77777777" w:rsidR="000D5D5E" w:rsidRPr="000D5D5E" w:rsidRDefault="000D5D5E" w:rsidP="000D5D5E">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5173AEE4"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5E09357F"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22562CB8"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5EFE51AE" w14:textId="77777777" w:rsidR="000D5D5E" w:rsidRPr="000D5D5E" w:rsidRDefault="000D5D5E" w:rsidP="000D5D5E">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5D905AF3" w14:textId="77777777" w:rsidR="000D5D5E" w:rsidRPr="000D5D5E" w:rsidRDefault="000D5D5E" w:rsidP="000D5D5E">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5FDF4D9"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7AA6D0C4"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6CA3E849" w14:textId="77777777" w:rsidR="000D5D5E" w:rsidRPr="000D5D5E" w:rsidRDefault="000D5D5E" w:rsidP="000D5D5E">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671326BD"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64C201FD"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01D3453E"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21141871"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p>
    <w:p w14:paraId="1AFA7462" w14:textId="77777777" w:rsidR="000D5D5E" w:rsidRPr="000D5D5E" w:rsidRDefault="000D5D5E" w:rsidP="000D5D5E">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154F891A" w14:textId="77777777" w:rsidR="000D5D5E" w:rsidRPr="000D5D5E" w:rsidRDefault="000D5D5E" w:rsidP="000D5D5E">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274B7873"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p>
    <w:p w14:paraId="15588AA1"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00CAF478"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051158FE"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058FC100"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76EBC8DD"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4E85B920"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7B1BEC25"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793F3A61"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09AF8DA8"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2EDA2798"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022DC997"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319B5164"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2E8E3143"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2004B035"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EE8A510"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p>
    <w:p w14:paraId="6E113F69" w14:textId="77777777" w:rsidR="000D5D5E" w:rsidRPr="000D5D5E" w:rsidRDefault="000D5D5E" w:rsidP="000D5D5E">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26BA8EDD" w14:textId="77777777" w:rsidR="000D5D5E" w:rsidRPr="000D5D5E" w:rsidRDefault="000D5D5E" w:rsidP="000D5D5E">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5E078787" w14:textId="77777777" w:rsidR="000D5D5E" w:rsidRPr="000D5D5E" w:rsidRDefault="000D5D5E" w:rsidP="000D5D5E">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E73EAD" w14:textId="77777777" w:rsidR="000D5D5E" w:rsidRPr="000D5D5E" w:rsidRDefault="000D5D5E" w:rsidP="000D5D5E">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7F5C5D9E"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15807062" w14:textId="77777777" w:rsidR="000D5D5E" w:rsidRPr="000D5D5E" w:rsidRDefault="000D5D5E" w:rsidP="000D5D5E">
      <w:pPr>
        <w:spacing w:after="160" w:line="259" w:lineRule="auto"/>
        <w:ind w:firstLine="0"/>
        <w:jc w:val="left"/>
        <w:rPr>
          <w:rFonts w:ascii="Calibri" w:eastAsia="Calibri" w:hAnsi="Calibri" w:cs="Times New Roman"/>
          <w:sz w:val="22"/>
          <w:szCs w:val="22"/>
          <w:lang w:eastAsia="en-US"/>
        </w:rPr>
      </w:pPr>
    </w:p>
    <w:p w14:paraId="7B642E59"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4D5308DD"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0587DBEF"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480D048A"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740BAE74" w14:textId="77777777" w:rsidR="000D5D5E" w:rsidRDefault="000D5D5E" w:rsidP="00C22E7A">
      <w:pPr>
        <w:shd w:val="clear" w:color="auto" w:fill="FFFFFF"/>
        <w:suppressAutoHyphens/>
        <w:ind w:firstLine="0"/>
        <w:rPr>
          <w:b/>
          <w:sz w:val="20"/>
        </w:rPr>
      </w:pPr>
    </w:p>
    <w:sectPr w:rsidR="000D5D5E"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95F"/>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5D5E"/>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42C6"/>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E0107"/>
    <w:rsid w:val="001E03FB"/>
    <w:rsid w:val="001E250F"/>
    <w:rsid w:val="001E2BC5"/>
    <w:rsid w:val="001E2C36"/>
    <w:rsid w:val="001E2D34"/>
    <w:rsid w:val="001E4D4B"/>
    <w:rsid w:val="001E52C0"/>
    <w:rsid w:val="001E5BA4"/>
    <w:rsid w:val="001E695A"/>
    <w:rsid w:val="001E763B"/>
    <w:rsid w:val="001E76C7"/>
    <w:rsid w:val="001E7E24"/>
    <w:rsid w:val="001F04C1"/>
    <w:rsid w:val="001F1643"/>
    <w:rsid w:val="001F1A18"/>
    <w:rsid w:val="001F1D6C"/>
    <w:rsid w:val="001F1FB1"/>
    <w:rsid w:val="001F22D8"/>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3C82"/>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6EAD"/>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EF8"/>
    <w:rsid w:val="004B6FBD"/>
    <w:rsid w:val="004B7455"/>
    <w:rsid w:val="004C03F1"/>
    <w:rsid w:val="004C076A"/>
    <w:rsid w:val="004C0C4F"/>
    <w:rsid w:val="004C11AA"/>
    <w:rsid w:val="004C29F1"/>
    <w:rsid w:val="004C34F4"/>
    <w:rsid w:val="004C3894"/>
    <w:rsid w:val="004C40E5"/>
    <w:rsid w:val="004C42C8"/>
    <w:rsid w:val="004C4413"/>
    <w:rsid w:val="004C6651"/>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84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CA0"/>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6C91"/>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4A0"/>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35BB"/>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26F"/>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464"/>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5863"/>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401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68C"/>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2E73"/>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65D1"/>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0933"/>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4C8"/>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3463"/>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75F"/>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065"/>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3D8E"/>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2FAD"/>
    <w:rsid w:val="00CD38A0"/>
    <w:rsid w:val="00CD457C"/>
    <w:rsid w:val="00CD46EA"/>
    <w:rsid w:val="00CD4A66"/>
    <w:rsid w:val="00CD580D"/>
    <w:rsid w:val="00CD59E8"/>
    <w:rsid w:val="00CD5F1C"/>
    <w:rsid w:val="00CD684F"/>
    <w:rsid w:val="00CD6974"/>
    <w:rsid w:val="00CD6E41"/>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3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35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31"/>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37243</Words>
  <Characters>21229</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8</cp:revision>
  <cp:lastPrinted>2025-01-07T09:13:00Z</cp:lastPrinted>
  <dcterms:created xsi:type="dcterms:W3CDTF">2025-05-28T07:08:00Z</dcterms:created>
  <dcterms:modified xsi:type="dcterms:W3CDTF">2025-06-06T08:28:00Z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