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2"/>
        <w:tblW w:w="5322" w:type="pct"/>
        <w:tblInd w:w="-601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119"/>
        <w:gridCol w:w="11379"/>
      </w:tblGrid>
      <w:tr w:rsidR="00E9202F" w:rsidRPr="00904155" w14:paraId="2DAF950C" w14:textId="77777777" w:rsidTr="00A650C6">
        <w:tc>
          <w:tcPr>
            <w:tcW w:w="1329" w:type="pct"/>
            <w:shd w:val="clear" w:color="auto" w:fill="FFFFCC"/>
            <w:vAlign w:val="center"/>
          </w:tcPr>
          <w:p w14:paraId="55DCCB41" w14:textId="456AD518" w:rsidR="00E9202F" w:rsidRPr="00904155" w:rsidRDefault="003819D8" w:rsidP="00E9202F">
            <w:pPr>
              <w:rPr>
                <w:rFonts w:asciiTheme="majorHAnsi" w:hAnsiTheme="majorHAnsi" w:cstheme="majorHAnsi"/>
                <w:b/>
                <w:i w:val="0"/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i w:val="0"/>
                <w:color w:val="548DD4"/>
                <w:sz w:val="24"/>
                <w:szCs w:val="24"/>
                <w:lang w:val="lt-LT"/>
              </w:rPr>
              <w:t>3,</w:t>
            </w:r>
            <w:r w:rsidR="00A650C6" w:rsidRPr="00904155">
              <w:rPr>
                <w:rFonts w:asciiTheme="majorHAnsi" w:hAnsiTheme="majorHAnsi" w:cstheme="majorHAnsi"/>
                <w:b/>
                <w:i w:val="0"/>
                <w:color w:val="548DD4"/>
                <w:sz w:val="24"/>
                <w:szCs w:val="24"/>
                <w:lang w:val="lt-LT"/>
              </w:rPr>
              <w:t>RINKOS DALYVIŲ KONSULTACIJA</w:t>
            </w:r>
          </w:p>
        </w:tc>
        <w:tc>
          <w:tcPr>
            <w:tcW w:w="3671" w:type="pct"/>
            <w:vAlign w:val="center"/>
          </w:tcPr>
          <w:p w14:paraId="126E5495" w14:textId="505522AE" w:rsidR="00E9202F" w:rsidRPr="00FE5986" w:rsidRDefault="000330D3" w:rsidP="00FE5986">
            <w:pPr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</w:pPr>
            <w:r w:rsidRPr="000330D3"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  <w:t>Viešojo judriojo telefono ryšio paslaug</w:t>
            </w:r>
            <w:r w:rsidR="00870652"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  <w:t>os centralizuotas pirkimas</w:t>
            </w:r>
            <w:r w:rsidRPr="000330D3">
              <w:rPr>
                <w:rFonts w:asciiTheme="majorHAnsi" w:hAnsiTheme="majorHAnsi" w:cstheme="majorHAnsi"/>
                <w:b/>
                <w:i w:val="0"/>
                <w:szCs w:val="24"/>
                <w:lang w:val="lt-LT" w:eastAsia="lt-LT"/>
              </w:rPr>
              <w:t xml:space="preserve"> </w:t>
            </w:r>
          </w:p>
        </w:tc>
      </w:tr>
    </w:tbl>
    <w:p w14:paraId="53FC872D" w14:textId="77777777" w:rsidR="00E9202F" w:rsidRPr="00904155" w:rsidRDefault="00E9202F" w:rsidP="00E9202F">
      <w:pPr>
        <w:spacing w:before="60" w:after="60" w:line="120" w:lineRule="auto"/>
        <w:jc w:val="both"/>
        <w:rPr>
          <w:rFonts w:asciiTheme="majorHAnsi" w:eastAsia="Times New Roman" w:hAnsiTheme="majorHAnsi" w:cstheme="majorHAnsi"/>
          <w:b/>
          <w:i w:val="0"/>
          <w:sz w:val="24"/>
          <w:szCs w:val="24"/>
        </w:rPr>
      </w:pPr>
    </w:p>
    <w:p w14:paraId="19DAA5BD" w14:textId="77777777" w:rsidR="00E9202F" w:rsidRPr="00904155" w:rsidRDefault="00E9202F" w:rsidP="00E9202F">
      <w:pPr>
        <w:keepNext/>
        <w:keepLines/>
        <w:numPr>
          <w:ilvl w:val="0"/>
          <w:numId w:val="6"/>
        </w:numPr>
        <w:pBdr>
          <w:top w:val="single" w:sz="4" w:space="0" w:color="4F81BD"/>
          <w:left w:val="single" w:sz="4" w:space="4" w:color="4F81BD"/>
          <w:bottom w:val="single" w:sz="4" w:space="1" w:color="4F81BD"/>
          <w:right w:val="single" w:sz="4" w:space="4" w:color="4F81BD"/>
        </w:pBdr>
        <w:shd w:val="clear" w:color="auto" w:fill="FFFFCC"/>
        <w:spacing w:before="60" w:after="60" w:line="240" w:lineRule="auto"/>
        <w:ind w:hanging="567"/>
        <w:jc w:val="both"/>
        <w:outlineLvl w:val="0"/>
        <w:rPr>
          <w:rFonts w:asciiTheme="majorHAnsi" w:eastAsia="Times New Roman" w:hAnsiTheme="majorHAnsi" w:cstheme="majorHAnsi"/>
          <w:b/>
          <w:i w:val="0"/>
          <w:color w:val="548DD4"/>
          <w:sz w:val="24"/>
          <w:szCs w:val="24"/>
        </w:rPr>
      </w:pPr>
      <w:r w:rsidRPr="00904155">
        <w:rPr>
          <w:rFonts w:asciiTheme="majorHAnsi" w:eastAsia="Times New Roman" w:hAnsiTheme="majorHAnsi" w:cstheme="majorHAnsi"/>
          <w:b/>
          <w:bCs/>
          <w:i w:val="0"/>
          <w:color w:val="548DD4"/>
          <w:spacing w:val="4"/>
          <w:sz w:val="24"/>
          <w:szCs w:val="24"/>
        </w:rPr>
        <w:t xml:space="preserve">BENDROJI INFORMACIJA </w:t>
      </w:r>
    </w:p>
    <w:p w14:paraId="7414F5B6" w14:textId="77777777" w:rsidR="00E9202F" w:rsidRPr="00904155" w:rsidRDefault="00E9202F" w:rsidP="00E9202F">
      <w:pPr>
        <w:spacing w:before="60" w:after="60" w:line="120" w:lineRule="auto"/>
        <w:jc w:val="both"/>
        <w:rPr>
          <w:rFonts w:asciiTheme="majorHAnsi" w:eastAsia="Times New Roman" w:hAnsiTheme="majorHAnsi" w:cstheme="majorHAnsi"/>
          <w:b/>
          <w:i w:val="0"/>
          <w:sz w:val="24"/>
          <w:szCs w:val="24"/>
        </w:rPr>
      </w:pPr>
    </w:p>
    <w:tbl>
      <w:tblPr>
        <w:tblStyle w:val="Lentelstinklelis3"/>
        <w:tblW w:w="5033" w:type="pct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064"/>
        <w:gridCol w:w="6217"/>
        <w:gridCol w:w="7375"/>
      </w:tblGrid>
      <w:tr w:rsidR="00E9202F" w:rsidRPr="00904155" w14:paraId="03179528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63232DD8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57A29281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Perkančioji organizacija:</w:t>
            </w:r>
          </w:p>
        </w:tc>
        <w:tc>
          <w:tcPr>
            <w:tcW w:w="2516" w:type="pct"/>
            <w:vAlign w:val="center"/>
          </w:tcPr>
          <w:p w14:paraId="12DB534E" w14:textId="198679B4" w:rsidR="00E9202F" w:rsidRPr="008B3DE4" w:rsidRDefault="003819D8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>
              <w:rPr>
                <w:rFonts w:asciiTheme="majorHAnsi" w:hAnsiTheme="majorHAnsi" w:cstheme="majorHAnsi"/>
                <w:i w:val="0"/>
                <w:lang w:val="lt-LT"/>
              </w:rPr>
              <w:t xml:space="preserve">Išteklių agentūra </w:t>
            </w:r>
            <w:r w:rsidR="00305BFF" w:rsidRPr="008B3DE4">
              <w:rPr>
                <w:rFonts w:asciiTheme="majorHAnsi" w:hAnsiTheme="majorHAnsi" w:cstheme="majorHAnsi"/>
                <w:i w:val="0"/>
                <w:lang w:val="lt-LT"/>
              </w:rPr>
              <w:t>prie Lietuvos Respublikos vidaus reikalų ministerijos</w:t>
            </w:r>
          </w:p>
        </w:tc>
      </w:tr>
      <w:tr w:rsidR="00E9202F" w:rsidRPr="00904155" w14:paraId="778CE3BA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3AC1CD63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37F12F1A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bCs/>
                <w:i w:val="0"/>
                <w:lang w:val="lt-LT"/>
              </w:rPr>
              <w:t>Įgaliotas asmuo palaikyti tiesioginį ryšį su tiekėjais, gauti iš jų (ne tarpininkų) pranešimus, susijusius su pirkimo procedūromis</w:t>
            </w:r>
          </w:p>
        </w:tc>
        <w:tc>
          <w:tcPr>
            <w:tcW w:w="2516" w:type="pct"/>
            <w:vAlign w:val="center"/>
          </w:tcPr>
          <w:p w14:paraId="3AA8C4A6" w14:textId="51FDEA90" w:rsidR="00E9202F" w:rsidRPr="00904155" w:rsidRDefault="00977CF9" w:rsidP="00977CF9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>
              <w:rPr>
                <w:rFonts w:asciiTheme="majorHAnsi" w:hAnsiTheme="majorHAnsi" w:cstheme="majorHAnsi"/>
                <w:i w:val="0"/>
                <w:lang w:val="lt-LT"/>
              </w:rPr>
              <w:t>Dalia Vienažindytė, tel. 271 8877</w:t>
            </w:r>
            <w:r w:rsidR="00671DDD" w:rsidRPr="00671DDD">
              <w:rPr>
                <w:rFonts w:asciiTheme="majorHAnsi" w:hAnsiTheme="majorHAnsi" w:cstheme="majorHAnsi"/>
                <w:i w:val="0"/>
                <w:lang w:val="lt-LT"/>
              </w:rPr>
              <w:t xml:space="preserve">, el. p. </w:t>
            </w:r>
            <w:r>
              <w:rPr>
                <w:rFonts w:asciiTheme="majorHAnsi" w:hAnsiTheme="majorHAnsi" w:cstheme="majorHAnsi"/>
                <w:i w:val="0"/>
                <w:lang w:val="lt-LT"/>
              </w:rPr>
              <w:t>dalia.vienazindyte</w:t>
            </w:r>
            <w:r w:rsidR="00671DDD" w:rsidRPr="00671DDD">
              <w:rPr>
                <w:rFonts w:asciiTheme="majorHAnsi" w:hAnsiTheme="majorHAnsi" w:cstheme="majorHAnsi"/>
                <w:i w:val="0"/>
                <w:lang w:val="lt-LT"/>
              </w:rPr>
              <w:t>@vrm.lt</w:t>
            </w:r>
          </w:p>
        </w:tc>
      </w:tr>
      <w:tr w:rsidR="00E9202F" w:rsidRPr="00904155" w14:paraId="1247F761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73094516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45AC5A33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Pirkimo objekto rūšis:</w:t>
            </w:r>
          </w:p>
        </w:tc>
        <w:tc>
          <w:tcPr>
            <w:tcW w:w="2516" w:type="pct"/>
            <w:vAlign w:val="center"/>
          </w:tcPr>
          <w:p w14:paraId="000D1E17" w14:textId="40FD6C64" w:rsidR="00E9202F" w:rsidRPr="00904155" w:rsidRDefault="0006259E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>
              <w:rPr>
                <w:rFonts w:asciiTheme="majorHAnsi" w:hAnsiTheme="majorHAnsi" w:cstheme="majorHAnsi"/>
                <w:i w:val="0"/>
                <w:lang w:val="lt-LT"/>
              </w:rPr>
              <w:t>Paslaugos</w:t>
            </w:r>
          </w:p>
        </w:tc>
      </w:tr>
      <w:tr w:rsidR="00E9202F" w:rsidRPr="00904155" w14:paraId="57260955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6DE9FF5B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44F6399E" w14:textId="7117301F" w:rsidR="00E9202F" w:rsidRPr="00904155" w:rsidRDefault="00E9202F" w:rsidP="00654E87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Pirkimo objekto aprašymas</w:t>
            </w:r>
          </w:p>
        </w:tc>
        <w:tc>
          <w:tcPr>
            <w:tcW w:w="2516" w:type="pct"/>
            <w:vAlign w:val="center"/>
          </w:tcPr>
          <w:p w14:paraId="350D37E5" w14:textId="3D5917AC" w:rsidR="00680216" w:rsidRPr="00904155" w:rsidRDefault="00D04E56" w:rsidP="00494105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Žr.</w:t>
            </w:r>
            <w:r w:rsidR="00654E87" w:rsidRPr="00904155">
              <w:rPr>
                <w:rFonts w:asciiTheme="majorHAnsi" w:hAnsiTheme="majorHAnsi" w:cstheme="majorHAnsi"/>
                <w:i w:val="0"/>
                <w:lang w:val="lt-LT"/>
              </w:rPr>
              <w:t xml:space="preserve"> pridedamą </w:t>
            </w:r>
            <w:r w:rsidR="00C71BF7">
              <w:rPr>
                <w:rFonts w:asciiTheme="majorHAnsi" w:hAnsiTheme="majorHAnsi" w:cstheme="majorHAnsi"/>
                <w:i w:val="0"/>
                <w:lang w:val="lt-LT"/>
              </w:rPr>
              <w:t>Techninę specifikaciją</w:t>
            </w:r>
          </w:p>
        </w:tc>
      </w:tr>
      <w:tr w:rsidR="00E9202F" w:rsidRPr="00904155" w14:paraId="3A245CFB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6940E41C" w14:textId="0522FF5C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797BE507" w14:textId="7888E658" w:rsidR="00E9202F" w:rsidRPr="00904155" w:rsidRDefault="00E9202F" w:rsidP="00B56EC1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Numatoma rengti susitikimą su tiekėjais:</w:t>
            </w:r>
          </w:p>
        </w:tc>
        <w:tc>
          <w:tcPr>
            <w:tcW w:w="2516" w:type="pct"/>
            <w:vAlign w:val="center"/>
          </w:tcPr>
          <w:p w14:paraId="210E3C19" w14:textId="41724F17" w:rsidR="00E9202F" w:rsidRPr="00904155" w:rsidRDefault="00323759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Ne</w:t>
            </w:r>
          </w:p>
        </w:tc>
      </w:tr>
      <w:tr w:rsidR="00E9202F" w:rsidRPr="00904155" w14:paraId="318C7A42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200FD11E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19D62DC3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Pasiūlymų pateikimo terminas:</w:t>
            </w:r>
          </w:p>
        </w:tc>
        <w:tc>
          <w:tcPr>
            <w:tcW w:w="2516" w:type="pct"/>
            <w:vAlign w:val="center"/>
          </w:tcPr>
          <w:p w14:paraId="48A65EB7" w14:textId="5D62E091" w:rsidR="00E9202F" w:rsidRPr="00FE5986" w:rsidRDefault="00654E87" w:rsidP="00A51242">
            <w:pPr>
              <w:tabs>
                <w:tab w:val="center" w:pos="2015"/>
              </w:tabs>
              <w:rPr>
                <w:rFonts w:asciiTheme="majorHAnsi" w:hAnsiTheme="majorHAnsi" w:cstheme="majorHAnsi"/>
                <w:b/>
                <w:i w:val="0"/>
                <w:highlight w:val="yellow"/>
                <w:lang w:val="lt-LT"/>
              </w:rPr>
            </w:pPr>
            <w:r w:rsidRPr="007602A1">
              <w:rPr>
                <w:rFonts w:asciiTheme="majorHAnsi" w:hAnsiTheme="majorHAnsi" w:cstheme="majorHAnsi"/>
                <w:b/>
                <w:i w:val="0"/>
                <w:lang w:val="lt-LT"/>
              </w:rPr>
              <w:t>Nurodyta CVP</w:t>
            </w:r>
            <w:r w:rsidR="00904155" w:rsidRPr="007602A1">
              <w:rPr>
                <w:rFonts w:asciiTheme="majorHAnsi" w:hAnsiTheme="majorHAnsi" w:cstheme="majorHAnsi"/>
                <w:b/>
                <w:i w:val="0"/>
                <w:lang w:val="lt-LT"/>
              </w:rPr>
              <w:t xml:space="preserve"> </w:t>
            </w:r>
            <w:r w:rsidRPr="007602A1">
              <w:rPr>
                <w:rFonts w:asciiTheme="majorHAnsi" w:hAnsiTheme="majorHAnsi" w:cstheme="majorHAnsi"/>
                <w:b/>
                <w:i w:val="0"/>
                <w:lang w:val="lt-LT"/>
              </w:rPr>
              <w:t xml:space="preserve">IS </w:t>
            </w:r>
          </w:p>
        </w:tc>
      </w:tr>
      <w:tr w:rsidR="00E9202F" w:rsidRPr="00904155" w14:paraId="47AD1639" w14:textId="77777777" w:rsidTr="00D7483E">
        <w:trPr>
          <w:trHeight w:val="20"/>
        </w:trPr>
        <w:tc>
          <w:tcPr>
            <w:tcW w:w="363" w:type="pct"/>
            <w:shd w:val="clear" w:color="auto" w:fill="F2F2F2"/>
            <w:vAlign w:val="center"/>
          </w:tcPr>
          <w:p w14:paraId="753AFF67" w14:textId="77777777" w:rsidR="00E9202F" w:rsidRPr="00904155" w:rsidRDefault="00E9202F" w:rsidP="00D7483E">
            <w:pPr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/>
              <w:jc w:val="center"/>
              <w:rPr>
                <w:rFonts w:asciiTheme="majorHAnsi" w:hAnsiTheme="majorHAnsi" w:cstheme="majorHAnsi"/>
                <w:i w:val="0"/>
                <w:lang w:val="lt-LT"/>
              </w:rPr>
            </w:pPr>
          </w:p>
        </w:tc>
        <w:tc>
          <w:tcPr>
            <w:tcW w:w="2121" w:type="pct"/>
            <w:shd w:val="clear" w:color="auto" w:fill="F2F2F2"/>
            <w:vAlign w:val="center"/>
          </w:tcPr>
          <w:p w14:paraId="736512EB" w14:textId="77777777" w:rsidR="00E9202F" w:rsidRPr="00904155" w:rsidRDefault="00E9202F" w:rsidP="00E9202F">
            <w:pPr>
              <w:rPr>
                <w:rFonts w:asciiTheme="majorHAnsi" w:hAnsiTheme="majorHAnsi" w:cstheme="majorHAnsi"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i w:val="0"/>
                <w:lang w:val="lt-LT"/>
              </w:rPr>
              <w:t>Kitos sąlygos</w:t>
            </w:r>
          </w:p>
        </w:tc>
        <w:tc>
          <w:tcPr>
            <w:tcW w:w="2516" w:type="pct"/>
            <w:vAlign w:val="center"/>
          </w:tcPr>
          <w:p w14:paraId="0793AEFF" w14:textId="5410B718" w:rsidR="00E9202F" w:rsidRPr="00904155" w:rsidRDefault="00D04E56" w:rsidP="00E9202F">
            <w:pPr>
              <w:tabs>
                <w:tab w:val="center" w:pos="2015"/>
              </w:tabs>
              <w:rPr>
                <w:rFonts w:asciiTheme="majorHAnsi" w:hAnsiTheme="majorHAnsi" w:cstheme="majorHAnsi"/>
                <w:b/>
                <w:i w:val="0"/>
                <w:lang w:val="lt-LT"/>
              </w:rPr>
            </w:pPr>
            <w:r w:rsidRPr="00904155">
              <w:rPr>
                <w:rFonts w:asciiTheme="majorHAnsi" w:hAnsiTheme="majorHAnsi" w:cstheme="majorHAnsi"/>
                <w:b/>
                <w:i w:val="0"/>
                <w:lang w:val="lt-LT"/>
              </w:rPr>
              <w:t>-</w:t>
            </w:r>
          </w:p>
        </w:tc>
      </w:tr>
    </w:tbl>
    <w:p w14:paraId="563A5B47" w14:textId="77777777" w:rsidR="00E9202F" w:rsidRPr="00904155" w:rsidRDefault="00E9202F" w:rsidP="00E9202F">
      <w:pPr>
        <w:spacing w:before="60" w:after="60" w:line="120" w:lineRule="auto"/>
        <w:jc w:val="both"/>
        <w:rPr>
          <w:rFonts w:asciiTheme="majorHAnsi" w:eastAsia="Times New Roman" w:hAnsiTheme="majorHAnsi" w:cstheme="majorHAnsi"/>
          <w:i w:val="0"/>
        </w:rPr>
      </w:pPr>
    </w:p>
    <w:p w14:paraId="70CB49F2" w14:textId="77777777" w:rsidR="0056557A" w:rsidRPr="00904155" w:rsidRDefault="0056557A" w:rsidP="0056557A">
      <w:pPr>
        <w:keepNext/>
        <w:keepLines/>
        <w:numPr>
          <w:ilvl w:val="0"/>
          <w:numId w:val="6"/>
        </w:numPr>
        <w:pBdr>
          <w:top w:val="single" w:sz="4" w:space="0" w:color="4F81BD"/>
          <w:left w:val="single" w:sz="4" w:space="4" w:color="4F81BD"/>
          <w:bottom w:val="single" w:sz="4" w:space="0" w:color="4F81BD"/>
          <w:right w:val="single" w:sz="4" w:space="4" w:color="4F81BD"/>
        </w:pBdr>
        <w:shd w:val="clear" w:color="auto" w:fill="FFFFCC"/>
        <w:spacing w:before="60" w:after="60" w:line="240" w:lineRule="auto"/>
        <w:jc w:val="both"/>
        <w:outlineLvl w:val="0"/>
        <w:rPr>
          <w:rFonts w:asciiTheme="majorHAnsi" w:eastAsia="Times New Roman" w:hAnsiTheme="majorHAnsi" w:cstheme="majorHAnsi"/>
          <w:b/>
          <w:i w:val="0"/>
          <w:color w:val="548DD4"/>
        </w:rPr>
      </w:pPr>
      <w:r w:rsidRPr="00904155">
        <w:rPr>
          <w:rFonts w:asciiTheme="majorHAnsi" w:eastAsia="Times New Roman" w:hAnsiTheme="majorHAnsi" w:cstheme="majorHAnsi"/>
          <w:b/>
          <w:bCs/>
          <w:i w:val="0"/>
          <w:color w:val="548DD4"/>
          <w:spacing w:val="4"/>
        </w:rPr>
        <w:t>KVIETIMAS DALYVAUTI RINKOS DALYVIŲ KONSULTACIJOJE</w:t>
      </w:r>
    </w:p>
    <w:p w14:paraId="4C9F158F" w14:textId="77777777" w:rsidR="00C15FD4" w:rsidRDefault="00C15FD4" w:rsidP="00B16CD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</w:p>
    <w:p w14:paraId="53EBCDFE" w14:textId="354DFC15" w:rsidR="00403333" w:rsidRPr="00FC4C25" w:rsidRDefault="00403333" w:rsidP="00FC4C2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Theme="majorHAnsi" w:eastAsia="Arial" w:hAnsiTheme="majorHAnsi" w:cstheme="majorHAnsi"/>
          <w:b/>
          <w:i w:val="0"/>
          <w:color w:val="000000"/>
          <w:sz w:val="24"/>
          <w:szCs w:val="24"/>
          <w:lang w:eastAsia="ja-JP"/>
        </w:rPr>
      </w:pPr>
      <w:r w:rsidRPr="00904155">
        <w:rPr>
          <w:rFonts w:asciiTheme="majorHAnsi" w:eastAsia="Arial" w:hAnsiTheme="majorHAnsi" w:cstheme="majorHAnsi"/>
          <w:b/>
          <w:i w:val="0"/>
          <w:color w:val="000000"/>
          <w:sz w:val="24"/>
          <w:szCs w:val="24"/>
          <w:lang w:eastAsia="ja-JP"/>
        </w:rPr>
        <w:t>Atsakymus į perkančiosios organizacijos klausimus prašome pateikti užpildant žemiau pateiktos formos lentelę:</w:t>
      </w:r>
    </w:p>
    <w:p w14:paraId="184A7672" w14:textId="77777777" w:rsidR="00403333" w:rsidRPr="00904155" w:rsidRDefault="00403333" w:rsidP="0040333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  <w:r w:rsidRPr="00904155"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14596" w:type="dxa"/>
        <w:tblLook w:val="04A0" w:firstRow="1" w:lastRow="0" w:firstColumn="1" w:lastColumn="0" w:noHBand="0" w:noVBand="1"/>
      </w:tblPr>
      <w:tblGrid>
        <w:gridCol w:w="796"/>
        <w:gridCol w:w="6570"/>
        <w:gridCol w:w="7230"/>
      </w:tblGrid>
      <w:tr w:rsidR="00403333" w:rsidRPr="00685431" w14:paraId="3B2BD185" w14:textId="77777777" w:rsidTr="00CD4762"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7BAEBFD6" w14:textId="77777777" w:rsidR="00403333" w:rsidRPr="00685431" w:rsidRDefault="00403333" w:rsidP="00FF45A6">
            <w:pPr>
              <w:jc w:val="center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Eil. Nr.</w:t>
            </w:r>
          </w:p>
        </w:tc>
        <w:tc>
          <w:tcPr>
            <w:tcW w:w="6570" w:type="dxa"/>
            <w:shd w:val="clear" w:color="auto" w:fill="F2F2F2" w:themeFill="background1" w:themeFillShade="F2"/>
            <w:vAlign w:val="center"/>
          </w:tcPr>
          <w:p w14:paraId="7A027F6E" w14:textId="77777777" w:rsidR="00403333" w:rsidRPr="00685431" w:rsidRDefault="00403333" w:rsidP="00FF45A6">
            <w:pPr>
              <w:jc w:val="center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Klausimas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CDFA78E" w14:textId="77777777" w:rsidR="00403333" w:rsidRPr="00685431" w:rsidRDefault="00403333" w:rsidP="00FF45A6">
            <w:pPr>
              <w:jc w:val="center"/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b/>
                <w:i w:val="0"/>
                <w:sz w:val="24"/>
                <w:szCs w:val="24"/>
              </w:rPr>
              <w:t>Tiekėjo atsakymas</w:t>
            </w:r>
          </w:p>
        </w:tc>
      </w:tr>
      <w:tr w:rsidR="00403333" w:rsidRPr="00685431" w14:paraId="2948078E" w14:textId="77777777" w:rsidTr="00CD4762">
        <w:trPr>
          <w:trHeight w:val="20"/>
        </w:trPr>
        <w:tc>
          <w:tcPr>
            <w:tcW w:w="0" w:type="auto"/>
            <w:vAlign w:val="center"/>
          </w:tcPr>
          <w:p w14:paraId="1B11BA7A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6570" w:type="dxa"/>
          </w:tcPr>
          <w:p w14:paraId="0D8F2B9D" w14:textId="5A6037FB" w:rsidR="00A51242" w:rsidRPr="00CD4762" w:rsidRDefault="00A51242" w:rsidP="00A51242">
            <w:pPr>
              <w:jc w:val="both"/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</w:pPr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 xml:space="preserve">Teikiant tarptinklinio judriojo ryšio duomenų perdavimo paslaugas, mokestis turi būti skaičiuojamas kaip </w:t>
            </w:r>
            <w:r w:rsidR="00D666DE"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>papildomas mokestis, užtikrin</w:t>
            </w:r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>ant galimybę naudotis ne mažesniu kaip 20 GB per mėnesį duomenų perdavimo kiekiu ES/EEE šalyse, be papildomų mokesčių, taikant „</w:t>
            </w:r>
            <w:proofErr w:type="spellStart"/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>Roam</w:t>
            </w:r>
            <w:proofErr w:type="spellEnd"/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>Like</w:t>
            </w:r>
            <w:proofErr w:type="spellEnd"/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 xml:space="preserve"> at </w:t>
            </w:r>
            <w:proofErr w:type="spellStart"/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>Home</w:t>
            </w:r>
            <w:proofErr w:type="spellEnd"/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>“ principą. Šis duomenų kiekis turi būti įskaičiuotas į bendrą paslaugų paketą ir teikiamas nemokamai.</w:t>
            </w:r>
          </w:p>
          <w:p w14:paraId="66AF9BBC" w14:textId="45E4DE90" w:rsidR="00A51242" w:rsidRPr="00CD4762" w:rsidRDefault="00A51242" w:rsidP="00A51242">
            <w:pPr>
              <w:jc w:val="both"/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</w:pPr>
            <w:r w:rsidRPr="00CD4762"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  <w:t>Viršijus Už  20 GB per mėnesį duomenų perdavimo kiekį ES/EEE, 1 MB perduotų duomenų ES/EEE ir kitose šalyse neturi būti taikomas didesnis tarifas negu tarptinklinio ryšio taisyklėse nustatytas maksimalus tarifas ir/arba Teikėjo interneto svetainėje skelbiamas įkainis (atitinkamu laikotarpiu).</w:t>
            </w:r>
          </w:p>
          <w:p w14:paraId="79F6743A" w14:textId="77777777" w:rsidR="00A51242" w:rsidRPr="00CD4762" w:rsidRDefault="00A51242" w:rsidP="005D0440">
            <w:pPr>
              <w:jc w:val="both"/>
              <w:rPr>
                <w:rFonts w:asciiTheme="majorHAnsi" w:eastAsia="Times New Roman" w:hAnsiTheme="majorHAnsi" w:cstheme="majorHAnsi"/>
                <w:i w:val="0"/>
                <w:sz w:val="24"/>
                <w:szCs w:val="24"/>
              </w:rPr>
            </w:pPr>
          </w:p>
          <w:p w14:paraId="1290B066" w14:textId="289E687D" w:rsidR="00A51242" w:rsidRPr="00CD4762" w:rsidRDefault="00A51242" w:rsidP="005D0440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</w:pPr>
            <w:r w:rsidRPr="00CD476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Duomenų siuntimui ir gavimui</w:t>
            </w:r>
            <w:r w:rsidRPr="00CD4762">
              <w:rPr>
                <w:rFonts w:asciiTheme="majorHAnsi" w:hAnsiTheme="majorHAnsi" w:cstheme="majorHAnsi"/>
              </w:rPr>
              <w:t xml:space="preserve"> </w:t>
            </w:r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ES/EEE turi būti taikomos tokios pačios sąlygos kaip Lietuvoje, t. y. ne didesnis nei 10 KB apskaitos žingsnis, vadovaujantis „</w:t>
            </w:r>
            <w:proofErr w:type="spellStart"/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Roam</w:t>
            </w:r>
            <w:proofErr w:type="spellEnd"/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like</w:t>
            </w:r>
            <w:proofErr w:type="spellEnd"/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 xml:space="preserve"> at </w:t>
            </w:r>
            <w:proofErr w:type="spellStart"/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home“principu</w:t>
            </w:r>
            <w:proofErr w:type="spellEnd"/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.</w:t>
            </w:r>
          </w:p>
          <w:p w14:paraId="53CC0123" w14:textId="77777777" w:rsidR="00A51242" w:rsidRPr="00CD4762" w:rsidRDefault="00A51242" w:rsidP="005D0440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</w:pPr>
          </w:p>
          <w:p w14:paraId="38506CB4" w14:textId="227ABAB1" w:rsidR="00D666DE" w:rsidRPr="00CD4762" w:rsidRDefault="00A51242" w:rsidP="005D0440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</w:pPr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Ar brangtų paslaugų teikimas įrašius į tec</w:t>
            </w:r>
            <w:r w:rsidR="006B7418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hninę specifikaciją tokias naujas sąlygas</w:t>
            </w:r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?</w:t>
            </w:r>
          </w:p>
          <w:p w14:paraId="2FD9AF85" w14:textId="7AB55A65" w:rsidR="00D666DE" w:rsidRPr="00CD4762" w:rsidRDefault="00A51242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</w:pPr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230" w:type="dxa"/>
          </w:tcPr>
          <w:p w14:paraId="4D2F43C7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  <w:tr w:rsidR="00403333" w:rsidRPr="00685431" w14:paraId="79B32E39" w14:textId="77777777" w:rsidTr="00CD4762">
        <w:trPr>
          <w:trHeight w:val="20"/>
        </w:trPr>
        <w:tc>
          <w:tcPr>
            <w:tcW w:w="0" w:type="auto"/>
            <w:vAlign w:val="center"/>
          </w:tcPr>
          <w:p w14:paraId="4B569965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6570" w:type="dxa"/>
          </w:tcPr>
          <w:p w14:paraId="5447841E" w14:textId="149BB483" w:rsidR="00403333" w:rsidRPr="00CD4762" w:rsidRDefault="00D666DE" w:rsidP="005D0440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Jei taip, tai kiek brangtų paslaugų įkainis 1 naudotojui 1 pirkimo objekto dalyje, kai preliminarus Paslaugos naudotojų skaičius pirmoje pirkimo objekto dalyje – 10 996 naudotojų?</w:t>
            </w:r>
          </w:p>
        </w:tc>
        <w:tc>
          <w:tcPr>
            <w:tcW w:w="7230" w:type="dxa"/>
          </w:tcPr>
          <w:p w14:paraId="56A4573A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  <w:tr w:rsidR="00403333" w:rsidRPr="00685431" w14:paraId="677ACCC4" w14:textId="77777777" w:rsidTr="00CD4762">
        <w:trPr>
          <w:trHeight w:val="20"/>
        </w:trPr>
        <w:tc>
          <w:tcPr>
            <w:tcW w:w="0" w:type="auto"/>
            <w:vAlign w:val="center"/>
          </w:tcPr>
          <w:p w14:paraId="6A013EF5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6570" w:type="dxa"/>
          </w:tcPr>
          <w:p w14:paraId="4CD93FC1" w14:textId="68AF0F20" w:rsidR="00403333" w:rsidRPr="00CD4762" w:rsidRDefault="00D666DE" w:rsidP="005D0440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</w:pPr>
            <w:r w:rsidRPr="00CD4762">
              <w:rPr>
                <w:rFonts w:asciiTheme="majorHAnsi" w:eastAsia="Times New Roman" w:hAnsiTheme="majorHAnsi" w:cstheme="majorHAnsi"/>
                <w:sz w:val="24"/>
                <w:szCs w:val="24"/>
                <w:lang w:eastAsia="lt-LT"/>
              </w:rPr>
              <w:t>Jei taip, tai kiek brangtų paslaugų įkainis 1 naudotojui 2 pirkimo objekto dalyje, kai preliminarus Paslaugos naudotojų skaičius – 1050 naudotojų?</w:t>
            </w:r>
          </w:p>
        </w:tc>
        <w:tc>
          <w:tcPr>
            <w:tcW w:w="7230" w:type="dxa"/>
          </w:tcPr>
          <w:p w14:paraId="456FA787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  <w:tr w:rsidR="00403333" w:rsidRPr="00685431" w14:paraId="1012778C" w14:textId="77777777" w:rsidTr="00CD4762">
        <w:trPr>
          <w:trHeight w:val="20"/>
        </w:trPr>
        <w:tc>
          <w:tcPr>
            <w:tcW w:w="0" w:type="auto"/>
            <w:vAlign w:val="center"/>
          </w:tcPr>
          <w:p w14:paraId="6D0E7C87" w14:textId="77777777" w:rsidR="00403333" w:rsidRPr="00685431" w:rsidRDefault="00403333" w:rsidP="00FF45A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0" w:firstLine="0"/>
              <w:jc w:val="center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  <w:tc>
          <w:tcPr>
            <w:tcW w:w="6570" w:type="dxa"/>
            <w:vAlign w:val="center"/>
          </w:tcPr>
          <w:p w14:paraId="5FCC3483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  <w:r w:rsidRPr="00685431">
              <w:rPr>
                <w:rFonts w:asciiTheme="majorHAnsi" w:hAnsiTheme="majorHAnsi" w:cstheme="majorHAnsi"/>
                <w:i w:val="0"/>
                <w:sz w:val="24"/>
                <w:szCs w:val="24"/>
              </w:rPr>
              <w:t>Ar turite kitų pastebėjimų ar pasiūlymų?</w:t>
            </w:r>
          </w:p>
        </w:tc>
        <w:tc>
          <w:tcPr>
            <w:tcW w:w="7230" w:type="dxa"/>
          </w:tcPr>
          <w:p w14:paraId="38076DF7" w14:textId="77777777" w:rsidR="00403333" w:rsidRPr="00685431" w:rsidRDefault="00403333" w:rsidP="00FF45A6">
            <w:pPr>
              <w:jc w:val="both"/>
              <w:rPr>
                <w:rFonts w:asciiTheme="majorHAnsi" w:hAnsiTheme="majorHAnsi" w:cstheme="majorHAnsi"/>
                <w:i w:val="0"/>
                <w:sz w:val="24"/>
                <w:szCs w:val="24"/>
              </w:rPr>
            </w:pPr>
          </w:p>
        </w:tc>
      </w:tr>
    </w:tbl>
    <w:p w14:paraId="2F80EF08" w14:textId="77777777" w:rsidR="00403333" w:rsidRPr="00685431" w:rsidRDefault="00403333" w:rsidP="0040333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</w:p>
    <w:p w14:paraId="256B72CC" w14:textId="5C94E65D" w:rsidR="00403333" w:rsidRPr="006E3454" w:rsidRDefault="00403333" w:rsidP="0040333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Theme="majorHAnsi" w:eastAsia="Arial" w:hAnsiTheme="majorHAnsi" w:cstheme="majorHAnsi"/>
          <w:b/>
          <w:i w:val="0"/>
          <w:color w:val="000000" w:themeColor="text1"/>
          <w:sz w:val="24"/>
          <w:szCs w:val="24"/>
          <w:lang w:eastAsia="ja-JP"/>
        </w:rPr>
      </w:pPr>
      <w:r w:rsidRPr="006E3454">
        <w:rPr>
          <w:rFonts w:asciiTheme="majorHAnsi" w:eastAsia="Arial" w:hAnsiTheme="majorHAnsi" w:cstheme="majorHAnsi"/>
          <w:b/>
          <w:i w:val="0"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 </w:t>
      </w:r>
      <w:r w:rsidR="006B7418">
        <w:rPr>
          <w:rFonts w:asciiTheme="majorHAnsi" w:eastAsia="Arial" w:hAnsiTheme="majorHAnsi" w:cstheme="majorHAnsi"/>
          <w:b/>
          <w:i w:val="0"/>
          <w:color w:val="000000" w:themeColor="text1"/>
          <w:sz w:val="24"/>
          <w:szCs w:val="24"/>
          <w:lang w:eastAsia="ja-JP"/>
        </w:rPr>
        <w:t xml:space="preserve">dėl lentelės Nr. 1 4 punkto </w:t>
      </w:r>
      <w:r w:rsidRPr="006E3454">
        <w:rPr>
          <w:rFonts w:asciiTheme="majorHAnsi" w:eastAsia="Arial" w:hAnsiTheme="majorHAnsi" w:cstheme="majorHAnsi"/>
          <w:b/>
          <w:i w:val="0"/>
          <w:color w:val="000000" w:themeColor="text1"/>
          <w:sz w:val="24"/>
          <w:szCs w:val="24"/>
          <w:lang w:eastAsia="ja-JP"/>
        </w:rPr>
        <w:t>bus paskelbti viešai CVP IS prie rinkos konsultacijos dokumentų ne vėliau kaip iki pirkimo pradžios.</w:t>
      </w:r>
    </w:p>
    <w:p w14:paraId="2739DA50" w14:textId="016556EC" w:rsidR="00D9717D" w:rsidRPr="00403333" w:rsidRDefault="00D9717D" w:rsidP="00B16CD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val="en-US" w:eastAsia="ja-JP"/>
        </w:rPr>
      </w:pPr>
    </w:p>
    <w:p w14:paraId="2FC98BAE" w14:textId="77777777" w:rsidR="00403333" w:rsidRPr="00904155" w:rsidRDefault="00403333" w:rsidP="00B16CD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Theme="majorHAnsi" w:eastAsia="Arial" w:hAnsiTheme="majorHAnsi" w:cstheme="majorHAnsi"/>
          <w:i w:val="0"/>
          <w:color w:val="000000"/>
          <w:sz w:val="24"/>
          <w:szCs w:val="24"/>
          <w:lang w:eastAsia="ja-JP"/>
        </w:rPr>
      </w:pPr>
    </w:p>
    <w:sectPr w:rsidR="00403333" w:rsidRPr="00904155" w:rsidSect="003819D8">
      <w:headerReference w:type="default" r:id="rId8"/>
      <w:headerReference w:type="firs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A790FD" w16cex:dateUtc="2024-10-29T14:38:00Z"/>
  <w16cex:commentExtensible w16cex:durableId="7938239C" w16cex:dateUtc="2024-10-29T14:26:00Z"/>
  <w16cex:commentExtensible w16cex:durableId="6153F9C7" w16cex:dateUtc="2024-10-29T14:28:00Z"/>
  <w16cex:commentExtensible w16cex:durableId="43D1E868" w16cex:dateUtc="2024-10-29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417FF22" w16cid:durableId="67E601CA"/>
  <w16cid:commentId w16cid:paraId="2C035AA3" w16cid:durableId="2CA790FD"/>
  <w16cid:commentId w16cid:paraId="33D9C6CB" w16cid:durableId="7938239C"/>
  <w16cid:commentId w16cid:paraId="46B854AC" w16cid:durableId="6153F9C7"/>
  <w16cid:commentId w16cid:paraId="7BA58A1B" w16cid:durableId="63F3457D"/>
  <w16cid:commentId w16cid:paraId="18CFFAFD" w16cid:durableId="43D1E8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DD62" w14:textId="77777777" w:rsidR="00F87063" w:rsidRDefault="00F87063" w:rsidP="00DF6D98">
      <w:pPr>
        <w:spacing w:after="0" w:line="240" w:lineRule="auto"/>
      </w:pPr>
      <w:r>
        <w:separator/>
      </w:r>
    </w:p>
  </w:endnote>
  <w:endnote w:type="continuationSeparator" w:id="0">
    <w:p w14:paraId="60F27CC1" w14:textId="77777777" w:rsidR="00F87063" w:rsidRDefault="00F87063" w:rsidP="00DF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5234B" w14:textId="77777777" w:rsidR="00F87063" w:rsidRDefault="00F87063" w:rsidP="00DF6D98">
      <w:pPr>
        <w:spacing w:after="0" w:line="240" w:lineRule="auto"/>
      </w:pPr>
      <w:r>
        <w:separator/>
      </w:r>
    </w:p>
  </w:footnote>
  <w:footnote w:type="continuationSeparator" w:id="0">
    <w:p w14:paraId="1395BDDE" w14:textId="77777777" w:rsidR="00F87063" w:rsidRDefault="00F87063" w:rsidP="00DF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40486"/>
      <w:docPartObj>
        <w:docPartGallery w:val="Page Numbers (Top of Page)"/>
        <w:docPartUnique/>
      </w:docPartObj>
    </w:sdtPr>
    <w:sdtEndPr/>
    <w:sdtContent>
      <w:p w14:paraId="050A9437" w14:textId="6EE4D84B" w:rsidR="00DF6D98" w:rsidRDefault="00DF6D9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762">
          <w:rPr>
            <w:noProof/>
          </w:rPr>
          <w:t>2</w:t>
        </w:r>
        <w:r>
          <w:fldChar w:fldCharType="end"/>
        </w:r>
      </w:p>
    </w:sdtContent>
  </w:sdt>
  <w:p w14:paraId="01E4A6C6" w14:textId="77777777" w:rsidR="00DF6D98" w:rsidRDefault="00DF6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0542B" w14:textId="2A82C518" w:rsidR="00E9202F" w:rsidRPr="00E9202F" w:rsidRDefault="00E9202F" w:rsidP="00E9202F">
    <w:pPr>
      <w:keepNext/>
      <w:keepLines/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hd w:val="clear" w:color="auto" w:fill="4F81BD"/>
      <w:spacing w:before="60" w:after="60" w:line="240" w:lineRule="auto"/>
      <w:ind w:left="-567" w:firstLine="567"/>
      <w:jc w:val="both"/>
      <w:outlineLvl w:val="0"/>
      <w:rPr>
        <w:rFonts w:ascii="Calibri Light" w:eastAsia="Times New Roman" w:hAnsi="Calibri Light" w:cs="Calibri Light"/>
        <w:b/>
        <w:bCs/>
        <w:i w:val="0"/>
        <w:color w:val="FFFFFF"/>
        <w:spacing w:val="4"/>
        <w:sz w:val="24"/>
        <w:szCs w:val="24"/>
      </w:rPr>
    </w:pPr>
    <w:r w:rsidRPr="00E9202F">
      <w:rPr>
        <w:rFonts w:ascii="Calibri Light" w:eastAsia="Times New Roman" w:hAnsi="Calibri Light" w:cs="Calibri Light"/>
        <w:b/>
        <w:bCs/>
        <w:i w:val="0"/>
        <w:color w:val="FFFFFF"/>
        <w:spacing w:val="4"/>
        <w:sz w:val="24"/>
        <w:szCs w:val="24"/>
      </w:rPr>
      <w:t>RINKOS DALYVIŲ KONSULTACIJA &gt; KVIETIMAS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A60CE"/>
    <w:multiLevelType w:val="multilevel"/>
    <w:tmpl w:val="843447D4"/>
    <w:lvl w:ilvl="0">
      <w:start w:val="7"/>
      <w:numFmt w:val="decimal"/>
      <w:lvlText w:val="%1"/>
      <w:lvlJc w:val="left"/>
      <w:pPr>
        <w:ind w:left="105" w:hanging="41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1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12" w:hanging="41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468" w:hanging="41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924" w:hanging="41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80" w:hanging="41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36" w:hanging="41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292" w:hanging="41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748" w:hanging="417"/>
      </w:pPr>
      <w:rPr>
        <w:rFonts w:hint="default"/>
        <w:lang w:val="lt-LT" w:eastAsia="en-US" w:bidi="ar-SA"/>
      </w:rPr>
    </w:lvl>
  </w:abstractNum>
  <w:abstractNum w:abstractNumId="2" w15:restartNumberingAfterBreak="0">
    <w:nsid w:val="105119F5"/>
    <w:multiLevelType w:val="multilevel"/>
    <w:tmpl w:val="0B04E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D833F2"/>
    <w:multiLevelType w:val="hybridMultilevel"/>
    <w:tmpl w:val="02A48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0893"/>
    <w:multiLevelType w:val="hybridMultilevel"/>
    <w:tmpl w:val="259423F8"/>
    <w:lvl w:ilvl="0" w:tplc="65F623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B71"/>
    <w:multiLevelType w:val="hybridMultilevel"/>
    <w:tmpl w:val="3EA24D0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02F39"/>
    <w:multiLevelType w:val="hybridMultilevel"/>
    <w:tmpl w:val="B956D18A"/>
    <w:lvl w:ilvl="0" w:tplc="2222F48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05DD"/>
    <w:multiLevelType w:val="multilevel"/>
    <w:tmpl w:val="224E5846"/>
    <w:lvl w:ilvl="0">
      <w:start w:val="7"/>
      <w:numFmt w:val="decimal"/>
      <w:lvlText w:val="%1"/>
      <w:lvlJc w:val="left"/>
      <w:pPr>
        <w:ind w:left="105" w:hanging="45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1012" w:hanging="45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468" w:hanging="45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924" w:hanging="45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80" w:hanging="45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36" w:hanging="45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292" w:hanging="45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748" w:hanging="458"/>
      </w:pPr>
      <w:rPr>
        <w:rFonts w:hint="default"/>
        <w:lang w:val="lt-LT" w:eastAsia="en-US" w:bidi="ar-SA"/>
      </w:rPr>
    </w:lvl>
  </w:abstractNum>
  <w:abstractNum w:abstractNumId="10" w15:restartNumberingAfterBreak="0">
    <w:nsid w:val="692C7E03"/>
    <w:multiLevelType w:val="hybridMultilevel"/>
    <w:tmpl w:val="21CCECC8"/>
    <w:lvl w:ilvl="0" w:tplc="C56EBA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0640"/>
    <w:multiLevelType w:val="hybridMultilevel"/>
    <w:tmpl w:val="02A48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3" w15:restartNumberingAfterBreak="0">
    <w:nsid w:val="75633649"/>
    <w:multiLevelType w:val="hybridMultilevel"/>
    <w:tmpl w:val="BD5262C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6E0CEF"/>
    <w:multiLevelType w:val="hybridMultilevel"/>
    <w:tmpl w:val="480C6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A6"/>
    <w:rsid w:val="00004E57"/>
    <w:rsid w:val="00011019"/>
    <w:rsid w:val="00011D23"/>
    <w:rsid w:val="0001321F"/>
    <w:rsid w:val="000330D3"/>
    <w:rsid w:val="000510F9"/>
    <w:rsid w:val="0006259E"/>
    <w:rsid w:val="0006264F"/>
    <w:rsid w:val="0007055D"/>
    <w:rsid w:val="00070B4F"/>
    <w:rsid w:val="000812B0"/>
    <w:rsid w:val="00084F7F"/>
    <w:rsid w:val="000949BA"/>
    <w:rsid w:val="0009580C"/>
    <w:rsid w:val="000C05EB"/>
    <w:rsid w:val="000C7F99"/>
    <w:rsid w:val="000E0E92"/>
    <w:rsid w:val="0010675F"/>
    <w:rsid w:val="001539BE"/>
    <w:rsid w:val="00155B01"/>
    <w:rsid w:val="001819AE"/>
    <w:rsid w:val="001851F7"/>
    <w:rsid w:val="00186363"/>
    <w:rsid w:val="001933D2"/>
    <w:rsid w:val="001A62D7"/>
    <w:rsid w:val="001B22E3"/>
    <w:rsid w:val="001B5FD1"/>
    <w:rsid w:val="001B7106"/>
    <w:rsid w:val="001D27EF"/>
    <w:rsid w:val="001E769E"/>
    <w:rsid w:val="001F42C1"/>
    <w:rsid w:val="00202A10"/>
    <w:rsid w:val="00210074"/>
    <w:rsid w:val="00223CF7"/>
    <w:rsid w:val="00254746"/>
    <w:rsid w:val="002662F7"/>
    <w:rsid w:val="00266788"/>
    <w:rsid w:val="00271355"/>
    <w:rsid w:val="00280F46"/>
    <w:rsid w:val="00287B13"/>
    <w:rsid w:val="002A0330"/>
    <w:rsid w:val="002A2C15"/>
    <w:rsid w:val="002D26E2"/>
    <w:rsid w:val="002D4562"/>
    <w:rsid w:val="002F153A"/>
    <w:rsid w:val="00305BFF"/>
    <w:rsid w:val="00315E95"/>
    <w:rsid w:val="00322517"/>
    <w:rsid w:val="00323759"/>
    <w:rsid w:val="00350061"/>
    <w:rsid w:val="003621FB"/>
    <w:rsid w:val="003664AB"/>
    <w:rsid w:val="003819D8"/>
    <w:rsid w:val="00383316"/>
    <w:rsid w:val="00384E1E"/>
    <w:rsid w:val="00385185"/>
    <w:rsid w:val="003B4270"/>
    <w:rsid w:val="003F2BFC"/>
    <w:rsid w:val="003F5C9F"/>
    <w:rsid w:val="003F5D8E"/>
    <w:rsid w:val="00402398"/>
    <w:rsid w:val="00403333"/>
    <w:rsid w:val="00405336"/>
    <w:rsid w:val="004161AC"/>
    <w:rsid w:val="00420FE8"/>
    <w:rsid w:val="00435535"/>
    <w:rsid w:val="00435BC2"/>
    <w:rsid w:val="00436160"/>
    <w:rsid w:val="004410A9"/>
    <w:rsid w:val="0044622B"/>
    <w:rsid w:val="0045370A"/>
    <w:rsid w:val="00482A4D"/>
    <w:rsid w:val="004870E3"/>
    <w:rsid w:val="00490D3D"/>
    <w:rsid w:val="00491A00"/>
    <w:rsid w:val="00494105"/>
    <w:rsid w:val="004947D8"/>
    <w:rsid w:val="00497085"/>
    <w:rsid w:val="004A50F1"/>
    <w:rsid w:val="004A66AB"/>
    <w:rsid w:val="004B5FD0"/>
    <w:rsid w:val="004E2D9D"/>
    <w:rsid w:val="004E6DB6"/>
    <w:rsid w:val="004F1423"/>
    <w:rsid w:val="00534389"/>
    <w:rsid w:val="005417E3"/>
    <w:rsid w:val="005426CE"/>
    <w:rsid w:val="00546B97"/>
    <w:rsid w:val="0055425F"/>
    <w:rsid w:val="0056557A"/>
    <w:rsid w:val="0058039D"/>
    <w:rsid w:val="005815E3"/>
    <w:rsid w:val="005941FD"/>
    <w:rsid w:val="005A3660"/>
    <w:rsid w:val="005C2561"/>
    <w:rsid w:val="005C55D5"/>
    <w:rsid w:val="005D0440"/>
    <w:rsid w:val="005E209B"/>
    <w:rsid w:val="005E67FB"/>
    <w:rsid w:val="005F3514"/>
    <w:rsid w:val="006156A4"/>
    <w:rsid w:val="00633EEE"/>
    <w:rsid w:val="006350B3"/>
    <w:rsid w:val="00654E87"/>
    <w:rsid w:val="00671DDD"/>
    <w:rsid w:val="00680216"/>
    <w:rsid w:val="00683D5C"/>
    <w:rsid w:val="00685431"/>
    <w:rsid w:val="0068605A"/>
    <w:rsid w:val="006B563C"/>
    <w:rsid w:val="006B7418"/>
    <w:rsid w:val="006C672C"/>
    <w:rsid w:val="006D03A7"/>
    <w:rsid w:val="006E3454"/>
    <w:rsid w:val="006F153E"/>
    <w:rsid w:val="00704CF4"/>
    <w:rsid w:val="00716F5E"/>
    <w:rsid w:val="007354C9"/>
    <w:rsid w:val="007533A4"/>
    <w:rsid w:val="007602A1"/>
    <w:rsid w:val="00765882"/>
    <w:rsid w:val="00781CBC"/>
    <w:rsid w:val="00796256"/>
    <w:rsid w:val="007A0EC1"/>
    <w:rsid w:val="007A5E3D"/>
    <w:rsid w:val="007A6B37"/>
    <w:rsid w:val="007C7F58"/>
    <w:rsid w:val="007E0FA7"/>
    <w:rsid w:val="007F77C7"/>
    <w:rsid w:val="00831B87"/>
    <w:rsid w:val="00842B49"/>
    <w:rsid w:val="00870652"/>
    <w:rsid w:val="00873C52"/>
    <w:rsid w:val="008931D7"/>
    <w:rsid w:val="00893924"/>
    <w:rsid w:val="00897109"/>
    <w:rsid w:val="008A16E4"/>
    <w:rsid w:val="008B3DE4"/>
    <w:rsid w:val="008D52A6"/>
    <w:rsid w:val="008E0F00"/>
    <w:rsid w:val="008E5A52"/>
    <w:rsid w:val="00904155"/>
    <w:rsid w:val="00913E82"/>
    <w:rsid w:val="00917D9A"/>
    <w:rsid w:val="00945BE9"/>
    <w:rsid w:val="009508A2"/>
    <w:rsid w:val="00977CF9"/>
    <w:rsid w:val="00984BF7"/>
    <w:rsid w:val="009C01D9"/>
    <w:rsid w:val="009C6CC1"/>
    <w:rsid w:val="009D219A"/>
    <w:rsid w:val="009D6537"/>
    <w:rsid w:val="009F0465"/>
    <w:rsid w:val="009F2722"/>
    <w:rsid w:val="00A05210"/>
    <w:rsid w:val="00A21016"/>
    <w:rsid w:val="00A22DDB"/>
    <w:rsid w:val="00A24CFA"/>
    <w:rsid w:val="00A51242"/>
    <w:rsid w:val="00A52A28"/>
    <w:rsid w:val="00A650C6"/>
    <w:rsid w:val="00A72E02"/>
    <w:rsid w:val="00A777C0"/>
    <w:rsid w:val="00A77838"/>
    <w:rsid w:val="00A8467A"/>
    <w:rsid w:val="00A9393C"/>
    <w:rsid w:val="00A94045"/>
    <w:rsid w:val="00A97001"/>
    <w:rsid w:val="00A974FC"/>
    <w:rsid w:val="00AA6A96"/>
    <w:rsid w:val="00AE2EBB"/>
    <w:rsid w:val="00AE4EB9"/>
    <w:rsid w:val="00AF04AA"/>
    <w:rsid w:val="00B11094"/>
    <w:rsid w:val="00B16CD6"/>
    <w:rsid w:val="00B403EC"/>
    <w:rsid w:val="00B51578"/>
    <w:rsid w:val="00B55172"/>
    <w:rsid w:val="00B56A57"/>
    <w:rsid w:val="00B56EC1"/>
    <w:rsid w:val="00B57BCB"/>
    <w:rsid w:val="00B63F11"/>
    <w:rsid w:val="00B84A38"/>
    <w:rsid w:val="00B96446"/>
    <w:rsid w:val="00B96A6B"/>
    <w:rsid w:val="00BC5AC3"/>
    <w:rsid w:val="00BC711C"/>
    <w:rsid w:val="00BC75D8"/>
    <w:rsid w:val="00BE7100"/>
    <w:rsid w:val="00C04118"/>
    <w:rsid w:val="00C15FD4"/>
    <w:rsid w:val="00C26A22"/>
    <w:rsid w:val="00C3292D"/>
    <w:rsid w:val="00C33EC0"/>
    <w:rsid w:val="00C34730"/>
    <w:rsid w:val="00C51CA9"/>
    <w:rsid w:val="00C644A7"/>
    <w:rsid w:val="00C71BF7"/>
    <w:rsid w:val="00C7734C"/>
    <w:rsid w:val="00C952BB"/>
    <w:rsid w:val="00CA56CB"/>
    <w:rsid w:val="00CC78F8"/>
    <w:rsid w:val="00CD222C"/>
    <w:rsid w:val="00CD4762"/>
    <w:rsid w:val="00CD5CF3"/>
    <w:rsid w:val="00D04E56"/>
    <w:rsid w:val="00D05725"/>
    <w:rsid w:val="00D11348"/>
    <w:rsid w:val="00D11F81"/>
    <w:rsid w:val="00D123B3"/>
    <w:rsid w:val="00D24A79"/>
    <w:rsid w:val="00D308C7"/>
    <w:rsid w:val="00D50DFE"/>
    <w:rsid w:val="00D666DE"/>
    <w:rsid w:val="00D705D6"/>
    <w:rsid w:val="00D7483E"/>
    <w:rsid w:val="00D82C92"/>
    <w:rsid w:val="00D84210"/>
    <w:rsid w:val="00D95811"/>
    <w:rsid w:val="00D9717D"/>
    <w:rsid w:val="00DA6688"/>
    <w:rsid w:val="00DB10CB"/>
    <w:rsid w:val="00DB1A7D"/>
    <w:rsid w:val="00DC1E08"/>
    <w:rsid w:val="00DC203A"/>
    <w:rsid w:val="00DC52BA"/>
    <w:rsid w:val="00DD4A5C"/>
    <w:rsid w:val="00DF6AAC"/>
    <w:rsid w:val="00DF6D98"/>
    <w:rsid w:val="00E03BA7"/>
    <w:rsid w:val="00E17904"/>
    <w:rsid w:val="00E22DEA"/>
    <w:rsid w:val="00E23929"/>
    <w:rsid w:val="00E35379"/>
    <w:rsid w:val="00E36F97"/>
    <w:rsid w:val="00E72817"/>
    <w:rsid w:val="00E76D06"/>
    <w:rsid w:val="00E833D5"/>
    <w:rsid w:val="00E83482"/>
    <w:rsid w:val="00E9202F"/>
    <w:rsid w:val="00EA6847"/>
    <w:rsid w:val="00EB6DC7"/>
    <w:rsid w:val="00EC0D74"/>
    <w:rsid w:val="00EC41E2"/>
    <w:rsid w:val="00ED597D"/>
    <w:rsid w:val="00ED7E32"/>
    <w:rsid w:val="00EF2BC7"/>
    <w:rsid w:val="00EF40F0"/>
    <w:rsid w:val="00F07ED2"/>
    <w:rsid w:val="00F265F1"/>
    <w:rsid w:val="00F34ADE"/>
    <w:rsid w:val="00F72543"/>
    <w:rsid w:val="00F87063"/>
    <w:rsid w:val="00F90B72"/>
    <w:rsid w:val="00FA693F"/>
    <w:rsid w:val="00FB69C3"/>
    <w:rsid w:val="00FC4C25"/>
    <w:rsid w:val="00FE150D"/>
    <w:rsid w:val="00FE454F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2370"/>
  <w15:chartTrackingRefBased/>
  <w15:docId w15:val="{DD934673-C1D8-49C3-ACB7-685B9AE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92"/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rsid w:val="00C04118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39"/>
    <w:rsid w:val="00C15F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D98"/>
    <w:rPr>
      <w:i/>
    </w:rPr>
  </w:style>
  <w:style w:type="paragraph" w:styleId="Footer">
    <w:name w:val="footer"/>
    <w:basedOn w:val="Normal"/>
    <w:link w:val="FooterChar"/>
    <w:uiPriority w:val="99"/>
    <w:unhideWhenUsed/>
    <w:rsid w:val="00DF6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D98"/>
    <w:rPr>
      <w:i/>
    </w:rPr>
  </w:style>
  <w:style w:type="table" w:customStyle="1" w:styleId="Lentelstinklelis2">
    <w:name w:val="Lentelės tinklelis2"/>
    <w:basedOn w:val="TableNormal"/>
    <w:next w:val="TableGrid"/>
    <w:uiPriority w:val="39"/>
    <w:rsid w:val="00E9202F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39"/>
    <w:rsid w:val="00E9202F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2F"/>
    <w:rPr>
      <w:rFonts w:ascii="Segoe UI" w:hAnsi="Segoe UI" w:cs="Segoe UI"/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FE8"/>
    <w:rPr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E8"/>
    <w:rPr>
      <w:b/>
      <w:bCs/>
      <w:i/>
      <w:sz w:val="20"/>
      <w:szCs w:val="20"/>
    </w:rPr>
  </w:style>
  <w:style w:type="paragraph" w:styleId="Revision">
    <w:name w:val="Revision"/>
    <w:hidden/>
    <w:uiPriority w:val="99"/>
    <w:semiHidden/>
    <w:rsid w:val="009D6537"/>
    <w:pPr>
      <w:spacing w:after="0" w:line="240" w:lineRule="auto"/>
    </w:pPr>
    <w:rPr>
      <w:i/>
    </w:rPr>
  </w:style>
  <w:style w:type="table" w:styleId="GridTable4-Accent1">
    <w:name w:val="Grid Table 4 Accent 1"/>
    <w:basedOn w:val="TableNormal"/>
    <w:uiPriority w:val="49"/>
    <w:rsid w:val="006156A4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6156A4"/>
    <w:pPr>
      <w:spacing w:before="140" w:after="0" w:line="240" w:lineRule="auto"/>
    </w:pPr>
    <w:rPr>
      <w:rFonts w:ascii="Calibri" w:hAnsi="Calibri"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6156A4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6156A4"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sid w:val="006156A4"/>
    <w:rPr>
      <w:vertAlign w:val="superscript"/>
    </w:rPr>
  </w:style>
  <w:style w:type="table" w:styleId="GridTable4">
    <w:name w:val="Grid Table 4"/>
    <w:basedOn w:val="TableNormal"/>
    <w:uiPriority w:val="49"/>
    <w:rsid w:val="006156A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D95811"/>
    <w:pPr>
      <w:widowControl w:val="0"/>
      <w:autoSpaceDE w:val="0"/>
      <w:autoSpaceDN w:val="0"/>
      <w:spacing w:after="0" w:line="240" w:lineRule="auto"/>
      <w:ind w:left="105"/>
    </w:pPr>
    <w:rPr>
      <w:rFonts w:ascii="Calibri Light" w:eastAsia="Calibri Light" w:hAnsi="Calibri Light" w:cs="Calibri Light"/>
      <w:i w:val="0"/>
    </w:rPr>
  </w:style>
  <w:style w:type="table" w:customStyle="1" w:styleId="Lentelstinklelis11">
    <w:name w:val="Lentelės tinklelis11"/>
    <w:basedOn w:val="TableNormal"/>
    <w:next w:val="TableGrid"/>
    <w:uiPriority w:val="39"/>
    <w:rsid w:val="00AE4E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E4E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4EB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AB03-8A0A-45B6-B9C5-D796F865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VTIIS</dc:creator>
  <cp:keywords/>
  <dc:description/>
  <cp:lastModifiedBy>Dalia Vienažindytė</cp:lastModifiedBy>
  <cp:revision>26</cp:revision>
  <dcterms:created xsi:type="dcterms:W3CDTF">2024-10-29T14:42:00Z</dcterms:created>
  <dcterms:modified xsi:type="dcterms:W3CDTF">2025-06-10T07:18:00Z</dcterms:modified>
</cp:coreProperties>
</file>