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9771"/>
        <w:gridCol w:w="614"/>
      </w:tblGrid>
      <w:tr>
        <w:trPr>
          <w:trHeight w:val="99" w:hRule="atLeast"/>
        </w:trPr>
        <w:tc>
          <w:tcPr>
            <w:tcW w:w="6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6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771"/>
            </w:tblGrid>
            <w:tr>
              <w:trPr>
                <w:trHeight w:val="12889" w:hRule="atLeast"/>
              </w:trPr>
              <w:tc>
                <w:tcPr>
                  <w:tcW w:w="97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57"/>
                    <w:gridCol w:w="3257"/>
                    <w:gridCol w:w="3257"/>
                  </w:tblGrid>
                  <w:tr>
                    <w:trPr>
                      <w:trHeight w:val="986" w:hRule="atLeast"/>
                    </w:trPr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2068344" cy="406073"/>
                              <wp:docPr id="0" name="img2.jp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img2.jp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8344" cy="4060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76" w:hRule="atLeast"/>
                    </w:trPr>
                    <w:tc>
                      <w:tcPr>
                        <w:tcW w:w="3257" w:type="dxa"/>
                        <w:h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751" w:hRule="atLeast"/>
                    </w:trPr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TVIRTINU: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Martynas Gedaminskas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(Vardo raidė, pavardė, parašas)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____________________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(data)</w:t>
                        </w:r>
                      </w:p>
                    </w:tc>
                  </w:tr>
                  <w:tr>
                    <w:trPr>
                      <w:trHeight w:val="1361" w:hRule="atLeast"/>
                    </w:trPr>
                    <w:tc>
                      <w:tcPr>
                        <w:tcW w:w="3257" w:type="dxa"/>
                        <w:h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8"/>
                          </w:rPr>
                          <w:t xml:space="preserve">TECHNINĖ UŽDUOTIS VALSTYBINĖS REIKŠMĖS KELIŲ IR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8"/>
                          </w:rPr>
                          <w:t xml:space="preserve"> / ARBA JŲ ELEMENTŲ PROJEKTAVIMUI</w:t>
                        </w: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990" w:hRule="atLeast"/>
                    </w:trPr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 w:color="D3D3D3" w:sz="7"/>
                          <w:left w:val="nil" w:color="D3D3D3" w:sz="7"/>
                          <w:bottom w:val="nil" w:color="D3D3D3" w:sz="7"/>
                          <w:right w:val="nil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 w:color="D3D3D3" w:sz="7"/>
                          <w:left w:val="nil" w:color="D3D3D3" w:sz="7"/>
                          <w:bottom w:val="nil" w:color="D3D3D3" w:sz="7"/>
                          <w:right w:val="nil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3257" w:type="dxa"/>
                        <w:h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1. Statytojas: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Akcinė bendrovė Via Lietuva.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2. Užsakovas: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Akcinė bendrovė Via Lietuva.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3. Komplekso pavadinimas: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Krašto kelio Nr. 119 Molėtai–Anykščiai ruožo nuo 28,169 km iki 36,056 km rekonstravimo techninio darbo projekto parengimas, projekto vykdymo priežiūra ir darbų atlikimas.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4. Projekto pavadinimas: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Krašto kelio Nr. 119 Molėtai–Anykščiai ruožo nuo 28,169 km iki 36,056 km rekonstravimas.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5. Statybos rūšis: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rekonstravimas.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6. Etapas: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techninis darbo projektas.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7. Statinio kategorija: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ypatingasis statinys.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8. Statinio rūšis: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inžinerinis statinys.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9. Inžinerinių statinių grupė: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susisiekimo komunikacijos.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10. Inžinerinių statinių pogrupis: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keliai.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3257" w:type="dxa"/>
                        <w:h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11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. Nurodymai statinių ir / arba jų elementų projektavimui ir jų techniniai parametrai:</w:t>
                        </w: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3257" w:type="dxa"/>
                        <w:h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ind w:left="720" w:hanging="360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11.1. numatoma darbų vykdymo riba: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Darbų pradžia − 28,169 km, darbų pabaiga – 36,056 km, ribas tikslinti projektavimo metu;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11.2. kelio (gatvės) kategorija: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IV kelio kategorija. Gyvenvietėje projektuojama pagal STR 2.06.04:2014 „Gatvės ir vietinės reikšmės keliai. Bendrieji reikalavimai“, įvertinus esamą užstatymą, greta kelio esančius sklypus, atstumus tarp jų;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11.3. vieno lygio sankryžos: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Už gyvenvietės ribų pagal statybos rekomendacijas R 36-01 "Automobilių kelių sankryžos", gyvenvietės ribose, pagal STR 2.06.04:2014 „Gatvės ir vietinės reikšmės keliai. Bendrieji reikalavimai“, STR 2.02.09:2005 "Vienbučiai gyvenamieji pastatai" ir techninės specifikacijos reikalavimus;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11.4. pėstiesiems ir (arba) dviratininkams skirta infrastruktūra: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Suprojektuoti naują pėsčiųjų ir/ar dviračių taką Pašilių gyv., gyvenvietės teritorijoje numatyti privedimus prie autobusų sustojimo aikštelių ir perėjų; 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11.5. pėstiesiems ir (arba) dviratininkams skirtos infrastruktūros plotis: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Vadovautis dviračių ir pėsčiųjų eismo infrastruktūros planavimo ir projektavimo taisyklėmis ir STR 2.06.04:2014 „Gatvės ir vietinės reikšmės keliai. Bendrieji reikalavimai“;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11.6. pėstiesiems ir (arba) dviratininkams skirtos infrastruktūros dangos konstrukcija: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Pagal "Automobilių kelių standartizuotų dangų konstrukcijų projektavimo taisykles";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11.7. važiuojamosios dalies skersinis profilis: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Pagal normatyvinių dokumentų reikalavimus;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11.8. dangos konstrukcijos klasė: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Pagal "Automobilių kelių standartizuotų dangų konstrukcijų projektavimo taisykles";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11.9. nuovažų skaičius: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Nustatoma projektavimo metu;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11.10. numatomi / rekonstruojami inžineriniai tinklai: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Nustatoma projektavimo metu;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11.11. vandens pralaidos: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Esamų remontas ar naujų įrengimas nustatomas projektavimo metu;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11.12. vandens nuleidimas nuo kelio: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Spręsti lietaus vandens surinkimą ir nuvedimą projektavimo metu;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11.13. pėsčiųjų perėjimo per kelią organizavimo priemonės vieta: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Nustatoma projektavimo metu ties aktualiomis vietomis (stotelėmis, sankryžomis, visuomeninėmis įstaigomis, takų tęsiniais ir pan.);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11.14. pėsčiųjų perėjimo per kelią organizavimo priemonės tipas: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Pagal normatyvinių dokumentų reikalavimus;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11.15. pėsčiųjų perėjimo per kelią organizavimo priemonės plotis, m: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Pagal normatyvinių dokumentų reikalavimus;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11.16. autobusų sustojimo aikštelių skaičius: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Esamos 9 (tikslinti projektavimo metu);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11.17. autobusų sustojimo aikštelių paviljonų skaičius: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Visos stotelės turi turėti pavilijonus;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11.18. inžinerinės eismo saugos priemonės: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Poreikis nustatomas projektavimo metu, vadovaujantis „Inžinerinių eismo saugumo priemonių įgyvendinimo rekomendacijomis“;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11.19. apšvietimas: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Pagal normatyvinių dokumentų ir techninės specifikacijos reikalalavimus;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11.20. triukšmo mažinimo priemonės: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Vadovautis techninės specifikacijos reikalavimais;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11.21. laukinių gyvūnų apsaugos sistemos: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Vadovautis techninės specifikacijos reikalavimais;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11.22. vandens telkinių apsaugos priemonės: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Vadovautis techninės specifikacijos reikalavimais;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11.23. pastatų ir inžinerinių statinių griovimas: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Nenumatoma;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11.24. atlikti planuojamos ūkinės veiklos poveikio aplinkai vertinimą: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Vadovautis normatyvinių dokumentų ir techninės specifikacijos reikalavimais;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11.25. kiti reikalavimai: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Sutvarkyti sankryžą esančią ties 34,15 km. Įvertinti kelio ženklų Nr. 550/551 taikymo tikslingumą (keitimą į ženklų Nr. 612/613) ruože ties Pašilių gyvenviete, atsižvelgiant į užstatymo intensyvumą.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3257" w:type="dxa"/>
                        <w:h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12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. Projektuojant vadovautis šiais dokumentais:</w:t>
                        </w: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81" w:hRule="atLeast"/>
                    </w:trPr>
                    <w:tc>
                      <w:tcPr>
                        <w:tcW w:w="3257" w:type="dxa"/>
                        <w:h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ind w:left="720" w:hanging="360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12.1. Lietuvos Respublikos kelių įstatymu, Lietuvos Respublikos statybos įstatymu, kelių techniniu reglamentu, statybos techniniais reglamentais, higienos normomis, kitais poįstatyminiais teisės aktais: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Taip;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12.2. kitais galiojančiais įstatymais, teisės aktais ir normatyviniais statybos techniniais dokumentais, įskaitant, bet neapsiribojant, nurodytais Akcinės bendrovės Lietuvos automobilių kelių direkcijos interneto svetainėje adresu http://lakd.lt/lt/paslaugos/normatyviniai-dokumentai 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Taip;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12.3. projekto rengimo dokumentais: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Taip;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i/>
                            <w:color w:val="000000"/>
                            <w:sz w:val="24"/>
                          </w:rPr>
                          <w:t xml:space="preserve">12.4. prisijungimo sąlygomis: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Taip.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135" w:hRule="atLeast"/>
                    </w:trPr>
                    <w:tc>
                      <w:tcPr>
                        <w:tcW w:w="3257" w:type="dxa"/>
                        <w:h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13. Finansavimo šaltinis: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  <w:t xml:space="preserve">Kelių priežiūros ir plėtros programos lėšos.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14. Projekto apimtis: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  <w:t xml:space="preserve">Pagal STR 1.04.04:2017 „Statinio projektavimas, projekto ekspertizė“.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15. Papildomos paslaugos (paslaugos, deleguotos Statytojo projektuotojui):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  <w:t xml:space="preserve">Atlikti kitas papildomas paslaugas kaip tai numato Techninė užduotis, Techninė specifikacija ir Sutarties sąlygos.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16. Su šia užduotimi pateikiami Statytojo privalomieji ir kiti dokumentai projektui rengti bei šių dokumentų pateikimo laikotarpis: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  <w:t xml:space="preserve">Priedas Nr.1 - Techninė specifikacija; Priedas Nr.1.1 - Prašymo forma dėl ekspertizės atlikimo; Priedas Nr.1.2 - Prašymo forma dėl projekto tvirtinimo; Priedas Nr.1.3 - BSR pildymo forma; Priedas Nr.1.4 - Statinio fizinių rodiklių sąrašas; Priedas Nr.1.5 - BIM reikalavimai; Priedas Nr.1.6 - Naujos projekto laidos rengimo gairės; Priedas Nr.1.7 - SDKŽ; Priedas Nr.2 - Anksčiau parengto bet neįgyvendinto projekto dokumentacija; 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17. Žemės sklypo statinio teisinės registracijos Nekilnojamojo turto registre duomenys: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  <w:t xml:space="preserve">Žemės sklypo unik. Nr.:4400-4091-5474, 4400-5286-3799. Inžinerinio statinio unik. Nr:4400-3993-8199.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4"/>
                          </w:rPr>
                          <w:t xml:space="preserve">18. Kiti nurodymai / reikalavimai: 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  <w:t xml:space="preserve">1.Projekto apimtyje turi būti parengtas skaitmeninis statybos projekto modelis taikant BIM metodologiją pagal Užsakovo informacijos reikalavimų formose BIM-1, BIM-2 išdėstytus reikalavimus ir juos lydinčius priedus (pridedami).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hMerge w:val="continue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256" w:hRule="atLeast"/>
                    </w:trPr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STATYTOJAS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Akcinė bendrovė Via Lietuva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(vardas, pavardė, parašas, data)</w:t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 w:color="D3D3D3" w:sz="7"/>
                          <w:left w:val="nil" w:color="D3D3D3" w:sz="7"/>
                          <w:bottom w:val="nil" w:color="D3D3D3" w:sz="7"/>
                          <w:right w:val="nil" w:color="D3D3D3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PROJEKTUOTOJAS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</w:p>
                      <w:p>
                        <w:pPr>
                          <w:spacing w:after="0" w:line="240" w:lineRule="auto"/>
                          <w:jc w:val="center"/>
                        </w:pP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4"/>
                          </w:rPr>
                          <w:t xml:space="preserve">(vardas, pavardė, parašas, data)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1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52" w:hRule="atLeast"/>
        </w:trPr>
        <w:tc>
          <w:tcPr>
            <w:tcW w:w="6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12584" w:h="16837"/>
      <w:pgMar w:top="2125" w:right="566" w:bottom="2332" w:left="992" w:header="1559" w:footer="1133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image" Target="/word/media/img2.jpg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Technine uzduotis</dc:title>
</cp:coreProperties>
</file>