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C50D9" w:rsidRDefault="00DE3ABB">
      <w:pPr>
        <w:pStyle w:val="Default"/>
        <w:rPr>
          <w:sz w:val="22"/>
          <w:szCs w:val="22"/>
        </w:rPr>
      </w:pPr>
    </w:p>
    <w:p w14:paraId="697A229B" w14:textId="77777777" w:rsidR="00DE3ABB" w:rsidRPr="00DC50D9" w:rsidRDefault="00DE3ABB">
      <w:pPr>
        <w:pStyle w:val="Default"/>
        <w:rPr>
          <w:sz w:val="22"/>
          <w:szCs w:val="22"/>
        </w:rPr>
      </w:pPr>
    </w:p>
    <w:p w14:paraId="0D8E7CC3" w14:textId="77777777" w:rsidR="00DE3ABB" w:rsidRPr="00DC50D9" w:rsidRDefault="00DE3ABB">
      <w:pPr>
        <w:pStyle w:val="Default"/>
        <w:rPr>
          <w:sz w:val="22"/>
          <w:szCs w:val="22"/>
        </w:rPr>
      </w:pPr>
    </w:p>
    <w:p w14:paraId="683F42A1" w14:textId="65949CA4" w:rsidR="00D40FE5" w:rsidRPr="00DC50D9" w:rsidRDefault="00D40FE5" w:rsidP="005011CE">
      <w:pPr>
        <w:pStyle w:val="Default"/>
        <w:spacing w:line="360" w:lineRule="auto"/>
        <w:jc w:val="center"/>
        <w:rPr>
          <w:b/>
          <w:bCs/>
          <w:sz w:val="22"/>
          <w:szCs w:val="22"/>
        </w:rPr>
      </w:pPr>
      <w:r w:rsidRPr="00DC50D9">
        <w:rPr>
          <w:b/>
          <w:bCs/>
          <w:sz w:val="22"/>
          <w:szCs w:val="22"/>
        </w:rPr>
        <w:t>AKCINĖ BENDROVĖ „VIA LIETUVA“</w:t>
      </w:r>
    </w:p>
    <w:p w14:paraId="3068A870" w14:textId="77777777" w:rsidR="00497052" w:rsidRPr="00DC50D9"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DC50D9" w14:paraId="5DAEEB62" w14:textId="77777777" w:rsidTr="00590E61">
        <w:trPr>
          <w:trHeight w:val="236"/>
        </w:trPr>
        <w:tc>
          <w:tcPr>
            <w:tcW w:w="6412" w:type="dxa"/>
          </w:tcPr>
          <w:p w14:paraId="00C6D4C0" w14:textId="6B293AA0" w:rsidR="00497052" w:rsidRPr="00DC50D9"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Pirkimo dalyv</w:t>
            </w:r>
            <w:r w:rsidR="004813BA" w:rsidRPr="00DC50D9">
              <w:rPr>
                <w:sz w:val="22"/>
                <w:szCs w:val="22"/>
              </w:rPr>
              <w:t>iams</w:t>
            </w:r>
          </w:p>
        </w:tc>
        <w:tc>
          <w:tcPr>
            <w:tcW w:w="3936" w:type="dxa"/>
          </w:tcPr>
          <w:p w14:paraId="66DC8936" w14:textId="580B30BB" w:rsidR="00497052" w:rsidRPr="00DC50D9"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DC50D9">
              <w:rPr>
                <w:sz w:val="22"/>
                <w:szCs w:val="22"/>
              </w:rPr>
              <w:t xml:space="preserve">   </w:t>
            </w:r>
            <w:r w:rsidR="00F40424" w:rsidRPr="00DC50D9">
              <w:rPr>
                <w:sz w:val="22"/>
                <w:szCs w:val="22"/>
              </w:rPr>
              <w:t xml:space="preserve"> </w:t>
            </w:r>
            <w:r w:rsidR="00590E61" w:rsidRPr="00DC50D9">
              <w:rPr>
                <w:sz w:val="22"/>
                <w:szCs w:val="22"/>
              </w:rPr>
              <w:t xml:space="preserve">                </w:t>
            </w:r>
            <w:r w:rsidR="00562203" w:rsidRPr="00DC50D9">
              <w:rPr>
                <w:sz w:val="22"/>
                <w:szCs w:val="22"/>
              </w:rPr>
              <w:t xml:space="preserve"> </w:t>
            </w:r>
            <w:r w:rsidR="00B65DE7" w:rsidRPr="00DC50D9">
              <w:rPr>
                <w:sz w:val="22"/>
                <w:szCs w:val="22"/>
              </w:rPr>
              <w:t>202</w:t>
            </w:r>
            <w:r w:rsidR="000672F7" w:rsidRPr="00DC50D9">
              <w:rPr>
                <w:sz w:val="22"/>
                <w:szCs w:val="22"/>
              </w:rPr>
              <w:t>5</w:t>
            </w:r>
            <w:r w:rsidR="00B65DE7" w:rsidRPr="00DC50D9">
              <w:rPr>
                <w:sz w:val="22"/>
                <w:szCs w:val="22"/>
              </w:rPr>
              <w:t>-</w:t>
            </w:r>
            <w:r w:rsidR="000672F7" w:rsidRPr="00DC50D9">
              <w:rPr>
                <w:sz w:val="22"/>
                <w:szCs w:val="22"/>
              </w:rPr>
              <w:t>0</w:t>
            </w:r>
            <w:r w:rsidR="005F6DD8">
              <w:rPr>
                <w:sz w:val="22"/>
                <w:szCs w:val="22"/>
              </w:rPr>
              <w:t>6</w:t>
            </w:r>
            <w:r w:rsidR="00624FFB" w:rsidRPr="00DC50D9">
              <w:rPr>
                <w:sz w:val="22"/>
                <w:szCs w:val="22"/>
              </w:rPr>
              <w:t>-</w:t>
            </w:r>
            <w:r w:rsidR="007D7DF4">
              <w:rPr>
                <w:sz w:val="22"/>
                <w:szCs w:val="22"/>
              </w:rPr>
              <w:t>10</w:t>
            </w:r>
          </w:p>
        </w:tc>
        <w:tc>
          <w:tcPr>
            <w:tcW w:w="1991" w:type="dxa"/>
          </w:tcPr>
          <w:p w14:paraId="3588D70D" w14:textId="2F1B25C8" w:rsidR="00497052" w:rsidRPr="00DC50D9"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DC50D9" w14:paraId="55F36D5F" w14:textId="77777777" w:rsidTr="00590E61">
        <w:trPr>
          <w:gridAfter w:val="1"/>
          <w:wAfter w:w="1991" w:type="dxa"/>
          <w:trHeight w:val="695"/>
        </w:trPr>
        <w:tc>
          <w:tcPr>
            <w:tcW w:w="6412" w:type="dxa"/>
          </w:tcPr>
          <w:p w14:paraId="6CA287FB" w14:textId="77777777" w:rsidR="00590E61" w:rsidRPr="00DC50D9"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4DBA713" w:rsidR="00590E61" w:rsidRPr="00DC50D9"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DC50D9">
              <w:rPr>
                <w:sz w:val="22"/>
                <w:szCs w:val="22"/>
              </w:rPr>
              <w:t>Į 202</w:t>
            </w:r>
            <w:r w:rsidR="000672F7" w:rsidRPr="00DC50D9">
              <w:rPr>
                <w:sz w:val="22"/>
                <w:szCs w:val="22"/>
              </w:rPr>
              <w:t>5</w:t>
            </w:r>
            <w:r w:rsidRPr="00DC50D9">
              <w:rPr>
                <w:sz w:val="22"/>
                <w:szCs w:val="22"/>
              </w:rPr>
              <w:t>-</w:t>
            </w:r>
            <w:r w:rsidR="000672F7" w:rsidRPr="00DC50D9">
              <w:rPr>
                <w:sz w:val="22"/>
                <w:szCs w:val="22"/>
              </w:rPr>
              <w:t>0</w:t>
            </w:r>
            <w:r w:rsidR="00634EE2">
              <w:rPr>
                <w:sz w:val="22"/>
                <w:szCs w:val="22"/>
              </w:rPr>
              <w:t>6</w:t>
            </w:r>
            <w:r w:rsidRPr="00DC50D9">
              <w:rPr>
                <w:sz w:val="22"/>
                <w:szCs w:val="22"/>
              </w:rPr>
              <w:t>-</w:t>
            </w:r>
            <w:r w:rsidR="00634EE2">
              <w:rPr>
                <w:sz w:val="22"/>
                <w:szCs w:val="22"/>
              </w:rPr>
              <w:t>0</w:t>
            </w:r>
            <w:r w:rsidR="00847CA3">
              <w:rPr>
                <w:sz w:val="22"/>
                <w:szCs w:val="22"/>
              </w:rPr>
              <w:t>5</w:t>
            </w:r>
          </w:p>
          <w:p w14:paraId="3247ACA8" w14:textId="1A8B42D4" w:rsidR="00590E61" w:rsidRPr="00DC50D9"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DC50D9">
              <w:rPr>
                <w:sz w:val="22"/>
                <w:szCs w:val="22"/>
              </w:rPr>
              <w:t xml:space="preserve"> </w:t>
            </w:r>
          </w:p>
        </w:tc>
      </w:tr>
    </w:tbl>
    <w:p w14:paraId="31108C66" w14:textId="32B66219" w:rsidR="00423EC3" w:rsidRPr="00DC50D9" w:rsidRDefault="00423EC3" w:rsidP="00423EC3">
      <w:pPr>
        <w:pStyle w:val="Default"/>
        <w:rPr>
          <w:rFonts w:eastAsia="Arial Unicode MS"/>
          <w:b/>
          <w:bCs/>
          <w:sz w:val="22"/>
          <w:szCs w:val="22"/>
        </w:rPr>
      </w:pPr>
      <w:r w:rsidRPr="00DC50D9">
        <w:rPr>
          <w:rFonts w:eastAsia="Arial Unicode MS"/>
          <w:b/>
          <w:bCs/>
          <w:sz w:val="22"/>
          <w:szCs w:val="22"/>
        </w:rPr>
        <w:t xml:space="preserve">DĖL PIRKIMO DOKUMENTŲ PAAIŠKINIMO </w:t>
      </w:r>
      <w:r w:rsidR="001F2297" w:rsidRPr="00DC50D9">
        <w:rPr>
          <w:rFonts w:eastAsia="Arial Unicode MS"/>
          <w:b/>
          <w:bCs/>
          <w:sz w:val="22"/>
          <w:szCs w:val="22"/>
        </w:rPr>
        <w:t>Nr.</w:t>
      </w:r>
      <w:r w:rsidR="00634EE2">
        <w:rPr>
          <w:rFonts w:eastAsia="Arial Unicode MS"/>
          <w:b/>
          <w:bCs/>
          <w:sz w:val="22"/>
          <w:szCs w:val="22"/>
        </w:rPr>
        <w:t>3</w:t>
      </w:r>
    </w:p>
    <w:p w14:paraId="73920697" w14:textId="77777777" w:rsidR="00D40FE5" w:rsidRPr="00DC50D9" w:rsidRDefault="00D40FE5" w:rsidP="00B672CF">
      <w:pPr>
        <w:pStyle w:val="Default"/>
        <w:spacing w:line="360" w:lineRule="auto"/>
        <w:rPr>
          <w:sz w:val="22"/>
          <w:szCs w:val="22"/>
        </w:rPr>
      </w:pPr>
    </w:p>
    <w:p w14:paraId="7749CEF2" w14:textId="545E93E5" w:rsidR="00BC26C0" w:rsidRPr="00DC50D9" w:rsidRDefault="00423EC3" w:rsidP="00DC50D9">
      <w:pPr>
        <w:spacing w:after="160" w:line="259" w:lineRule="auto"/>
        <w:jc w:val="both"/>
        <w:rPr>
          <w:rFonts w:ascii="Arial" w:hAnsi="Arial" w:cs="Arial"/>
          <w:sz w:val="22"/>
          <w:szCs w:val="22"/>
        </w:rPr>
      </w:pPr>
      <w:r w:rsidRPr="00DC50D9">
        <w:rPr>
          <w:rFonts w:ascii="Arial" w:hAnsi="Arial" w:cs="Arial"/>
          <w:sz w:val="22"/>
          <w:szCs w:val="22"/>
        </w:rPr>
        <w:t xml:space="preserve">      </w:t>
      </w:r>
      <w:r w:rsidR="00BC26C0" w:rsidRPr="00DC50D9">
        <w:rPr>
          <w:rFonts w:ascii="Arial" w:hAnsi="Arial" w:cs="Arial"/>
          <w:sz w:val="22"/>
          <w:szCs w:val="22"/>
        </w:rPr>
        <w:t xml:space="preserve">      Akcinė bendrovė “Via Lietuva” (toliau – </w:t>
      </w:r>
      <w:r w:rsidR="00EC0BEE" w:rsidRPr="00DC50D9">
        <w:rPr>
          <w:rFonts w:ascii="Arial" w:hAnsi="Arial" w:cs="Arial"/>
          <w:sz w:val="22"/>
          <w:szCs w:val="22"/>
        </w:rPr>
        <w:t>Perkančioji organizacija</w:t>
      </w:r>
      <w:r w:rsidR="00BC26C0" w:rsidRPr="00DC50D9">
        <w:rPr>
          <w:rFonts w:ascii="Arial" w:hAnsi="Arial" w:cs="Arial"/>
          <w:sz w:val="22"/>
          <w:szCs w:val="22"/>
        </w:rPr>
        <w:t>) gavo tiekėj</w:t>
      </w:r>
      <w:r w:rsidR="004C5CB9" w:rsidRPr="00DC50D9">
        <w:rPr>
          <w:rFonts w:ascii="Arial" w:hAnsi="Arial" w:cs="Arial"/>
          <w:sz w:val="22"/>
          <w:szCs w:val="22"/>
        </w:rPr>
        <w:t>o</w:t>
      </w:r>
      <w:r w:rsidR="00BC26C0" w:rsidRPr="00DC50D9">
        <w:rPr>
          <w:rFonts w:ascii="Arial" w:hAnsi="Arial" w:cs="Arial"/>
          <w:sz w:val="22"/>
          <w:szCs w:val="22"/>
        </w:rPr>
        <w:t xml:space="preserve"> klausim</w:t>
      </w:r>
      <w:r w:rsidR="000A161C" w:rsidRPr="00DC50D9">
        <w:rPr>
          <w:rFonts w:ascii="Arial" w:hAnsi="Arial" w:cs="Arial"/>
          <w:sz w:val="22"/>
          <w:szCs w:val="22"/>
        </w:rPr>
        <w:t>ą</w:t>
      </w:r>
      <w:r w:rsidR="00BC26C0" w:rsidRPr="00DC50D9">
        <w:rPr>
          <w:rFonts w:ascii="Arial" w:hAnsi="Arial" w:cs="Arial"/>
          <w:sz w:val="22"/>
          <w:szCs w:val="22"/>
        </w:rPr>
        <w:t xml:space="preserve"> dėl vykdomo pirkimo Nr.</w:t>
      </w:r>
      <w:r w:rsidR="005D392F" w:rsidRPr="00DC50D9">
        <w:rPr>
          <w:rFonts w:ascii="Arial" w:hAnsi="Arial" w:cs="Arial"/>
          <w:color w:val="00241A"/>
          <w:sz w:val="22"/>
          <w:szCs w:val="22"/>
          <w:shd w:val="clear" w:color="auto" w:fill="FFFFFF"/>
        </w:rPr>
        <w:t xml:space="preserve"> </w:t>
      </w:r>
      <w:r w:rsidR="00EA751E" w:rsidRPr="00DC50D9">
        <w:rPr>
          <w:rFonts w:ascii="Arial" w:hAnsi="Arial" w:cs="Arial"/>
          <w:sz w:val="22"/>
          <w:szCs w:val="22"/>
        </w:rPr>
        <w:t>2703757</w:t>
      </w:r>
      <w:r w:rsidR="00BF4FEE" w:rsidRPr="00DC50D9">
        <w:rPr>
          <w:rFonts w:ascii="Arial" w:hAnsi="Arial" w:cs="Arial"/>
          <w:sz w:val="22"/>
          <w:szCs w:val="22"/>
          <w:shd w:val="clear" w:color="auto" w:fill="FFFFFF"/>
        </w:rPr>
        <w:t xml:space="preserve"> </w:t>
      </w:r>
      <w:r w:rsidR="00253ABF" w:rsidRPr="00DC50D9">
        <w:rPr>
          <w:rFonts w:ascii="Arial" w:hAnsi="Arial" w:cs="Arial"/>
          <w:b/>
          <w:bCs/>
          <w:sz w:val="22"/>
          <w:szCs w:val="22"/>
        </w:rPr>
        <w:t>„</w:t>
      </w:r>
      <w:r w:rsidR="004F25C3" w:rsidRPr="00DC50D9">
        <w:rPr>
          <w:rFonts w:ascii="Arial" w:hAnsi="Arial" w:cs="Arial"/>
          <w:b/>
          <w:i/>
          <w:iCs/>
          <w:sz w:val="22"/>
          <w:szCs w:val="22"/>
        </w:rPr>
        <w:t>Valstybei svarbaus projekto Klaipėdos pietinio aplinkkelio susisiekimo komunikacijų inžinerinės infrastruktūros vystymo plano parengimo paslaugos</w:t>
      </w:r>
      <w:r w:rsidR="001D17AB" w:rsidRPr="00DC50D9">
        <w:rPr>
          <w:rFonts w:ascii="Arial" w:hAnsi="Arial" w:cs="Arial"/>
          <w:b/>
          <w:bCs/>
          <w:sz w:val="22"/>
          <w:szCs w:val="22"/>
        </w:rPr>
        <w:t xml:space="preserve">“ </w:t>
      </w:r>
      <w:r w:rsidR="00BC26C0" w:rsidRPr="00DC50D9">
        <w:rPr>
          <w:rFonts w:ascii="Arial" w:hAnsi="Arial" w:cs="Arial"/>
          <w:sz w:val="22"/>
          <w:szCs w:val="22"/>
        </w:rPr>
        <w:t>dokumentų.</w:t>
      </w:r>
    </w:p>
    <w:p w14:paraId="65951A0A" w14:textId="7C10B2F4" w:rsidR="00BC26C0" w:rsidRPr="00DC50D9" w:rsidRDefault="002229FD" w:rsidP="00BC26C0">
      <w:pPr>
        <w:ind w:firstLine="567"/>
        <w:jc w:val="both"/>
        <w:rPr>
          <w:rFonts w:ascii="Arial" w:hAnsi="Arial" w:cs="Arial"/>
          <w:sz w:val="22"/>
          <w:szCs w:val="22"/>
        </w:rPr>
      </w:pPr>
      <w:r w:rsidRPr="00DC50D9">
        <w:rPr>
          <w:rFonts w:ascii="Arial" w:hAnsi="Arial" w:cs="Arial"/>
          <w:sz w:val="22"/>
          <w:szCs w:val="22"/>
        </w:rPr>
        <w:t>Perkančioji organizacija</w:t>
      </w:r>
      <w:r w:rsidR="00BC26C0" w:rsidRPr="00DC50D9">
        <w:rPr>
          <w:rFonts w:ascii="Arial" w:hAnsi="Arial" w:cs="Arial"/>
          <w:sz w:val="22"/>
          <w:szCs w:val="22"/>
        </w:rPr>
        <w:t xml:space="preserve"> teikia suinteresuoto tiekėjo klausim</w:t>
      </w:r>
      <w:r w:rsidR="0007089D" w:rsidRPr="00DC50D9">
        <w:rPr>
          <w:rFonts w:ascii="Arial" w:hAnsi="Arial" w:cs="Arial"/>
          <w:sz w:val="22"/>
          <w:szCs w:val="22"/>
        </w:rPr>
        <w:t>ą</w:t>
      </w:r>
      <w:r w:rsidR="00BC26C0" w:rsidRPr="00DC50D9">
        <w:rPr>
          <w:rFonts w:ascii="Arial" w:hAnsi="Arial" w:cs="Arial"/>
          <w:sz w:val="22"/>
          <w:szCs w:val="22"/>
        </w:rPr>
        <w:t xml:space="preserve"> ir atsakym</w:t>
      </w:r>
      <w:r w:rsidR="0007089D" w:rsidRPr="00DC50D9">
        <w:rPr>
          <w:rFonts w:ascii="Arial" w:hAnsi="Arial" w:cs="Arial"/>
          <w:sz w:val="22"/>
          <w:szCs w:val="22"/>
        </w:rPr>
        <w:t>ą</w:t>
      </w:r>
      <w:r w:rsidR="00BC26C0" w:rsidRPr="00DC50D9">
        <w:rPr>
          <w:rFonts w:ascii="Arial" w:hAnsi="Arial" w:cs="Arial"/>
          <w:sz w:val="22"/>
          <w:szCs w:val="22"/>
        </w:rPr>
        <w:t xml:space="preserve"> į j</w:t>
      </w:r>
      <w:r w:rsidR="0007089D" w:rsidRPr="00DC50D9">
        <w:rPr>
          <w:rFonts w:ascii="Arial" w:hAnsi="Arial" w:cs="Arial"/>
          <w:sz w:val="22"/>
          <w:szCs w:val="22"/>
        </w:rPr>
        <w:t>į</w:t>
      </w:r>
      <w:r w:rsidR="00BC26C0" w:rsidRPr="00DC50D9">
        <w:rPr>
          <w:rFonts w:ascii="Arial" w:hAnsi="Arial" w:cs="Arial"/>
          <w:sz w:val="22"/>
          <w:szCs w:val="22"/>
          <w:vertAlign w:val="superscript"/>
        </w:rPr>
        <w:t>*</w:t>
      </w:r>
      <w:r w:rsidR="00BC26C0" w:rsidRPr="00DC50D9">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DC50D9"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DC50D9" w:rsidRDefault="00BC26C0" w:rsidP="00D2460C">
            <w:pPr>
              <w:spacing w:line="276" w:lineRule="auto"/>
              <w:jc w:val="both"/>
              <w:rPr>
                <w:rFonts w:ascii="Arial" w:hAnsi="Arial" w:cs="Arial"/>
                <w:b/>
                <w:bCs/>
                <w:sz w:val="22"/>
                <w:szCs w:val="22"/>
              </w:rPr>
            </w:pPr>
            <w:r w:rsidRPr="00DC50D9">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DC50D9" w:rsidRDefault="00BC26C0" w:rsidP="00876961">
            <w:pPr>
              <w:spacing w:line="276" w:lineRule="auto"/>
              <w:jc w:val="center"/>
              <w:rPr>
                <w:rFonts w:ascii="Arial" w:hAnsi="Arial" w:cs="Arial"/>
                <w:b/>
                <w:bCs/>
                <w:sz w:val="22"/>
                <w:szCs w:val="22"/>
              </w:rPr>
            </w:pPr>
            <w:r w:rsidRPr="00DC50D9">
              <w:rPr>
                <w:rFonts w:ascii="Arial" w:hAnsi="Arial" w:cs="Arial"/>
                <w:b/>
                <w:bCs/>
                <w:sz w:val="22"/>
                <w:szCs w:val="22"/>
              </w:rPr>
              <w:t>Atsakymas</w:t>
            </w:r>
          </w:p>
        </w:tc>
      </w:tr>
      <w:tr w:rsidR="00E06EDB" w:rsidRPr="00DC50D9"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DC50D9" w:rsidRDefault="00747573" w:rsidP="00D2460C">
            <w:pPr>
              <w:spacing w:line="276" w:lineRule="auto"/>
              <w:jc w:val="center"/>
              <w:rPr>
                <w:rFonts w:ascii="Arial" w:hAnsi="Arial" w:cs="Arial"/>
                <w:sz w:val="22"/>
                <w:szCs w:val="22"/>
              </w:rPr>
            </w:pPr>
            <w:r w:rsidRPr="00DC50D9">
              <w:rPr>
                <w:rFonts w:ascii="Arial" w:hAnsi="Arial" w:cs="Arial"/>
                <w:sz w:val="22"/>
                <w:szCs w:val="22"/>
              </w:rPr>
              <w:t>1</w:t>
            </w:r>
            <w:r w:rsidR="00E06EDB" w:rsidRPr="00DC50D9">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4152C0F5" w:rsidR="00E06EDB" w:rsidRPr="00634EE2" w:rsidRDefault="00634EE2" w:rsidP="00634EE2">
            <w:pPr>
              <w:jc w:val="both"/>
              <w:rPr>
                <w:rFonts w:ascii="Arial" w:hAnsi="Arial" w:cs="Arial"/>
                <w:sz w:val="22"/>
                <w:szCs w:val="22"/>
              </w:rPr>
            </w:pPr>
            <w:r w:rsidRPr="00634EE2">
              <w:rPr>
                <w:rFonts w:ascii="Arial" w:hAnsi="Arial" w:cs="Arial"/>
                <w:sz w:val="22"/>
                <w:szCs w:val="22"/>
              </w:rPr>
              <w:t>Pirkimo dokumentų SPS 23 priede pati perkančioji organizacija nurodo:</w:t>
            </w:r>
            <w:r w:rsidRPr="00634EE2">
              <w:rPr>
                <w:rFonts w:ascii="Arial" w:hAnsi="Arial" w:cs="Arial"/>
                <w:sz w:val="22"/>
                <w:szCs w:val="22"/>
              </w:rPr>
              <w:br/>
              <w:t>„Perkamas vienas neskaidomas pirkimo objektas, t. y. perkamos vieno specialiojo teritorijų planavimo dokumento parengimo paslaugos. Skaidymas negalimas techniniu požiūriu.“</w:t>
            </w:r>
            <w:r w:rsidRPr="00634EE2">
              <w:rPr>
                <w:rFonts w:ascii="Arial" w:hAnsi="Arial" w:cs="Arial"/>
                <w:sz w:val="22"/>
                <w:szCs w:val="22"/>
              </w:rPr>
              <w:br/>
              <w:t>Tai reiškia, kad pati perkančioji organizacija aiškiai pripažįsta ir pagrindžia pirkimo objekto nedalumą, o tai tiesiogiai įpareigoja taikyti kvalifikacijos reikalavimų nustatymo modelį, skirtą nedalaus objekto atvejui.</w:t>
            </w:r>
            <w:r w:rsidRPr="00634EE2">
              <w:rPr>
                <w:rFonts w:ascii="Arial" w:hAnsi="Arial" w:cs="Arial"/>
                <w:sz w:val="22"/>
                <w:szCs w:val="22"/>
              </w:rPr>
              <w:br/>
              <w:t>Vadovaujantis Tiekėjo kvalifikacijos reikalavimų nustatymo metodika, patvirtinta Viešųjų pirkimų tarnybos direktoriaus 2017 m. birželio 29 d. įsakymu Nr. 1S-105 (suvestinė redakcija, galiojanti nuo 2021-12-28), kurios taikymas, kaip nurodyta metodikos preambulėje, yra privalomas:</w:t>
            </w:r>
            <w:r w:rsidRPr="00634EE2">
              <w:rPr>
                <w:rFonts w:ascii="Arial" w:hAnsi="Arial" w:cs="Arial"/>
                <w:sz w:val="22"/>
                <w:szCs w:val="22"/>
              </w:rPr>
              <w:br/>
              <w:t>„Ši metodika yra privaloma, kai perkančioji organizacija vykdo pirkimą pagal Viešųjų pirkimų įstatymą.“</w:t>
            </w:r>
            <w:r w:rsidRPr="00634EE2">
              <w:rPr>
                <w:rFonts w:ascii="Arial" w:hAnsi="Arial" w:cs="Arial"/>
                <w:sz w:val="22"/>
                <w:szCs w:val="22"/>
              </w:rPr>
              <w:br/>
              <w:t>O Metodikos 16.1.2 punktas nustato:</w:t>
            </w:r>
            <w:r w:rsidRPr="00634EE2">
              <w:rPr>
                <w:rFonts w:ascii="Arial" w:hAnsi="Arial" w:cs="Arial"/>
                <w:sz w:val="22"/>
                <w:szCs w:val="22"/>
              </w:rPr>
              <w:br/>
              <w:t>„Jei pirkimo objektas yra nedalomas, pavyzdžiui, perkamas vienas automobilis, vienos informacinės sistemos kūrimas ir (ar) diegimas, vieno pastato projektavimas ir panašiai, reikalaujama, kad tiekėjas per pastaruosius 3 metus arba per laiką nuo tiekėjo įregistravimo dienos (jeigu tiekėjas veiklą vykdė mažiau nei 3 metus) būtų įvykdęs ar vykdytų vieną pirkimo sutartį, kurios vertė yra ne mažesnė kaip 0,5 pirkimo objekto vertės.“</w:t>
            </w:r>
            <w:r w:rsidRPr="00634EE2">
              <w:rPr>
                <w:rFonts w:ascii="Arial" w:hAnsi="Arial" w:cs="Arial"/>
                <w:sz w:val="22"/>
                <w:szCs w:val="22"/>
              </w:rPr>
              <w:br/>
              <w:t xml:space="preserve">Atsižvelgiant į tai, perkančiosios organizacijos atsakymai, kuriais tiekėjams leidžiama remtis neribotu skaičiumi mažos vertės sutarčių, </w:t>
            </w:r>
            <w:r w:rsidRPr="00634EE2">
              <w:rPr>
                <w:rFonts w:ascii="Arial" w:hAnsi="Arial" w:cs="Arial"/>
                <w:sz w:val="22"/>
                <w:szCs w:val="22"/>
              </w:rPr>
              <w:lastRenderedPageBreak/>
              <w:t>siekiant pagrįsti atitiktį kvalifikacijos reikalavimams (1.1 ir 1.2 p.), prieštarauja imperatyvioms metodikos nuostatoms, kurios taikomos, kai pirkimo objektas yra nedalus.</w:t>
            </w:r>
            <w:r w:rsidRPr="00634EE2">
              <w:rPr>
                <w:rFonts w:ascii="Arial" w:hAnsi="Arial" w:cs="Arial"/>
                <w:sz w:val="22"/>
                <w:szCs w:val="22"/>
              </w:rPr>
              <w:br/>
              <w:t>2025-06-03 pateiktame paaiškinime teigiama, kad perkančioji organizacija „negali dirbtinai riboti konkurencijos“. Tačiau pažymėtina, kad bet kuris kvalifikacijos reikalavimas pats savaime riboja konkurenciją, tačiau tai daroma teisėtai – kai reikalavimas yra proporcingas ir nustatytas vadovaujantis galiojančiais privalomais metodiniais dokumentais.</w:t>
            </w:r>
            <w:r w:rsidRPr="00634EE2">
              <w:rPr>
                <w:rFonts w:ascii="Arial" w:hAnsi="Arial" w:cs="Arial"/>
                <w:sz w:val="22"/>
                <w:szCs w:val="22"/>
              </w:rPr>
              <w:br/>
              <w:t>Pastebėtina, kad perkamos paslaugos susijusios su valstybei svarbaus projekto – Klaipėdos pietinio aplinkkelio – teritorijų planavimo dokumento parengimu. Atsižvelgiant į šio projekto svarbą, kompleksiškumą ir nacionalinę reikšmę, kvalifikacijos reikalavimai tiekėjui turėtų būti ne tik teisiškai pagrįsti, bet ir realiai atspindintys profesinį pajėgumą bei faktinį gebėjimą užtikrinti aukštos kokybės paslaugų suteikimą laiku.</w:t>
            </w:r>
            <w:r w:rsidRPr="00634EE2">
              <w:rPr>
                <w:rFonts w:ascii="Arial" w:hAnsi="Arial" w:cs="Arial"/>
                <w:sz w:val="22"/>
                <w:szCs w:val="22"/>
              </w:rPr>
              <w:br/>
              <w:t>Todėl prašome ne tik paaiškinti, kaip sprendimas leisti tiekėjui remtis neribotu skaičiumi mažos vertės sutarčių kvalifikacijos pagrindimui atitinka privalomas metodikos nuostatas, kai pats pirkimo objekto pobūdis suponuoja priešingą taikymą, bet pakoreguoti ir papildomai išaiškinti 2025-06-02 ir 2025-06-03 pateiktus atsakymus, užtikrinant kvalifikacijos vertinimo atitiktį galiojantiems teisės aktams. Tokio pobūdžio išaiškinimų patikslinimas iš anksto užkirstų kelią skirtingai interpretacijai bei galimiems ginčams po pasiūlymų pateikimo termino.</w:t>
            </w:r>
          </w:p>
        </w:tc>
        <w:tc>
          <w:tcPr>
            <w:tcW w:w="4536" w:type="dxa"/>
            <w:tcBorders>
              <w:top w:val="single" w:sz="4" w:space="0" w:color="auto"/>
              <w:left w:val="single" w:sz="4" w:space="0" w:color="auto"/>
              <w:bottom w:val="single" w:sz="4" w:space="0" w:color="auto"/>
              <w:right w:val="single" w:sz="4" w:space="0" w:color="auto"/>
            </w:tcBorders>
          </w:tcPr>
          <w:p w14:paraId="76FF840D" w14:textId="1952CAA0" w:rsidR="00BF3E45" w:rsidRPr="00DC50D9" w:rsidRDefault="007F4F2E" w:rsidP="00EC73A3">
            <w:pPr>
              <w:pStyle w:val="NormalWeb"/>
              <w:spacing w:before="0" w:beforeAutospacing="0" w:after="0" w:afterAutospacing="0"/>
              <w:jc w:val="both"/>
              <w:rPr>
                <w:rFonts w:ascii="Arial" w:hAnsi="Arial" w:cs="Arial"/>
                <w:bCs/>
                <w:sz w:val="22"/>
                <w:szCs w:val="22"/>
                <w:lang w:val="lt-LT"/>
              </w:rPr>
            </w:pPr>
            <w:r w:rsidRPr="00DC50D9">
              <w:rPr>
                <w:rFonts w:ascii="Arial" w:hAnsi="Arial" w:cs="Arial"/>
                <w:color w:val="000000" w:themeColor="text1"/>
                <w:sz w:val="22"/>
                <w:szCs w:val="22"/>
                <w:lang w:val="lt-LT" w:eastAsia="ar-SA"/>
              </w:rPr>
              <w:lastRenderedPageBreak/>
              <w:t xml:space="preserve">    </w:t>
            </w:r>
          </w:p>
          <w:p w14:paraId="5C7882BE" w14:textId="24E7C5F8" w:rsidR="005724BE" w:rsidRPr="00DC50D9" w:rsidRDefault="00B312B8" w:rsidP="003C42AB">
            <w:pPr>
              <w:jc w:val="both"/>
              <w:rPr>
                <w:rFonts w:ascii="Arial" w:hAnsi="Arial" w:cs="Arial"/>
                <w:color w:val="000000" w:themeColor="text1"/>
                <w:sz w:val="22"/>
                <w:szCs w:val="22"/>
                <w:lang w:eastAsia="ar-SA"/>
              </w:rPr>
            </w:pPr>
            <w:r w:rsidRPr="0562662A">
              <w:rPr>
                <w:rFonts w:ascii="Arial" w:hAnsi="Arial" w:cs="Arial"/>
                <w:color w:val="000000" w:themeColor="text1"/>
                <w:sz w:val="22"/>
                <w:szCs w:val="22"/>
                <w:lang w:eastAsia="ar-SA"/>
              </w:rPr>
              <w:t>Perkančioji organizacija paaiškina,</w:t>
            </w:r>
            <w:r w:rsidR="00303B9A">
              <w:rPr>
                <w:rFonts w:ascii="Arial" w:hAnsi="Arial" w:cs="Arial"/>
                <w:color w:val="000000" w:themeColor="text1"/>
                <w:sz w:val="22"/>
                <w:szCs w:val="22"/>
                <w:lang w:eastAsia="ar-SA"/>
              </w:rPr>
              <w:t xml:space="preserve"> jog nustatydama Kvalifikacinius reikalavimus d</w:t>
            </w:r>
            <w:r w:rsidR="00FC5C32">
              <w:rPr>
                <w:rFonts w:ascii="Arial" w:hAnsi="Arial" w:cs="Arial"/>
                <w:color w:val="000000" w:themeColor="text1"/>
                <w:sz w:val="22"/>
                <w:szCs w:val="22"/>
                <w:lang w:eastAsia="ar-SA"/>
              </w:rPr>
              <w:t>ė</w:t>
            </w:r>
            <w:r w:rsidR="00303B9A">
              <w:rPr>
                <w:rFonts w:ascii="Arial" w:hAnsi="Arial" w:cs="Arial"/>
                <w:color w:val="000000" w:themeColor="text1"/>
                <w:sz w:val="22"/>
                <w:szCs w:val="22"/>
                <w:lang w:eastAsia="ar-SA"/>
              </w:rPr>
              <w:t xml:space="preserve">l </w:t>
            </w:r>
            <w:r w:rsidR="00FC5C32">
              <w:rPr>
                <w:rFonts w:ascii="Arial" w:hAnsi="Arial" w:cs="Arial"/>
                <w:color w:val="000000" w:themeColor="text1"/>
                <w:sz w:val="22"/>
                <w:szCs w:val="22"/>
                <w:lang w:eastAsia="ar-SA"/>
              </w:rPr>
              <w:t>Techninio ir profesinio pajėgumo pirkime</w:t>
            </w:r>
            <w:r>
              <w:rPr>
                <w:rFonts w:ascii="Arial" w:hAnsi="Arial" w:cs="Arial"/>
                <w:color w:val="000000" w:themeColor="text1"/>
                <w:sz w:val="22"/>
                <w:szCs w:val="22"/>
                <w:lang w:eastAsia="ar-SA"/>
              </w:rPr>
              <w:t xml:space="preserve"> vykdomame tarptautinės vertės atviro konkurso būdu „</w:t>
            </w:r>
            <w:r w:rsidR="00415855" w:rsidRPr="00415855">
              <w:rPr>
                <w:rFonts w:ascii="Arial" w:hAnsi="Arial" w:cs="Arial"/>
                <w:b/>
                <w:i/>
                <w:iCs/>
                <w:sz w:val="22"/>
                <w:szCs w:val="22"/>
              </w:rPr>
              <w:t>Valstybei svarbaus projekto Klaipėdos pietinio aplinkkelio susisiekimo komunikacijų inžinerinės infrastruktūros vystymo plano parengimo paslaugos</w:t>
            </w:r>
            <w:r w:rsidR="00415855" w:rsidRPr="00171374">
              <w:rPr>
                <w:rFonts w:ascii="Arial" w:hAnsi="Arial" w:cs="Arial"/>
                <w:bCs/>
                <w:i/>
                <w:iCs/>
                <w:sz w:val="22"/>
                <w:szCs w:val="22"/>
              </w:rPr>
              <w:t>“</w:t>
            </w:r>
            <w:r w:rsidR="00171374" w:rsidRPr="00171374">
              <w:rPr>
                <w:rFonts w:ascii="Arial" w:hAnsi="Arial" w:cs="Arial"/>
                <w:bCs/>
                <w:i/>
                <w:iCs/>
                <w:sz w:val="22"/>
                <w:szCs w:val="22"/>
              </w:rPr>
              <w:t xml:space="preserve"> </w:t>
            </w:r>
            <w:r w:rsidR="00171374" w:rsidRPr="00171374">
              <w:rPr>
                <w:rFonts w:ascii="Arial" w:hAnsi="Arial" w:cs="Arial"/>
                <w:bCs/>
                <w:sz w:val="22"/>
                <w:szCs w:val="22"/>
              </w:rPr>
              <w:t>vadovau</w:t>
            </w:r>
            <w:r w:rsidR="001D3D5F">
              <w:rPr>
                <w:rFonts w:ascii="Arial" w:hAnsi="Arial" w:cs="Arial"/>
                <w:bCs/>
                <w:sz w:val="22"/>
                <w:szCs w:val="22"/>
              </w:rPr>
              <w:t>ja</w:t>
            </w:r>
            <w:r w:rsidR="00171374" w:rsidRPr="00171374">
              <w:rPr>
                <w:rFonts w:ascii="Arial" w:hAnsi="Arial" w:cs="Arial"/>
                <w:bCs/>
                <w:sz w:val="22"/>
                <w:szCs w:val="22"/>
              </w:rPr>
              <w:t>si</w:t>
            </w:r>
            <w:r w:rsidR="00171374">
              <w:rPr>
                <w:rFonts w:ascii="Arial" w:hAnsi="Arial" w:cs="Arial"/>
                <w:bCs/>
                <w:sz w:val="22"/>
                <w:szCs w:val="22"/>
              </w:rPr>
              <w:t xml:space="preserve"> </w:t>
            </w:r>
            <w:r w:rsidR="00171374" w:rsidRPr="00634EE2">
              <w:rPr>
                <w:rFonts w:ascii="Arial" w:hAnsi="Arial" w:cs="Arial"/>
                <w:sz w:val="22"/>
                <w:szCs w:val="22"/>
              </w:rPr>
              <w:t>Viešųjų pirkimų tarnybos direktoriaus</w:t>
            </w:r>
            <w:r w:rsidR="00171374">
              <w:rPr>
                <w:rFonts w:ascii="Arial" w:hAnsi="Arial" w:cs="Arial"/>
                <w:sz w:val="22"/>
                <w:szCs w:val="22"/>
              </w:rPr>
              <w:t xml:space="preserve"> 2020 m. gruodžio 31 d. įsakymu Nr. 1S-177 </w:t>
            </w:r>
            <w:r w:rsidR="00171374" w:rsidRPr="00BD35B2">
              <w:rPr>
                <w:rFonts w:ascii="Arial" w:hAnsi="Arial" w:cs="Arial"/>
                <w:i/>
                <w:iCs/>
                <w:sz w:val="22"/>
                <w:szCs w:val="22"/>
              </w:rPr>
              <w:t xml:space="preserve">„Dėl viešųjų pirkimų tarnybos </w:t>
            </w:r>
            <w:r w:rsidR="00171374">
              <w:rPr>
                <w:rFonts w:ascii="Arial" w:hAnsi="Arial" w:cs="Arial"/>
                <w:i/>
                <w:iCs/>
                <w:sz w:val="22"/>
                <w:szCs w:val="22"/>
              </w:rPr>
              <w:t>D</w:t>
            </w:r>
            <w:r w:rsidR="00171374" w:rsidRPr="00BD35B2">
              <w:rPr>
                <w:rFonts w:ascii="Arial" w:hAnsi="Arial" w:cs="Arial"/>
                <w:i/>
                <w:iCs/>
                <w:sz w:val="22"/>
                <w:szCs w:val="22"/>
              </w:rPr>
              <w:t xml:space="preserve">irektoriaus 2017 m. birželio 29 d. įsakymo </w:t>
            </w:r>
            <w:r w:rsidR="00171374">
              <w:rPr>
                <w:rFonts w:ascii="Arial" w:hAnsi="Arial" w:cs="Arial"/>
                <w:i/>
                <w:iCs/>
                <w:sz w:val="22"/>
                <w:szCs w:val="22"/>
              </w:rPr>
              <w:t>N</w:t>
            </w:r>
            <w:r w:rsidR="00171374" w:rsidRPr="00BD35B2">
              <w:rPr>
                <w:rFonts w:ascii="Arial" w:hAnsi="Arial" w:cs="Arial"/>
                <w:i/>
                <w:iCs/>
                <w:sz w:val="22"/>
                <w:szCs w:val="22"/>
              </w:rPr>
              <w:t>r. 1</w:t>
            </w:r>
            <w:r w:rsidR="00171374">
              <w:rPr>
                <w:rFonts w:ascii="Arial" w:hAnsi="Arial" w:cs="Arial"/>
                <w:i/>
                <w:iCs/>
                <w:sz w:val="22"/>
                <w:szCs w:val="22"/>
              </w:rPr>
              <w:t>S</w:t>
            </w:r>
            <w:r w:rsidR="00171374" w:rsidRPr="00BD35B2">
              <w:rPr>
                <w:rFonts w:ascii="Arial" w:hAnsi="Arial" w:cs="Arial"/>
                <w:i/>
                <w:iCs/>
                <w:sz w:val="22"/>
                <w:szCs w:val="22"/>
              </w:rPr>
              <w:t>-105 „</w:t>
            </w:r>
            <w:r w:rsidR="00171374">
              <w:rPr>
                <w:rFonts w:ascii="Arial" w:hAnsi="Arial" w:cs="Arial"/>
                <w:i/>
                <w:iCs/>
                <w:sz w:val="22"/>
                <w:szCs w:val="22"/>
              </w:rPr>
              <w:t>D</w:t>
            </w:r>
            <w:r w:rsidR="00171374" w:rsidRPr="00BD35B2">
              <w:rPr>
                <w:rFonts w:ascii="Arial" w:hAnsi="Arial" w:cs="Arial"/>
                <w:i/>
                <w:iCs/>
                <w:sz w:val="22"/>
                <w:szCs w:val="22"/>
              </w:rPr>
              <w:t xml:space="preserve">ėl tiekėjo kvalifikacijos reikalavimų nustatymo metodikos patvirtinimo“ </w:t>
            </w:r>
            <w:r w:rsidR="00171374">
              <w:rPr>
                <w:rFonts w:ascii="Arial" w:hAnsi="Arial" w:cs="Arial"/>
                <w:i/>
                <w:iCs/>
                <w:sz w:val="22"/>
                <w:szCs w:val="22"/>
              </w:rPr>
              <w:t>P</w:t>
            </w:r>
            <w:r w:rsidR="00171374" w:rsidRPr="00BD35B2">
              <w:rPr>
                <w:rFonts w:ascii="Arial" w:hAnsi="Arial" w:cs="Arial"/>
                <w:i/>
                <w:iCs/>
                <w:sz w:val="22"/>
                <w:szCs w:val="22"/>
              </w:rPr>
              <w:t>akeitimo</w:t>
            </w:r>
            <w:r w:rsidR="00171374">
              <w:rPr>
                <w:rFonts w:ascii="Arial" w:hAnsi="Arial" w:cs="Arial"/>
                <w:i/>
                <w:iCs/>
                <w:sz w:val="22"/>
                <w:szCs w:val="22"/>
              </w:rPr>
              <w:t>“</w:t>
            </w:r>
            <w:r w:rsidR="00C937F3">
              <w:rPr>
                <w:rFonts w:ascii="Arial" w:hAnsi="Arial" w:cs="Arial"/>
                <w:i/>
                <w:iCs/>
                <w:sz w:val="22"/>
                <w:szCs w:val="22"/>
              </w:rPr>
              <w:t xml:space="preserve"> 16 punktu </w:t>
            </w:r>
            <w:r w:rsidR="003044D2">
              <w:rPr>
                <w:rFonts w:ascii="Arial" w:hAnsi="Arial" w:cs="Arial"/>
                <w:b/>
                <w:i/>
                <w:iCs/>
                <w:sz w:val="22"/>
                <w:szCs w:val="22"/>
              </w:rPr>
              <w:t xml:space="preserve">ir </w:t>
            </w:r>
            <w:r w:rsidR="0048022E">
              <w:rPr>
                <w:rFonts w:ascii="Arial" w:hAnsi="Arial" w:cs="Arial"/>
                <w:bCs/>
                <w:sz w:val="22"/>
                <w:szCs w:val="22"/>
              </w:rPr>
              <w:t xml:space="preserve"> </w:t>
            </w:r>
            <w:r w:rsidR="00040318">
              <w:rPr>
                <w:rFonts w:ascii="Arial" w:hAnsi="Arial" w:cs="Arial"/>
                <w:i/>
                <w:iCs/>
                <w:sz w:val="22"/>
                <w:szCs w:val="22"/>
              </w:rPr>
              <w:t>16</w:t>
            </w:r>
            <w:r w:rsidR="00BD6934">
              <w:rPr>
                <w:rFonts w:ascii="Arial" w:hAnsi="Arial" w:cs="Arial"/>
                <w:i/>
                <w:iCs/>
                <w:sz w:val="22"/>
                <w:szCs w:val="22"/>
              </w:rPr>
              <w:t xml:space="preserve">.2 </w:t>
            </w:r>
            <w:r w:rsidR="00040318">
              <w:rPr>
                <w:rFonts w:ascii="Arial" w:hAnsi="Arial" w:cs="Arial"/>
                <w:i/>
                <w:iCs/>
                <w:sz w:val="22"/>
                <w:szCs w:val="22"/>
              </w:rPr>
              <w:t>punktu</w:t>
            </w:r>
            <w:r w:rsidR="00435917">
              <w:rPr>
                <w:rFonts w:ascii="Arial" w:hAnsi="Arial" w:cs="Arial"/>
                <w:i/>
                <w:iCs/>
                <w:sz w:val="22"/>
                <w:szCs w:val="22"/>
              </w:rPr>
              <w:t>.</w:t>
            </w:r>
            <w:r w:rsidR="00E25583">
              <w:rPr>
                <w:rFonts w:ascii="Arial" w:hAnsi="Arial" w:cs="Arial"/>
                <w:bCs/>
                <w:sz w:val="22"/>
                <w:szCs w:val="22"/>
              </w:rPr>
              <w:t xml:space="preserve"> </w:t>
            </w:r>
            <w:r w:rsidR="001706B2" w:rsidRPr="006F1742">
              <w:rPr>
                <w:rFonts w:ascii="Arial" w:hAnsi="Arial" w:cs="Arial"/>
                <w:b/>
                <w:bCs/>
                <w:i/>
                <w:iCs/>
                <w:sz w:val="22"/>
                <w:szCs w:val="22"/>
              </w:rPr>
              <w:t xml:space="preserve">Atkreiptinas dėmesys, jog </w:t>
            </w:r>
            <w:r w:rsidR="00477779" w:rsidRPr="006F1742">
              <w:rPr>
                <w:rFonts w:ascii="Arial" w:hAnsi="Arial" w:cs="Arial"/>
                <w:b/>
                <w:bCs/>
                <w:i/>
                <w:iCs/>
                <w:sz w:val="22"/>
                <w:szCs w:val="22"/>
              </w:rPr>
              <w:t>Perkanči</w:t>
            </w:r>
            <w:r w:rsidR="003403A9" w:rsidRPr="006F1742">
              <w:rPr>
                <w:rFonts w:ascii="Arial" w:hAnsi="Arial" w:cs="Arial"/>
                <w:b/>
                <w:bCs/>
                <w:i/>
                <w:iCs/>
                <w:sz w:val="22"/>
                <w:szCs w:val="22"/>
              </w:rPr>
              <w:t>o</w:t>
            </w:r>
            <w:r w:rsidR="001706B2" w:rsidRPr="006F1742">
              <w:rPr>
                <w:rFonts w:ascii="Arial" w:hAnsi="Arial" w:cs="Arial"/>
                <w:b/>
                <w:bCs/>
                <w:i/>
                <w:iCs/>
                <w:sz w:val="22"/>
                <w:szCs w:val="22"/>
              </w:rPr>
              <w:t>ji</w:t>
            </w:r>
            <w:r w:rsidR="00477779" w:rsidRPr="006F1742">
              <w:rPr>
                <w:rFonts w:ascii="Arial" w:hAnsi="Arial" w:cs="Arial"/>
                <w:b/>
                <w:bCs/>
                <w:i/>
                <w:iCs/>
                <w:sz w:val="22"/>
                <w:szCs w:val="22"/>
              </w:rPr>
              <w:t xml:space="preserve"> organizaci</w:t>
            </w:r>
            <w:r w:rsidR="001706B2" w:rsidRPr="006F1742">
              <w:rPr>
                <w:rFonts w:ascii="Arial" w:hAnsi="Arial" w:cs="Arial"/>
                <w:b/>
                <w:bCs/>
                <w:i/>
                <w:iCs/>
                <w:sz w:val="22"/>
                <w:szCs w:val="22"/>
              </w:rPr>
              <w:t>j</w:t>
            </w:r>
            <w:r w:rsidR="003403A9" w:rsidRPr="006F1742">
              <w:rPr>
                <w:rFonts w:ascii="Arial" w:hAnsi="Arial" w:cs="Arial"/>
                <w:b/>
                <w:bCs/>
                <w:i/>
                <w:iCs/>
                <w:sz w:val="22"/>
                <w:szCs w:val="22"/>
              </w:rPr>
              <w:t>a nustatydama Kvalifika</w:t>
            </w:r>
            <w:r w:rsidR="00FF2938" w:rsidRPr="006F1742">
              <w:rPr>
                <w:rFonts w:ascii="Arial" w:hAnsi="Arial" w:cs="Arial"/>
                <w:b/>
                <w:bCs/>
                <w:i/>
                <w:iCs/>
                <w:sz w:val="22"/>
                <w:szCs w:val="22"/>
              </w:rPr>
              <w:t xml:space="preserve">cinius reikalavimus dėl techninio ir profesinio pajėgumo </w:t>
            </w:r>
            <w:r w:rsidR="009F51EC" w:rsidRPr="006F1742">
              <w:rPr>
                <w:rFonts w:ascii="Arial" w:hAnsi="Arial" w:cs="Arial"/>
                <w:b/>
                <w:bCs/>
                <w:i/>
                <w:iCs/>
                <w:sz w:val="22"/>
                <w:szCs w:val="22"/>
              </w:rPr>
              <w:t>remiasi teisės aktais</w:t>
            </w:r>
            <w:r w:rsidR="00F65B11" w:rsidRPr="006F1742">
              <w:rPr>
                <w:rFonts w:ascii="Arial" w:hAnsi="Arial" w:cs="Arial"/>
                <w:b/>
                <w:bCs/>
                <w:i/>
                <w:iCs/>
                <w:sz w:val="22"/>
                <w:szCs w:val="22"/>
              </w:rPr>
              <w:t xml:space="preserve"> ir </w:t>
            </w:r>
            <w:r w:rsidR="00A42939" w:rsidRPr="006F1742">
              <w:rPr>
                <w:rFonts w:ascii="Arial" w:hAnsi="Arial" w:cs="Arial"/>
                <w:b/>
                <w:bCs/>
                <w:i/>
                <w:iCs/>
                <w:sz w:val="22"/>
                <w:szCs w:val="22"/>
              </w:rPr>
              <w:t>nurodžius minimalius kvalifikaciniu</w:t>
            </w:r>
            <w:r w:rsidR="00A42939">
              <w:rPr>
                <w:rFonts w:ascii="Arial" w:hAnsi="Arial" w:cs="Arial"/>
                <w:i/>
                <w:iCs/>
                <w:sz w:val="22"/>
                <w:szCs w:val="22"/>
              </w:rPr>
              <w:t xml:space="preserve"> reikalavimus</w:t>
            </w:r>
            <w:r w:rsidR="00FF2938">
              <w:rPr>
                <w:rFonts w:ascii="Arial" w:hAnsi="Arial" w:cs="Arial"/>
                <w:i/>
                <w:iCs/>
                <w:sz w:val="22"/>
                <w:szCs w:val="22"/>
              </w:rPr>
              <w:t xml:space="preserve"> </w:t>
            </w:r>
            <w:r w:rsidR="0096288A">
              <w:rPr>
                <w:rFonts w:ascii="Arial" w:hAnsi="Arial" w:cs="Arial"/>
                <w:i/>
                <w:iCs/>
                <w:sz w:val="22"/>
                <w:szCs w:val="22"/>
              </w:rPr>
              <w:t xml:space="preserve"> siekia</w:t>
            </w:r>
            <w:r w:rsidR="003C42AB">
              <w:rPr>
                <w:rFonts w:ascii="Arial" w:hAnsi="Arial" w:cs="Arial"/>
                <w:i/>
                <w:iCs/>
                <w:sz w:val="22"/>
                <w:szCs w:val="22"/>
              </w:rPr>
              <w:t xml:space="preserve"> </w:t>
            </w:r>
            <w:r w:rsidR="002B3AF7">
              <w:rPr>
                <w:rFonts w:ascii="Arial" w:hAnsi="Arial" w:cs="Arial"/>
                <w:i/>
                <w:iCs/>
                <w:sz w:val="22"/>
                <w:szCs w:val="22"/>
              </w:rPr>
              <w:t>įsitikinti, jog Pirkimo dalyvi</w:t>
            </w:r>
            <w:r w:rsidR="00BC4C8B">
              <w:rPr>
                <w:rFonts w:ascii="Arial" w:hAnsi="Arial" w:cs="Arial"/>
                <w:i/>
                <w:iCs/>
                <w:sz w:val="22"/>
                <w:szCs w:val="22"/>
              </w:rPr>
              <w:t>s</w:t>
            </w:r>
            <w:r w:rsidR="00613C7D">
              <w:rPr>
                <w:rFonts w:ascii="Arial" w:hAnsi="Arial" w:cs="Arial"/>
                <w:i/>
                <w:iCs/>
                <w:sz w:val="22"/>
                <w:szCs w:val="22"/>
              </w:rPr>
              <w:t xml:space="preserve"> </w:t>
            </w:r>
            <w:r w:rsidR="00896363">
              <w:rPr>
                <w:rFonts w:ascii="Arial" w:hAnsi="Arial" w:cs="Arial"/>
                <w:i/>
                <w:iCs/>
                <w:sz w:val="22"/>
                <w:szCs w:val="22"/>
              </w:rPr>
              <w:t>tinkamai yra teikęs paslaugas pagal nurodytus reikalavimus ir</w:t>
            </w:r>
            <w:r w:rsidR="002B3AF7">
              <w:rPr>
                <w:rFonts w:ascii="Arial" w:hAnsi="Arial" w:cs="Arial"/>
                <w:i/>
                <w:iCs/>
                <w:sz w:val="22"/>
                <w:szCs w:val="22"/>
              </w:rPr>
              <w:t xml:space="preserve"> </w:t>
            </w:r>
            <w:r w:rsidR="00591E66">
              <w:rPr>
                <w:rFonts w:ascii="Arial" w:hAnsi="Arial" w:cs="Arial"/>
                <w:i/>
                <w:iCs/>
                <w:sz w:val="22"/>
                <w:szCs w:val="22"/>
              </w:rPr>
              <w:t xml:space="preserve">tinkamai </w:t>
            </w:r>
            <w:r w:rsidR="00920E8E" w:rsidRPr="007D28FC">
              <w:rPr>
                <w:rFonts w:ascii="Arial" w:hAnsi="Arial" w:cs="Arial"/>
                <w:b/>
                <w:bCs/>
                <w:i/>
                <w:iCs/>
                <w:sz w:val="22"/>
                <w:szCs w:val="22"/>
              </w:rPr>
              <w:t>galės įvykdyti ketinamą sudaryti pirkimo sutartį</w:t>
            </w:r>
            <w:r w:rsidR="00591E66">
              <w:rPr>
                <w:rFonts w:ascii="Arial" w:hAnsi="Arial" w:cs="Arial"/>
                <w:b/>
                <w:bCs/>
                <w:i/>
                <w:iCs/>
                <w:sz w:val="22"/>
                <w:szCs w:val="22"/>
              </w:rPr>
              <w:t>.</w:t>
            </w:r>
          </w:p>
        </w:tc>
      </w:tr>
    </w:tbl>
    <w:p w14:paraId="22E9BB17" w14:textId="77777777" w:rsidR="00BC26C0" w:rsidRPr="00DC50D9"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DC50D9">
        <w:rPr>
          <w:rFonts w:ascii="Arial" w:hAnsi="Arial" w:cs="Arial"/>
          <w:i/>
          <w:iCs/>
          <w:sz w:val="22"/>
          <w:szCs w:val="22"/>
          <w:vertAlign w:val="superscript"/>
        </w:rPr>
        <w:t>*</w:t>
      </w:r>
      <w:r w:rsidRPr="00DC50D9">
        <w:rPr>
          <w:rFonts w:ascii="Arial" w:hAnsi="Arial" w:cs="Arial"/>
          <w:i/>
          <w:iCs/>
          <w:sz w:val="22"/>
          <w:szCs w:val="22"/>
        </w:rPr>
        <w:t>Čia ir kitur suinteresuoto (-ų) tiekėjo (-ų) prašymo (-ų) paaiškinti / patikslinti pirkimo dokumentus tekstas neredaguotas.</w:t>
      </w:r>
    </w:p>
    <w:p w14:paraId="2EABA2DD" w14:textId="0084EF24" w:rsidR="007652F2" w:rsidRPr="00DC50D9" w:rsidRDefault="00BC26C0" w:rsidP="00646551">
      <w:pPr>
        <w:tabs>
          <w:tab w:val="left" w:pos="851"/>
        </w:tabs>
        <w:spacing w:line="276" w:lineRule="auto"/>
        <w:ind w:firstLine="567"/>
        <w:jc w:val="both"/>
        <w:rPr>
          <w:rFonts w:ascii="Arial" w:hAnsi="Arial" w:cs="Arial"/>
          <w:i/>
          <w:iCs/>
          <w:sz w:val="22"/>
          <w:szCs w:val="22"/>
        </w:rPr>
      </w:pPr>
      <w:r w:rsidRPr="00DC50D9">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DC50D9" w:rsidRDefault="00497052" w:rsidP="00FD766B">
      <w:pPr>
        <w:pStyle w:val="Default"/>
        <w:spacing w:line="276" w:lineRule="auto"/>
        <w:rPr>
          <w:sz w:val="22"/>
          <w:szCs w:val="22"/>
        </w:rPr>
      </w:pPr>
    </w:p>
    <w:sectPr w:rsidR="00497052" w:rsidRPr="00DC50D9"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CFA6" w14:textId="77777777" w:rsidR="00F50867" w:rsidRPr="004A75B3" w:rsidRDefault="00F50867">
      <w:r w:rsidRPr="004A75B3">
        <w:separator/>
      </w:r>
    </w:p>
  </w:endnote>
  <w:endnote w:type="continuationSeparator" w:id="0">
    <w:p w14:paraId="5D4F9621" w14:textId="77777777" w:rsidR="00F50867" w:rsidRPr="004A75B3" w:rsidRDefault="00F50867">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9E6A" w14:textId="77777777" w:rsidR="00F50867" w:rsidRPr="004A75B3" w:rsidRDefault="00F50867">
      <w:r w:rsidRPr="004A75B3">
        <w:separator/>
      </w:r>
    </w:p>
  </w:footnote>
  <w:footnote w:type="continuationSeparator" w:id="0">
    <w:p w14:paraId="0884368E" w14:textId="77777777" w:rsidR="00F50867" w:rsidRPr="004A75B3" w:rsidRDefault="00F50867">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7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7151">
    <w:abstractNumId w:val="0"/>
  </w:num>
  <w:num w:numId="3" w16cid:durableId="1192113773">
    <w:abstractNumId w:val="8"/>
  </w:num>
  <w:num w:numId="4" w16cid:durableId="74518877">
    <w:abstractNumId w:val="4"/>
  </w:num>
  <w:num w:numId="5" w16cid:durableId="65345930">
    <w:abstractNumId w:val="2"/>
  </w:num>
  <w:num w:numId="6" w16cid:durableId="759108022">
    <w:abstractNumId w:val="3"/>
  </w:num>
  <w:num w:numId="7" w16cid:durableId="1409380321">
    <w:abstractNumId w:val="6"/>
  </w:num>
  <w:num w:numId="8" w16cid:durableId="316111598">
    <w:abstractNumId w:val="1"/>
  </w:num>
  <w:num w:numId="9" w16cid:durableId="789973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45E6"/>
    <w:rsid w:val="00025795"/>
    <w:rsid w:val="00030969"/>
    <w:rsid w:val="00037D8D"/>
    <w:rsid w:val="00040016"/>
    <w:rsid w:val="00040318"/>
    <w:rsid w:val="00042405"/>
    <w:rsid w:val="00042661"/>
    <w:rsid w:val="0004326F"/>
    <w:rsid w:val="00047B39"/>
    <w:rsid w:val="00054382"/>
    <w:rsid w:val="000569C8"/>
    <w:rsid w:val="00060D80"/>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C0762"/>
    <w:rsid w:val="000C73A8"/>
    <w:rsid w:val="000C7B8D"/>
    <w:rsid w:val="000D22DB"/>
    <w:rsid w:val="000D4411"/>
    <w:rsid w:val="000D769F"/>
    <w:rsid w:val="000E3885"/>
    <w:rsid w:val="000E575D"/>
    <w:rsid w:val="000E7CAF"/>
    <w:rsid w:val="000F7E2E"/>
    <w:rsid w:val="0010004D"/>
    <w:rsid w:val="00100515"/>
    <w:rsid w:val="00104985"/>
    <w:rsid w:val="00106058"/>
    <w:rsid w:val="0010708D"/>
    <w:rsid w:val="001075E9"/>
    <w:rsid w:val="001118D4"/>
    <w:rsid w:val="00112819"/>
    <w:rsid w:val="0011338C"/>
    <w:rsid w:val="0011487E"/>
    <w:rsid w:val="001173F4"/>
    <w:rsid w:val="00117515"/>
    <w:rsid w:val="00121207"/>
    <w:rsid w:val="001231A1"/>
    <w:rsid w:val="00123663"/>
    <w:rsid w:val="001254CC"/>
    <w:rsid w:val="00125FEB"/>
    <w:rsid w:val="00145018"/>
    <w:rsid w:val="00150117"/>
    <w:rsid w:val="00150546"/>
    <w:rsid w:val="001545B7"/>
    <w:rsid w:val="001605E2"/>
    <w:rsid w:val="00161EC7"/>
    <w:rsid w:val="00163220"/>
    <w:rsid w:val="0016675A"/>
    <w:rsid w:val="001674BA"/>
    <w:rsid w:val="001706B2"/>
    <w:rsid w:val="00171374"/>
    <w:rsid w:val="0018219E"/>
    <w:rsid w:val="00182AA0"/>
    <w:rsid w:val="00190FE5"/>
    <w:rsid w:val="001919D0"/>
    <w:rsid w:val="00191F17"/>
    <w:rsid w:val="00194629"/>
    <w:rsid w:val="0019602A"/>
    <w:rsid w:val="001A1A31"/>
    <w:rsid w:val="001A3991"/>
    <w:rsid w:val="001B6783"/>
    <w:rsid w:val="001B74D8"/>
    <w:rsid w:val="001C3B01"/>
    <w:rsid w:val="001C3BA3"/>
    <w:rsid w:val="001D17AB"/>
    <w:rsid w:val="001D3D5F"/>
    <w:rsid w:val="001D41CA"/>
    <w:rsid w:val="001D7B31"/>
    <w:rsid w:val="001E13C6"/>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9FD"/>
    <w:rsid w:val="0023496A"/>
    <w:rsid w:val="00236492"/>
    <w:rsid w:val="00237BAA"/>
    <w:rsid w:val="002403CA"/>
    <w:rsid w:val="0024652F"/>
    <w:rsid w:val="00250754"/>
    <w:rsid w:val="00250D60"/>
    <w:rsid w:val="002527A1"/>
    <w:rsid w:val="00253ABF"/>
    <w:rsid w:val="002551E6"/>
    <w:rsid w:val="00255C48"/>
    <w:rsid w:val="00263B95"/>
    <w:rsid w:val="00276F8C"/>
    <w:rsid w:val="002801A4"/>
    <w:rsid w:val="00280633"/>
    <w:rsid w:val="00286A07"/>
    <w:rsid w:val="002870C0"/>
    <w:rsid w:val="0028778B"/>
    <w:rsid w:val="00290A77"/>
    <w:rsid w:val="00291C42"/>
    <w:rsid w:val="00292070"/>
    <w:rsid w:val="00293CCA"/>
    <w:rsid w:val="002A0CA0"/>
    <w:rsid w:val="002A0F4D"/>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3B9A"/>
    <w:rsid w:val="003044D2"/>
    <w:rsid w:val="00306951"/>
    <w:rsid w:val="00306E0B"/>
    <w:rsid w:val="00307923"/>
    <w:rsid w:val="00307A2D"/>
    <w:rsid w:val="003115C4"/>
    <w:rsid w:val="0031289F"/>
    <w:rsid w:val="0031523E"/>
    <w:rsid w:val="003165C2"/>
    <w:rsid w:val="00331B82"/>
    <w:rsid w:val="003331D0"/>
    <w:rsid w:val="00337807"/>
    <w:rsid w:val="003403A9"/>
    <w:rsid w:val="0034229E"/>
    <w:rsid w:val="003427DA"/>
    <w:rsid w:val="0034750B"/>
    <w:rsid w:val="003538EE"/>
    <w:rsid w:val="003570C4"/>
    <w:rsid w:val="003579EF"/>
    <w:rsid w:val="00360FA3"/>
    <w:rsid w:val="00361B9C"/>
    <w:rsid w:val="00363CCA"/>
    <w:rsid w:val="00367FC3"/>
    <w:rsid w:val="00377085"/>
    <w:rsid w:val="00380030"/>
    <w:rsid w:val="00381E68"/>
    <w:rsid w:val="003848FF"/>
    <w:rsid w:val="003850F6"/>
    <w:rsid w:val="003A4207"/>
    <w:rsid w:val="003C066C"/>
    <w:rsid w:val="003C164B"/>
    <w:rsid w:val="003C42AB"/>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35917"/>
    <w:rsid w:val="00440079"/>
    <w:rsid w:val="00444E93"/>
    <w:rsid w:val="00446F33"/>
    <w:rsid w:val="00450789"/>
    <w:rsid w:val="004529E8"/>
    <w:rsid w:val="0045701B"/>
    <w:rsid w:val="00457305"/>
    <w:rsid w:val="00464204"/>
    <w:rsid w:val="004668D1"/>
    <w:rsid w:val="00467E04"/>
    <w:rsid w:val="00472A16"/>
    <w:rsid w:val="00474302"/>
    <w:rsid w:val="00476A98"/>
    <w:rsid w:val="00477779"/>
    <w:rsid w:val="0048022E"/>
    <w:rsid w:val="004813BA"/>
    <w:rsid w:val="0048295C"/>
    <w:rsid w:val="004873EB"/>
    <w:rsid w:val="00491E1C"/>
    <w:rsid w:val="00492F06"/>
    <w:rsid w:val="00493193"/>
    <w:rsid w:val="004944D2"/>
    <w:rsid w:val="00496949"/>
    <w:rsid w:val="00497052"/>
    <w:rsid w:val="004A5696"/>
    <w:rsid w:val="004A709F"/>
    <w:rsid w:val="004A75B3"/>
    <w:rsid w:val="004B2B66"/>
    <w:rsid w:val="004B5CF0"/>
    <w:rsid w:val="004C5CB9"/>
    <w:rsid w:val="004C677E"/>
    <w:rsid w:val="004D5DA8"/>
    <w:rsid w:val="004D7D50"/>
    <w:rsid w:val="004E0470"/>
    <w:rsid w:val="004E4A09"/>
    <w:rsid w:val="004F25C3"/>
    <w:rsid w:val="004F26CE"/>
    <w:rsid w:val="004F2DF1"/>
    <w:rsid w:val="004F7063"/>
    <w:rsid w:val="00500557"/>
    <w:rsid w:val="005011CE"/>
    <w:rsid w:val="00503D1B"/>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54D6"/>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53B1"/>
    <w:rsid w:val="00586416"/>
    <w:rsid w:val="00586CAF"/>
    <w:rsid w:val="00590721"/>
    <w:rsid w:val="0059074F"/>
    <w:rsid w:val="00590E61"/>
    <w:rsid w:val="00591E66"/>
    <w:rsid w:val="005A378C"/>
    <w:rsid w:val="005A5F79"/>
    <w:rsid w:val="005A67A4"/>
    <w:rsid w:val="005B1A32"/>
    <w:rsid w:val="005B4EE4"/>
    <w:rsid w:val="005B59A4"/>
    <w:rsid w:val="005C04FC"/>
    <w:rsid w:val="005C2A63"/>
    <w:rsid w:val="005C6F83"/>
    <w:rsid w:val="005D392F"/>
    <w:rsid w:val="005D4537"/>
    <w:rsid w:val="005D5DF3"/>
    <w:rsid w:val="005D7DE4"/>
    <w:rsid w:val="005E1928"/>
    <w:rsid w:val="005E4383"/>
    <w:rsid w:val="005E6239"/>
    <w:rsid w:val="005F6DD8"/>
    <w:rsid w:val="0060473F"/>
    <w:rsid w:val="006105FF"/>
    <w:rsid w:val="0061073B"/>
    <w:rsid w:val="00613267"/>
    <w:rsid w:val="00613C7D"/>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F9B"/>
    <w:rsid w:val="006A7FBF"/>
    <w:rsid w:val="006B20AC"/>
    <w:rsid w:val="006B27AA"/>
    <w:rsid w:val="006B3988"/>
    <w:rsid w:val="006B72A5"/>
    <w:rsid w:val="006C4DDF"/>
    <w:rsid w:val="006C5A62"/>
    <w:rsid w:val="006D0793"/>
    <w:rsid w:val="006D14A4"/>
    <w:rsid w:val="006D4FE6"/>
    <w:rsid w:val="006E1711"/>
    <w:rsid w:val="006E27C9"/>
    <w:rsid w:val="006E2970"/>
    <w:rsid w:val="006E2C0A"/>
    <w:rsid w:val="006E48EC"/>
    <w:rsid w:val="006E6C3C"/>
    <w:rsid w:val="006F01C1"/>
    <w:rsid w:val="006F1742"/>
    <w:rsid w:val="006F6F2A"/>
    <w:rsid w:val="00703EFC"/>
    <w:rsid w:val="007050B4"/>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28FC"/>
    <w:rsid w:val="007D39F5"/>
    <w:rsid w:val="007D7DF4"/>
    <w:rsid w:val="007E6B59"/>
    <w:rsid w:val="007E6E6E"/>
    <w:rsid w:val="007F144D"/>
    <w:rsid w:val="007F1FE7"/>
    <w:rsid w:val="007F2C86"/>
    <w:rsid w:val="007F33E1"/>
    <w:rsid w:val="007F43ED"/>
    <w:rsid w:val="007F4F2E"/>
    <w:rsid w:val="008003DD"/>
    <w:rsid w:val="0080047D"/>
    <w:rsid w:val="008028F8"/>
    <w:rsid w:val="00811501"/>
    <w:rsid w:val="00812D68"/>
    <w:rsid w:val="008216CF"/>
    <w:rsid w:val="00825E4B"/>
    <w:rsid w:val="00826CBD"/>
    <w:rsid w:val="00830E86"/>
    <w:rsid w:val="008331A4"/>
    <w:rsid w:val="00834711"/>
    <w:rsid w:val="00834C51"/>
    <w:rsid w:val="00836A02"/>
    <w:rsid w:val="00836B00"/>
    <w:rsid w:val="0084082A"/>
    <w:rsid w:val="008420C5"/>
    <w:rsid w:val="00847CA3"/>
    <w:rsid w:val="00850CD6"/>
    <w:rsid w:val="00851DC7"/>
    <w:rsid w:val="00851ED1"/>
    <w:rsid w:val="008609DD"/>
    <w:rsid w:val="00860FE0"/>
    <w:rsid w:val="00864CC7"/>
    <w:rsid w:val="00864E7E"/>
    <w:rsid w:val="00865278"/>
    <w:rsid w:val="00870E4B"/>
    <w:rsid w:val="00876961"/>
    <w:rsid w:val="008779AA"/>
    <w:rsid w:val="008817DC"/>
    <w:rsid w:val="008873B5"/>
    <w:rsid w:val="00892C3F"/>
    <w:rsid w:val="00893CC3"/>
    <w:rsid w:val="0089516D"/>
    <w:rsid w:val="00896363"/>
    <w:rsid w:val="008B2161"/>
    <w:rsid w:val="008B3A1A"/>
    <w:rsid w:val="008B40BE"/>
    <w:rsid w:val="008B46ED"/>
    <w:rsid w:val="008C0CFE"/>
    <w:rsid w:val="008C28E2"/>
    <w:rsid w:val="008C325B"/>
    <w:rsid w:val="008E38E2"/>
    <w:rsid w:val="008E6163"/>
    <w:rsid w:val="008F355D"/>
    <w:rsid w:val="00901757"/>
    <w:rsid w:val="009021B1"/>
    <w:rsid w:val="00905F80"/>
    <w:rsid w:val="009104AB"/>
    <w:rsid w:val="009106DB"/>
    <w:rsid w:val="00920E8E"/>
    <w:rsid w:val="0092768E"/>
    <w:rsid w:val="00931876"/>
    <w:rsid w:val="00935D9B"/>
    <w:rsid w:val="009371C5"/>
    <w:rsid w:val="00937388"/>
    <w:rsid w:val="00942E14"/>
    <w:rsid w:val="00960A1A"/>
    <w:rsid w:val="0096288A"/>
    <w:rsid w:val="00962EA6"/>
    <w:rsid w:val="0096445C"/>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F0151"/>
    <w:rsid w:val="009F51EC"/>
    <w:rsid w:val="009F5BCC"/>
    <w:rsid w:val="00A01346"/>
    <w:rsid w:val="00A07B24"/>
    <w:rsid w:val="00A122C7"/>
    <w:rsid w:val="00A17991"/>
    <w:rsid w:val="00A17E68"/>
    <w:rsid w:val="00A22C1C"/>
    <w:rsid w:val="00A324E9"/>
    <w:rsid w:val="00A34B29"/>
    <w:rsid w:val="00A35157"/>
    <w:rsid w:val="00A42939"/>
    <w:rsid w:val="00A50815"/>
    <w:rsid w:val="00A54B9A"/>
    <w:rsid w:val="00A55E10"/>
    <w:rsid w:val="00A6703C"/>
    <w:rsid w:val="00A759B3"/>
    <w:rsid w:val="00A77003"/>
    <w:rsid w:val="00A8167E"/>
    <w:rsid w:val="00A864CD"/>
    <w:rsid w:val="00A87436"/>
    <w:rsid w:val="00A946C7"/>
    <w:rsid w:val="00A9581B"/>
    <w:rsid w:val="00A97A7C"/>
    <w:rsid w:val="00AA0B84"/>
    <w:rsid w:val="00AA1E8F"/>
    <w:rsid w:val="00AA3A22"/>
    <w:rsid w:val="00AA4E67"/>
    <w:rsid w:val="00AA7176"/>
    <w:rsid w:val="00AB307C"/>
    <w:rsid w:val="00AB4AF8"/>
    <w:rsid w:val="00AB5AF9"/>
    <w:rsid w:val="00AB5C68"/>
    <w:rsid w:val="00AC03DC"/>
    <w:rsid w:val="00AC0953"/>
    <w:rsid w:val="00AC6FF4"/>
    <w:rsid w:val="00AC7DE3"/>
    <w:rsid w:val="00AD26FE"/>
    <w:rsid w:val="00AF2A06"/>
    <w:rsid w:val="00AF348C"/>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314B"/>
    <w:rsid w:val="00B33448"/>
    <w:rsid w:val="00B40AFD"/>
    <w:rsid w:val="00B40F09"/>
    <w:rsid w:val="00B43CEB"/>
    <w:rsid w:val="00B54B18"/>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03D4"/>
    <w:rsid w:val="00BC26C0"/>
    <w:rsid w:val="00BC46A3"/>
    <w:rsid w:val="00BC4C8B"/>
    <w:rsid w:val="00BC7238"/>
    <w:rsid w:val="00BC7C0C"/>
    <w:rsid w:val="00BD09C0"/>
    <w:rsid w:val="00BD2BBA"/>
    <w:rsid w:val="00BD35B2"/>
    <w:rsid w:val="00BD6934"/>
    <w:rsid w:val="00BE10E4"/>
    <w:rsid w:val="00BE3D84"/>
    <w:rsid w:val="00BF3DDD"/>
    <w:rsid w:val="00BF3E45"/>
    <w:rsid w:val="00BF4FEE"/>
    <w:rsid w:val="00BF622D"/>
    <w:rsid w:val="00BF73BD"/>
    <w:rsid w:val="00C022C7"/>
    <w:rsid w:val="00C0580B"/>
    <w:rsid w:val="00C11E69"/>
    <w:rsid w:val="00C1235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7F3"/>
    <w:rsid w:val="00C93FCD"/>
    <w:rsid w:val="00C94C8F"/>
    <w:rsid w:val="00C96ADA"/>
    <w:rsid w:val="00C97339"/>
    <w:rsid w:val="00CA1269"/>
    <w:rsid w:val="00CA48C9"/>
    <w:rsid w:val="00CB0970"/>
    <w:rsid w:val="00CB4339"/>
    <w:rsid w:val="00CB4BB6"/>
    <w:rsid w:val="00CB7508"/>
    <w:rsid w:val="00CB759D"/>
    <w:rsid w:val="00CC3795"/>
    <w:rsid w:val="00CC751E"/>
    <w:rsid w:val="00CD0CD7"/>
    <w:rsid w:val="00CD2242"/>
    <w:rsid w:val="00CD4362"/>
    <w:rsid w:val="00CD5008"/>
    <w:rsid w:val="00CE2D60"/>
    <w:rsid w:val="00CE4B12"/>
    <w:rsid w:val="00CF7013"/>
    <w:rsid w:val="00CF7421"/>
    <w:rsid w:val="00D027C2"/>
    <w:rsid w:val="00D052A1"/>
    <w:rsid w:val="00D0612F"/>
    <w:rsid w:val="00D0742C"/>
    <w:rsid w:val="00D074DC"/>
    <w:rsid w:val="00D13B67"/>
    <w:rsid w:val="00D15462"/>
    <w:rsid w:val="00D169B4"/>
    <w:rsid w:val="00D2460C"/>
    <w:rsid w:val="00D40FE5"/>
    <w:rsid w:val="00D43E47"/>
    <w:rsid w:val="00D452CB"/>
    <w:rsid w:val="00D46333"/>
    <w:rsid w:val="00D5294B"/>
    <w:rsid w:val="00D56732"/>
    <w:rsid w:val="00D5732A"/>
    <w:rsid w:val="00D573B7"/>
    <w:rsid w:val="00D5748E"/>
    <w:rsid w:val="00D61943"/>
    <w:rsid w:val="00D65250"/>
    <w:rsid w:val="00D666D5"/>
    <w:rsid w:val="00D667F6"/>
    <w:rsid w:val="00D73B6A"/>
    <w:rsid w:val="00D73BA4"/>
    <w:rsid w:val="00D7718A"/>
    <w:rsid w:val="00D8465B"/>
    <w:rsid w:val="00D94011"/>
    <w:rsid w:val="00D96BD7"/>
    <w:rsid w:val="00D97916"/>
    <w:rsid w:val="00DA0458"/>
    <w:rsid w:val="00DC0E80"/>
    <w:rsid w:val="00DC1E44"/>
    <w:rsid w:val="00DC50D9"/>
    <w:rsid w:val="00DD2B65"/>
    <w:rsid w:val="00DE2D03"/>
    <w:rsid w:val="00DE3ABB"/>
    <w:rsid w:val="00DE694B"/>
    <w:rsid w:val="00DF44A3"/>
    <w:rsid w:val="00E01908"/>
    <w:rsid w:val="00E024F6"/>
    <w:rsid w:val="00E04020"/>
    <w:rsid w:val="00E06EDB"/>
    <w:rsid w:val="00E122B6"/>
    <w:rsid w:val="00E17685"/>
    <w:rsid w:val="00E25583"/>
    <w:rsid w:val="00E318EB"/>
    <w:rsid w:val="00E41FEB"/>
    <w:rsid w:val="00E5348A"/>
    <w:rsid w:val="00E55914"/>
    <w:rsid w:val="00E61446"/>
    <w:rsid w:val="00E618FA"/>
    <w:rsid w:val="00E62DE0"/>
    <w:rsid w:val="00E7012A"/>
    <w:rsid w:val="00E71723"/>
    <w:rsid w:val="00E72B49"/>
    <w:rsid w:val="00E75B97"/>
    <w:rsid w:val="00E84358"/>
    <w:rsid w:val="00E87A8E"/>
    <w:rsid w:val="00E90420"/>
    <w:rsid w:val="00E936A3"/>
    <w:rsid w:val="00EA2240"/>
    <w:rsid w:val="00EA4811"/>
    <w:rsid w:val="00EA53DB"/>
    <w:rsid w:val="00EA751E"/>
    <w:rsid w:val="00EC0BEE"/>
    <w:rsid w:val="00EC29DE"/>
    <w:rsid w:val="00EC38D6"/>
    <w:rsid w:val="00EC73A3"/>
    <w:rsid w:val="00ED2491"/>
    <w:rsid w:val="00EE175F"/>
    <w:rsid w:val="00EE6788"/>
    <w:rsid w:val="00EF223F"/>
    <w:rsid w:val="00EF2633"/>
    <w:rsid w:val="00EF4081"/>
    <w:rsid w:val="00EF4B27"/>
    <w:rsid w:val="00EF5CB4"/>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50867"/>
    <w:rsid w:val="00F5693C"/>
    <w:rsid w:val="00F6400D"/>
    <w:rsid w:val="00F65B11"/>
    <w:rsid w:val="00F71D8C"/>
    <w:rsid w:val="00F7322D"/>
    <w:rsid w:val="00F75DD8"/>
    <w:rsid w:val="00F8053B"/>
    <w:rsid w:val="00F80D07"/>
    <w:rsid w:val="00F87CFC"/>
    <w:rsid w:val="00F9285F"/>
    <w:rsid w:val="00F93A82"/>
    <w:rsid w:val="00F95514"/>
    <w:rsid w:val="00FA3B0B"/>
    <w:rsid w:val="00FB2E89"/>
    <w:rsid w:val="00FB6BD2"/>
    <w:rsid w:val="00FB76BD"/>
    <w:rsid w:val="00FB7D09"/>
    <w:rsid w:val="00FC2851"/>
    <w:rsid w:val="00FC50AC"/>
    <w:rsid w:val="00FC5C32"/>
    <w:rsid w:val="00FC70A3"/>
    <w:rsid w:val="00FD5FF3"/>
    <w:rsid w:val="00FD766B"/>
    <w:rsid w:val="00FE4DA1"/>
    <w:rsid w:val="00FE61B5"/>
    <w:rsid w:val="00FE7447"/>
    <w:rsid w:val="00FF212E"/>
    <w:rsid w:val="00FF2938"/>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7916756A-C388-4A6A-823F-30F79713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A1175-72E4-4929-A72C-59D0F770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3091</Words>
  <Characters>1762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110</cp:revision>
  <dcterms:created xsi:type="dcterms:W3CDTF">2024-10-30T08:43:00Z</dcterms:created>
  <dcterms:modified xsi:type="dcterms:W3CDTF">2025-06-10T10:02:00Z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ies>
</file>