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FC02" w14:textId="77777777" w:rsidR="00245EA0" w:rsidRDefault="00245EA0">
      <w:pPr>
        <w:rPr>
          <w:sz w:val="20"/>
        </w:rPr>
      </w:pPr>
      <w:r>
        <w:rPr>
          <w:sz w:val="20"/>
        </w:rPr>
        <w:separator/>
      </w:r>
    </w:p>
  </w:endnote>
  <w:endnote w:type="continuationSeparator" w:id="0">
    <w:p w14:paraId="66FA1B55" w14:textId="77777777" w:rsidR="00245EA0" w:rsidRDefault="00245EA0">
      <w:pPr>
        <w:rPr>
          <w:sz w:val="20"/>
        </w:rPr>
      </w:pPr>
      <w:r>
        <w:rPr>
          <w:sz w:val="20"/>
        </w:rPr>
        <w:continuationSeparator/>
      </w:r>
    </w:p>
  </w:endnote>
  <w:endnote w:type="continuationNotice" w:id="1">
    <w:p w14:paraId="691C6670" w14:textId="77777777" w:rsidR="00245EA0" w:rsidRDefault="00245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F20E" w14:textId="77777777" w:rsidR="00245EA0" w:rsidRDefault="00245EA0">
      <w:pPr>
        <w:rPr>
          <w:sz w:val="20"/>
        </w:rPr>
      </w:pPr>
      <w:r>
        <w:rPr>
          <w:sz w:val="20"/>
        </w:rPr>
        <w:separator/>
      </w:r>
    </w:p>
  </w:footnote>
  <w:footnote w:type="continuationSeparator" w:id="0">
    <w:p w14:paraId="3FCEE8AE" w14:textId="77777777" w:rsidR="00245EA0" w:rsidRDefault="00245EA0">
      <w:pPr>
        <w:rPr>
          <w:sz w:val="20"/>
        </w:rPr>
      </w:pPr>
      <w:r>
        <w:rPr>
          <w:sz w:val="20"/>
        </w:rPr>
        <w:continuationSeparator/>
      </w:r>
    </w:p>
  </w:footnote>
  <w:footnote w:type="continuationNotice" w:id="1">
    <w:p w14:paraId="32F77B91" w14:textId="77777777" w:rsidR="00245EA0" w:rsidRDefault="00245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5EA0"/>
    <w:rsid w:val="003B104E"/>
    <w:rsid w:val="004253F1"/>
    <w:rsid w:val="0043003B"/>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2025-04-29T12:38:00Z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