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F48B" w14:textId="4E0623D5" w:rsidR="00C022A8" w:rsidRDefault="009B3D5D" w:rsidP="007979D3">
      <w:pPr>
        <w:jc w:val="right"/>
        <w:rPr>
          <w:sz w:val="22"/>
          <w:szCs w:val="22"/>
        </w:rPr>
      </w:pPr>
      <w:r w:rsidRPr="008A2F12">
        <w:rPr>
          <w:sz w:val="22"/>
          <w:szCs w:val="22"/>
        </w:rPr>
        <w:t xml:space="preserve">Specialiųjų pirkimo sąlygų </w:t>
      </w:r>
      <w:r w:rsidR="00E86F31">
        <w:rPr>
          <w:sz w:val="22"/>
          <w:szCs w:val="22"/>
        </w:rPr>
        <w:t>9</w:t>
      </w:r>
      <w:r w:rsidRPr="008A2F12">
        <w:rPr>
          <w:sz w:val="22"/>
          <w:szCs w:val="22"/>
        </w:rPr>
        <w:t xml:space="preserve"> priedas „</w:t>
      </w:r>
      <w:r>
        <w:rPr>
          <w:sz w:val="22"/>
          <w:szCs w:val="22"/>
        </w:rPr>
        <w:t>S</w:t>
      </w:r>
      <w:r w:rsidRPr="009B3D5D">
        <w:rPr>
          <w:sz w:val="22"/>
          <w:szCs w:val="22"/>
        </w:rPr>
        <w:t>iūlomų specialistų sąrašas</w:t>
      </w:r>
    </w:p>
    <w:p w14:paraId="6E57ACA9" w14:textId="77777777" w:rsidR="00D013F6" w:rsidRDefault="00D013F6" w:rsidP="007979D3">
      <w:pPr>
        <w:jc w:val="right"/>
        <w:rPr>
          <w:sz w:val="22"/>
          <w:szCs w:val="22"/>
        </w:rPr>
      </w:pPr>
    </w:p>
    <w:p w14:paraId="58877A16" w14:textId="77777777" w:rsidR="00D013F6" w:rsidRDefault="00D013F6" w:rsidP="007D17D7">
      <w:pPr>
        <w:rPr>
          <w:sz w:val="22"/>
          <w:szCs w:val="22"/>
        </w:rPr>
      </w:pPr>
    </w:p>
    <w:p w14:paraId="0CCC2EE2" w14:textId="77777777" w:rsidR="007D17D7" w:rsidRDefault="007D17D7" w:rsidP="007D17D7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SIŪLOMŲ SPECIALISTŲ SĄRAŠAS</w:t>
      </w:r>
    </w:p>
    <w:p w14:paraId="0318B094" w14:textId="77777777" w:rsidR="007D17D7" w:rsidRDefault="007D17D7" w:rsidP="007D17D7">
      <w:pPr>
        <w:spacing w:line="276" w:lineRule="auto"/>
        <w:rPr>
          <w:b/>
          <w:sz w:val="22"/>
          <w:szCs w:val="22"/>
        </w:rPr>
      </w:pPr>
    </w:p>
    <w:p w14:paraId="653ABE35" w14:textId="553CCCE8" w:rsidR="007D17D7" w:rsidRDefault="007D17D7" w:rsidP="007D17D7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 lentelė. Siūlomų specialistų</w:t>
      </w:r>
      <w:r w:rsidR="00767595">
        <w:rPr>
          <w:bCs/>
          <w:sz w:val="22"/>
          <w:szCs w:val="22"/>
        </w:rPr>
        <w:t xml:space="preserve"> sąraša</w:t>
      </w:r>
      <w:r w:rsidR="00E77956">
        <w:rPr>
          <w:bCs/>
          <w:sz w:val="22"/>
          <w:szCs w:val="22"/>
        </w:rPr>
        <w:t>s</w:t>
      </w:r>
      <w:r w:rsidR="00C62E42">
        <w:rPr>
          <w:bCs/>
          <w:sz w:val="22"/>
          <w:szCs w:val="22"/>
        </w:rPr>
        <w:t xml:space="preserve"> (kvalifikacijai)</w:t>
      </w:r>
      <w:r w:rsidR="00E77956">
        <w:rPr>
          <w:bCs/>
          <w:sz w:val="22"/>
          <w:szCs w:val="22"/>
        </w:rPr>
        <w:t>, kai patirtis įgyta darbovietėje: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54"/>
        <w:gridCol w:w="1561"/>
        <w:gridCol w:w="1276"/>
        <w:gridCol w:w="3118"/>
        <w:gridCol w:w="2410"/>
        <w:gridCol w:w="1843"/>
        <w:gridCol w:w="2933"/>
      </w:tblGrid>
      <w:tr w:rsidR="00DA7B6F" w14:paraId="5BAAFF6A" w14:textId="4842DF85" w:rsidTr="002151FB">
        <w:trPr>
          <w:trHeight w:val="7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199FEA0D" w14:textId="77777777" w:rsidR="00DA7B6F" w:rsidRPr="00DA7B6F" w:rsidRDefault="00DA7B6F">
            <w:pPr>
              <w:spacing w:line="256" w:lineRule="auto"/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A7B6F">
              <w:rPr>
                <w:b/>
                <w:i/>
                <w:iCs/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  <w:t>Kvalifikacijos reikalavimų lentelės eilutės numeris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26E2A354" w14:textId="77777777" w:rsidR="00DA7B6F" w:rsidRPr="00DA7B6F" w:rsidRDefault="00DA7B6F">
            <w:pPr>
              <w:spacing w:line="256" w:lineRule="auto"/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A7B6F">
              <w:rPr>
                <w:b/>
                <w:i/>
                <w:iCs/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  <w:t>Pozicija, į kurią siūlomas specialistas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A0A69B" w14:textId="77777777" w:rsidR="00DA7B6F" w:rsidRPr="00DA7B6F" w:rsidRDefault="00DA7B6F">
            <w:pPr>
              <w:spacing w:line="256" w:lineRule="auto"/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A7B6F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43DD19" w14:textId="77777777" w:rsidR="00DA7B6F" w:rsidRPr="00DA7B6F" w:rsidRDefault="00DA7B6F">
            <w:pPr>
              <w:spacing w:line="256" w:lineRule="auto"/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A7B6F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Specialisto darbovietės pavadinimas arba individualios veiklos pažymėjimo arba verslo liudijimo Nr.</w:t>
            </w:r>
            <w:r w:rsidRPr="00DA7B6F">
              <w:rPr>
                <w:rStyle w:val="FootnoteReference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footnoteReference w:id="1"/>
            </w:r>
          </w:p>
          <w:p w14:paraId="31246106" w14:textId="25213282" w:rsidR="00DA7B6F" w:rsidRPr="00DA7B6F" w:rsidRDefault="00DA7B6F" w:rsidP="003A7E9F">
            <w:pPr>
              <w:spacing w:line="256" w:lineRule="auto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C9F1C0" w14:textId="059B70AF" w:rsidR="00DA7B6F" w:rsidRPr="00DA7B6F" w:rsidRDefault="00DA7B6F" w:rsidP="003A7E9F">
            <w:pPr>
              <w:spacing w:line="256" w:lineRule="auto"/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A7B6F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Darbo pradžios ir pabaigos data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55D658" w14:textId="78EDB7AC" w:rsidR="00DA7B6F" w:rsidRPr="00DA7B6F" w:rsidRDefault="00DA7B6F" w:rsidP="00676049">
            <w:pPr>
              <w:spacing w:line="256" w:lineRule="auto"/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A7B6F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Pareigos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85D63F" w14:textId="364F6407" w:rsidR="00DA7B6F" w:rsidRPr="00DA7B6F" w:rsidRDefault="00DA7B6F" w:rsidP="00676049">
            <w:pPr>
              <w:spacing w:line="256" w:lineRule="auto"/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A7B6F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Vykdytos konkrečios veiklos iš kurių būtų galima įsitikinti darbo patirtimi</w:t>
            </w:r>
          </w:p>
        </w:tc>
      </w:tr>
      <w:tr w:rsidR="00DA7B6F" w14:paraId="26318D15" w14:textId="0197D165" w:rsidTr="00C62E42">
        <w:trPr>
          <w:trHeight w:val="16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5A5DF8" w14:textId="1E4EAEFA" w:rsidR="00DA7B6F" w:rsidRDefault="00DA7B6F">
            <w:pPr>
              <w:spacing w:before="60" w:after="60" w:line="256" w:lineRule="auto"/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14:ligatures w14:val="standardContextual"/>
              </w:rPr>
              <w:t>2.1.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D3BE8B" w14:textId="77777777" w:rsidR="00DA7B6F" w:rsidRDefault="00DA7B6F">
            <w:pPr>
              <w:spacing w:before="60" w:after="60" w:line="256" w:lineRule="auto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Ekspertas Nr. 1 - Scenaristas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D755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CAC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5E1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674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4F7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A7B6F" w14:paraId="78BC7601" w14:textId="7962F484" w:rsidTr="00C62E42">
        <w:trPr>
          <w:trHeight w:val="16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FE13C1" w14:textId="77777777" w:rsidR="00DA7B6F" w:rsidRDefault="00DA7B6F">
            <w:pPr>
              <w:spacing w:before="60" w:after="60" w:line="256" w:lineRule="auto"/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14:ligatures w14:val="standardContextual"/>
              </w:rPr>
              <w:t>...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8A4A3" w14:textId="77777777" w:rsidR="00DA7B6F" w:rsidRDefault="00DA7B6F">
            <w:pPr>
              <w:spacing w:before="60" w:after="60" w:line="256" w:lineRule="auto"/>
              <w:rPr>
                <w:rFonts w:eastAsiaTheme="minorHAnsi"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CCAA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296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E27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9F2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BEE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A7B6F" w14:paraId="0239DD99" w14:textId="3338A7C6" w:rsidTr="00C62E42">
        <w:trPr>
          <w:trHeight w:val="16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080BC2" w14:textId="2598B4F4" w:rsidR="00DA7B6F" w:rsidRDefault="00DA7B6F">
            <w:pPr>
              <w:spacing w:before="60" w:after="60" w:line="256" w:lineRule="auto"/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14:ligatures w14:val="standardContextual"/>
              </w:rPr>
              <w:t>2.2.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B7F401" w14:textId="77777777" w:rsidR="00DA7B6F" w:rsidRDefault="00DA7B6F">
            <w:pPr>
              <w:spacing w:before="60" w:after="60" w:line="256" w:lineRule="auto"/>
              <w:rPr>
                <w:rFonts w:eastAsiaTheme="minorHAnsi"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Theme="minorHAnsi"/>
                <w:bCs/>
                <w:kern w:val="2"/>
                <w:sz w:val="22"/>
                <w:szCs w:val="22"/>
                <w14:ligatures w14:val="standardContextual"/>
              </w:rPr>
              <w:t>Ekspertas Nr. 2 - Režisierius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52C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F7AA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4C3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361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D53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A7B6F" w14:paraId="1565B788" w14:textId="789DAE31" w:rsidTr="00C62E42">
        <w:trPr>
          <w:trHeight w:val="16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F6E9D6" w14:textId="77777777" w:rsidR="00DA7B6F" w:rsidRDefault="00DA7B6F">
            <w:pPr>
              <w:spacing w:before="60" w:after="60" w:line="256" w:lineRule="auto"/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14:ligatures w14:val="standardContextual"/>
              </w:rPr>
              <w:t>...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757384" w14:textId="77777777" w:rsidR="00DA7B6F" w:rsidRDefault="00DA7B6F">
            <w:pPr>
              <w:spacing w:before="60" w:after="60" w:line="256" w:lineRule="auto"/>
              <w:rPr>
                <w:rFonts w:eastAsiaTheme="minorHAnsi"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3EFB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413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BA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1A8C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F6D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A7B6F" w14:paraId="350567A1" w14:textId="1C1A9142" w:rsidTr="00C62E42">
        <w:trPr>
          <w:trHeight w:val="16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3E974C" w14:textId="5A9BCFC6" w:rsidR="00DA7B6F" w:rsidRDefault="00DA7B6F">
            <w:pPr>
              <w:spacing w:before="60" w:after="60" w:line="256" w:lineRule="auto"/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14:ligatures w14:val="standardContextual"/>
              </w:rPr>
              <w:t>2.3.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3F35F8" w14:textId="77777777" w:rsidR="00DA7B6F" w:rsidRDefault="00DA7B6F">
            <w:pPr>
              <w:spacing w:before="60" w:after="60" w:line="256" w:lineRule="auto"/>
              <w:rPr>
                <w:rFonts w:eastAsiaTheme="minorHAnsi"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Theme="minorHAnsi"/>
                <w:bCs/>
                <w:kern w:val="2"/>
                <w:sz w:val="22"/>
                <w:szCs w:val="22"/>
                <w14:ligatures w14:val="standardContextual"/>
              </w:rPr>
              <w:t>Ekspertas Nr. 3 - Operatorius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5291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7EF6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E4E3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18E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101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A7B6F" w14:paraId="175E8605" w14:textId="72DDC889" w:rsidTr="00C62E42">
        <w:trPr>
          <w:trHeight w:val="16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5512C" w14:textId="77777777" w:rsidR="00DA7B6F" w:rsidRDefault="00DA7B6F">
            <w:pPr>
              <w:spacing w:before="60" w:after="60" w:line="256" w:lineRule="auto"/>
              <w:jc w:val="center"/>
              <w:rPr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7DBF9" w14:textId="77777777" w:rsidR="00DA7B6F" w:rsidRDefault="00DA7B6F">
            <w:pPr>
              <w:spacing w:before="60" w:after="60" w:line="256" w:lineRule="auto"/>
              <w:rPr>
                <w:rFonts w:eastAsiaTheme="minorHAnsi"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DB3E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8FB2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6E3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54AA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A6D" w14:textId="77777777" w:rsidR="00DA7B6F" w:rsidRDefault="00DA7B6F">
            <w:pPr>
              <w:spacing w:before="60" w:after="60"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030E870C" w14:textId="77777777" w:rsidR="00F0188C" w:rsidRDefault="00F0188C" w:rsidP="0032253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</w:p>
    <w:p w14:paraId="05A20E18" w14:textId="268979B3" w:rsidR="00322535" w:rsidRPr="00322535" w:rsidRDefault="00322535" w:rsidP="0032253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0"/>
          <w:bdr w:val="nil"/>
        </w:rPr>
      </w:pPr>
      <w:r w:rsidRPr="00322535">
        <w:rPr>
          <w:rFonts w:eastAsia="Arial Unicode MS"/>
          <w:i/>
          <w:iCs/>
          <w:sz w:val="20"/>
          <w:bdr w:val="nil"/>
        </w:rPr>
        <w:t>Specialistų patirtis skaičiuojama mėnesiais. Jei keliamas reikalavimas turėti specialistui patirtį konkrečioje srityje, pavyzdžiui ne mažiau kaip 1 (vienerius) metus, tai turi būti suminė patirtis ne mažiau kaip 12 mėn. Darbo patirtis tuo pačiu laikotarpiu vykdant skirtingas sutartis arba užimant pareigas keliose darbovietėse nėra sumuojama (pvz. jeigu 2022 m. balandžio 1 d. – gegužės 31 d. buvo užimamos pareigos dviejose darbovietėse, bus laikoma, kad įgyta 2 mėnesių patirtis). Tuo atveju, jeigu specialistas dirbo ne pilną mėnesį, patirtis skaičiuojama taip: jeigu per mėnesį dirbta mažiau kaip 15 atitinkamo mėnesio kalendorinių dienų, laikoma, kad neturi 1 mėnesio patirties, jeigu per mėnesį dirbta ne mažiau kaip 15 atitinkamo mėnesio kalendorinių dienų, laikoma, kad turi 1 mėnesio patirtį.</w:t>
      </w:r>
    </w:p>
    <w:p w14:paraId="4F4E305C" w14:textId="77777777" w:rsidR="00322535" w:rsidRPr="008B36DC" w:rsidRDefault="00322535" w:rsidP="008B36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56"/>
        </w:tabs>
        <w:spacing w:before="120"/>
        <w:jc w:val="both"/>
        <w:rPr>
          <w:rFonts w:eastAsia="Arial Unicode MS"/>
          <w:i/>
          <w:iCs/>
          <w:sz w:val="22"/>
          <w:szCs w:val="22"/>
          <w:bdr w:val="nil"/>
        </w:rPr>
      </w:pPr>
    </w:p>
    <w:p w14:paraId="6476936D" w14:textId="77777777" w:rsidR="00D013F6" w:rsidRDefault="00D013F6" w:rsidP="00651551">
      <w:pPr>
        <w:rPr>
          <w:sz w:val="22"/>
          <w:szCs w:val="22"/>
        </w:rPr>
      </w:pPr>
    </w:p>
    <w:p w14:paraId="17C9B56A" w14:textId="77777777" w:rsidR="0019180F" w:rsidRPr="007979D3" w:rsidRDefault="0019180F" w:rsidP="007979D3">
      <w:pPr>
        <w:jc w:val="right"/>
        <w:rPr>
          <w:sz w:val="22"/>
          <w:szCs w:val="22"/>
        </w:rPr>
      </w:pPr>
    </w:p>
    <w:p w14:paraId="6515C33F" w14:textId="77777777" w:rsidR="00B23FE7" w:rsidRDefault="00B23FE7" w:rsidP="0019180F">
      <w:pPr>
        <w:jc w:val="center"/>
        <w:rPr>
          <w:b/>
          <w:bCs/>
          <w:smallCaps/>
          <w:szCs w:val="24"/>
        </w:rPr>
      </w:pPr>
    </w:p>
    <w:p w14:paraId="15CB4106" w14:textId="77777777" w:rsidR="00E77956" w:rsidRDefault="00E77956" w:rsidP="0019180F">
      <w:pPr>
        <w:jc w:val="center"/>
        <w:rPr>
          <w:b/>
          <w:bCs/>
          <w:smallCaps/>
          <w:szCs w:val="24"/>
        </w:rPr>
      </w:pPr>
    </w:p>
    <w:p w14:paraId="4AD84701" w14:textId="77777777" w:rsidR="00C62E42" w:rsidRDefault="00C62E42" w:rsidP="0019180F">
      <w:pPr>
        <w:jc w:val="center"/>
        <w:rPr>
          <w:b/>
          <w:bCs/>
          <w:smallCaps/>
          <w:szCs w:val="24"/>
        </w:rPr>
      </w:pPr>
    </w:p>
    <w:p w14:paraId="45EE7CBA" w14:textId="77777777" w:rsidR="00C62E42" w:rsidRDefault="00C62E42" w:rsidP="0019180F">
      <w:pPr>
        <w:jc w:val="center"/>
        <w:rPr>
          <w:b/>
          <w:bCs/>
          <w:smallCaps/>
          <w:szCs w:val="24"/>
        </w:rPr>
      </w:pPr>
    </w:p>
    <w:p w14:paraId="01E701CC" w14:textId="77777777" w:rsidR="00C62E42" w:rsidRDefault="00C62E42" w:rsidP="0019180F">
      <w:pPr>
        <w:jc w:val="center"/>
        <w:rPr>
          <w:b/>
          <w:bCs/>
          <w:smallCaps/>
          <w:szCs w:val="24"/>
        </w:rPr>
      </w:pPr>
    </w:p>
    <w:p w14:paraId="2C19E9FE" w14:textId="77777777" w:rsidR="00C62E42" w:rsidRDefault="00C62E42" w:rsidP="0019180F">
      <w:pPr>
        <w:jc w:val="center"/>
        <w:rPr>
          <w:b/>
          <w:bCs/>
          <w:smallCaps/>
          <w:szCs w:val="24"/>
        </w:rPr>
      </w:pPr>
    </w:p>
    <w:p w14:paraId="214DDAF4" w14:textId="77777777" w:rsidR="00E77956" w:rsidRDefault="00E77956" w:rsidP="0019180F">
      <w:pPr>
        <w:jc w:val="center"/>
        <w:rPr>
          <w:b/>
          <w:bCs/>
          <w:smallCaps/>
          <w:szCs w:val="24"/>
        </w:rPr>
      </w:pPr>
    </w:p>
    <w:p w14:paraId="11D951CE" w14:textId="77777777" w:rsidR="00E77956" w:rsidRDefault="00E77956" w:rsidP="0019180F">
      <w:pPr>
        <w:jc w:val="center"/>
        <w:rPr>
          <w:b/>
          <w:bCs/>
          <w:smallCaps/>
          <w:szCs w:val="24"/>
        </w:rPr>
      </w:pPr>
    </w:p>
    <w:p w14:paraId="58E6251E" w14:textId="77777777" w:rsidR="00E77956" w:rsidRDefault="00E77956" w:rsidP="0019180F">
      <w:pPr>
        <w:jc w:val="center"/>
        <w:rPr>
          <w:b/>
          <w:bCs/>
          <w:smallCaps/>
          <w:szCs w:val="24"/>
        </w:rPr>
      </w:pPr>
    </w:p>
    <w:p w14:paraId="541FCE1E" w14:textId="542DF5E4" w:rsidR="00E77956" w:rsidRPr="00EF4133" w:rsidRDefault="00651551" w:rsidP="00EF4133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B23FE7">
        <w:rPr>
          <w:bCs/>
          <w:sz w:val="22"/>
          <w:szCs w:val="22"/>
        </w:rPr>
        <w:t xml:space="preserve"> lentelė. Siūlomų specialistų</w:t>
      </w:r>
      <w:r w:rsidR="00260C3C">
        <w:rPr>
          <w:bCs/>
          <w:sz w:val="22"/>
          <w:szCs w:val="22"/>
        </w:rPr>
        <w:t xml:space="preserve"> kvalifikacijos ir ekonominio naudingumo</w:t>
      </w:r>
      <w:r w:rsidR="00B23FE7">
        <w:rPr>
          <w:bCs/>
          <w:sz w:val="22"/>
          <w:szCs w:val="22"/>
        </w:rPr>
        <w:t xml:space="preserve"> atitikties reikalavimams lentelė</w:t>
      </w:r>
      <w:r w:rsidR="00EF4133">
        <w:rPr>
          <w:bCs/>
          <w:sz w:val="22"/>
          <w:szCs w:val="22"/>
        </w:rPr>
        <w:t xml:space="preserve"> </w:t>
      </w:r>
      <w:r w:rsidR="00E77956">
        <w:rPr>
          <w:smallCaps/>
          <w:szCs w:val="24"/>
        </w:rPr>
        <w:t>(</w:t>
      </w:r>
      <w:r w:rsidR="00E77956">
        <w:rPr>
          <w:sz w:val="22"/>
          <w:szCs w:val="22"/>
        </w:rPr>
        <w:t xml:space="preserve">kadangi lentelėje pateikiama informacija yra susijusi su ekonomiškai naudingiausio pasiūlymo vertinimo kriterijais </w:t>
      </w:r>
      <w:r w:rsidR="00E77956" w:rsidRPr="004F0A70">
        <w:rPr>
          <w:b/>
          <w:bCs/>
          <w:sz w:val="22"/>
          <w:szCs w:val="22"/>
          <w:u w:val="single"/>
        </w:rPr>
        <w:t>kartu su pasiūlymu</w:t>
      </w:r>
      <w:r w:rsidR="00E77956">
        <w:rPr>
          <w:sz w:val="22"/>
          <w:szCs w:val="22"/>
        </w:rPr>
        <w:t xml:space="preserve"> turi būti pateikiama visa informacija apie specialistus)</w:t>
      </w:r>
      <w:r w:rsidR="00EF4133">
        <w:rPr>
          <w:sz w:val="22"/>
          <w:szCs w:val="22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"/>
        <w:gridCol w:w="1273"/>
        <w:gridCol w:w="1843"/>
        <w:gridCol w:w="2413"/>
        <w:gridCol w:w="2125"/>
        <w:gridCol w:w="2551"/>
        <w:gridCol w:w="1843"/>
        <w:gridCol w:w="2081"/>
      </w:tblGrid>
      <w:tr w:rsidR="0019180F" w:rsidRPr="00BC000B" w14:paraId="270E34DD" w14:textId="77777777" w:rsidTr="00592C80">
        <w:trPr>
          <w:trHeight w:val="438"/>
        </w:trPr>
        <w:tc>
          <w:tcPr>
            <w:tcW w:w="5000" w:type="pct"/>
            <w:gridSpan w:val="8"/>
            <w:shd w:val="clear" w:color="auto" w:fill="DEEAF6" w:themeFill="accent5" w:themeFillTint="33"/>
            <w:vAlign w:val="center"/>
          </w:tcPr>
          <w:p w14:paraId="6F944B00" w14:textId="3CC3A4EB" w:rsidR="0019180F" w:rsidRPr="0098326C" w:rsidRDefault="00592C80" w:rsidP="003D1458">
            <w:pPr>
              <w:jc w:val="center"/>
              <w:rPr>
                <w:b/>
                <w:bCs/>
                <w:sz w:val="20"/>
              </w:rPr>
            </w:pPr>
            <w:r w:rsidRPr="0098326C">
              <w:rPr>
                <w:b/>
                <w:bCs/>
                <w:sz w:val="20"/>
              </w:rPr>
              <w:t>TIEKĖJO SIŪLOMŲ SPECIALISTŲ SĄRAŠAS</w:t>
            </w:r>
          </w:p>
        </w:tc>
      </w:tr>
      <w:tr w:rsidR="007F0BFF" w:rsidRPr="00BC000B" w14:paraId="5795B827" w14:textId="77777777" w:rsidTr="00DC1E1F">
        <w:trPr>
          <w:trHeight w:val="438"/>
        </w:trPr>
        <w:tc>
          <w:tcPr>
            <w:tcW w:w="193" w:type="pct"/>
            <w:vMerge w:val="restart"/>
            <w:shd w:val="clear" w:color="auto" w:fill="DEEAF6" w:themeFill="accent5" w:themeFillTint="33"/>
            <w:vAlign w:val="center"/>
          </w:tcPr>
          <w:p w14:paraId="4D2CC1C9" w14:textId="77777777" w:rsidR="007F0BFF" w:rsidRPr="00BC000B" w:rsidRDefault="007F0BFF" w:rsidP="00C9646C">
            <w:pPr>
              <w:jc w:val="both"/>
              <w:rPr>
                <w:sz w:val="20"/>
              </w:rPr>
            </w:pPr>
            <w:r w:rsidRPr="00BC000B">
              <w:rPr>
                <w:sz w:val="20"/>
              </w:rPr>
              <w:t xml:space="preserve">Eil. Nr. </w:t>
            </w:r>
          </w:p>
        </w:tc>
        <w:tc>
          <w:tcPr>
            <w:tcW w:w="433" w:type="pct"/>
            <w:vMerge w:val="restart"/>
            <w:shd w:val="clear" w:color="auto" w:fill="DEEAF6" w:themeFill="accent5" w:themeFillTint="33"/>
          </w:tcPr>
          <w:p w14:paraId="49131482" w14:textId="77777777" w:rsidR="007F0BFF" w:rsidRPr="0098326C" w:rsidRDefault="007F0BFF" w:rsidP="003D1458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14:paraId="4596E552" w14:textId="77777777" w:rsidR="007F0BFF" w:rsidRPr="0098326C" w:rsidRDefault="007F0BFF" w:rsidP="003D1458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14:paraId="48E86689" w14:textId="36D6748E" w:rsidR="007F0BFF" w:rsidRPr="0098326C" w:rsidRDefault="007F0BFF" w:rsidP="003757AF">
            <w:pPr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 w:rsidRPr="0098326C">
              <w:rPr>
                <w:b/>
                <w:bCs/>
                <w:i/>
                <w:iCs/>
                <w:sz w:val="20"/>
              </w:rPr>
              <w:t>Specialisto pozicija</w:t>
            </w:r>
          </w:p>
        </w:tc>
        <w:tc>
          <w:tcPr>
            <w:tcW w:w="4374" w:type="pct"/>
            <w:gridSpan w:val="6"/>
            <w:shd w:val="clear" w:color="auto" w:fill="DEEAF6" w:themeFill="accent5" w:themeFillTint="33"/>
          </w:tcPr>
          <w:p w14:paraId="16B27741" w14:textId="7A380628" w:rsidR="007F0BFF" w:rsidRPr="0098326C" w:rsidRDefault="007F0BFF" w:rsidP="003D1458">
            <w:pPr>
              <w:jc w:val="center"/>
              <w:rPr>
                <w:b/>
                <w:bCs/>
                <w:i/>
                <w:iCs/>
                <w:sz w:val="20"/>
                <w:lang w:val="da-DK"/>
              </w:rPr>
            </w:pPr>
            <w:r w:rsidRPr="0098326C">
              <w:rPr>
                <w:b/>
                <w:bCs/>
                <w:i/>
                <w:iCs/>
                <w:sz w:val="20"/>
              </w:rPr>
              <w:t>Informacija apie tiekėjo siūlomų specialistų patirtį ir kvalifikacij</w:t>
            </w:r>
            <w:r w:rsidR="00FF700B" w:rsidRPr="0098326C">
              <w:rPr>
                <w:b/>
                <w:bCs/>
                <w:i/>
                <w:iCs/>
                <w:sz w:val="20"/>
              </w:rPr>
              <w:t>ą</w:t>
            </w:r>
            <w:r w:rsidRPr="0098326C">
              <w:rPr>
                <w:b/>
                <w:bCs/>
                <w:i/>
                <w:iCs/>
                <w:sz w:val="20"/>
              </w:rPr>
              <w:t xml:space="preserve"> </w:t>
            </w:r>
            <w:r w:rsidR="00C33389" w:rsidRPr="0098326C">
              <w:rPr>
                <w:rStyle w:val="FootnoteReference"/>
                <w:b/>
                <w:bCs/>
                <w:i/>
                <w:iCs/>
                <w:sz w:val="20"/>
                <w:lang w:val="da-DK"/>
              </w:rPr>
              <w:footnoteReference w:id="2"/>
            </w:r>
          </w:p>
        </w:tc>
      </w:tr>
      <w:tr w:rsidR="0041689E" w:rsidRPr="00BC000B" w14:paraId="01CEE5A6" w14:textId="77777777" w:rsidTr="00DC1E1F">
        <w:trPr>
          <w:trHeight w:val="145"/>
        </w:trPr>
        <w:tc>
          <w:tcPr>
            <w:tcW w:w="193" w:type="pct"/>
            <w:vMerge/>
            <w:shd w:val="clear" w:color="auto" w:fill="DEEAF6" w:themeFill="accent5" w:themeFillTint="33"/>
          </w:tcPr>
          <w:p w14:paraId="25C68B35" w14:textId="77777777" w:rsidR="000551F9" w:rsidRPr="00BC000B" w:rsidRDefault="000551F9" w:rsidP="00C9646C">
            <w:pPr>
              <w:jc w:val="both"/>
              <w:rPr>
                <w:sz w:val="20"/>
              </w:rPr>
            </w:pPr>
          </w:p>
        </w:tc>
        <w:tc>
          <w:tcPr>
            <w:tcW w:w="433" w:type="pct"/>
            <w:vMerge/>
            <w:shd w:val="clear" w:color="auto" w:fill="DEEAF6" w:themeFill="accent5" w:themeFillTint="33"/>
          </w:tcPr>
          <w:p w14:paraId="4CD73E54" w14:textId="77777777" w:rsidR="000551F9" w:rsidRPr="0098326C" w:rsidRDefault="000551F9" w:rsidP="003D1458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627" w:type="pct"/>
            <w:shd w:val="clear" w:color="auto" w:fill="DEEAF6" w:themeFill="accent5" w:themeFillTint="33"/>
            <w:vAlign w:val="center"/>
          </w:tcPr>
          <w:p w14:paraId="34E4AF15" w14:textId="360D49D6" w:rsidR="00270C0B" w:rsidRPr="0098326C" w:rsidRDefault="00DF1AC2" w:rsidP="003757AF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98326C">
              <w:rPr>
                <w:b/>
                <w:bCs/>
                <w:i/>
                <w:iCs/>
                <w:sz w:val="20"/>
              </w:rPr>
              <w:t>Siūlomo s</w:t>
            </w:r>
            <w:r w:rsidR="000551F9" w:rsidRPr="0098326C">
              <w:rPr>
                <w:b/>
                <w:bCs/>
                <w:i/>
                <w:iCs/>
                <w:sz w:val="20"/>
              </w:rPr>
              <w:t>pecialisto</w:t>
            </w:r>
          </w:p>
          <w:p w14:paraId="3B4A80E2" w14:textId="296222FB" w:rsidR="000551F9" w:rsidRPr="0098326C" w:rsidRDefault="000551F9" w:rsidP="003757AF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98326C">
              <w:rPr>
                <w:b/>
                <w:bCs/>
                <w:i/>
                <w:iCs/>
                <w:sz w:val="20"/>
              </w:rPr>
              <w:t>vardas, pavardė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28AE24EA" w14:textId="6D93B22E" w:rsidR="000551F9" w:rsidRPr="0098326C" w:rsidRDefault="00651551" w:rsidP="003757AF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98326C">
              <w:rPr>
                <w:b/>
                <w:bCs/>
                <w:i/>
                <w:iCs/>
                <w:sz w:val="20"/>
              </w:rPr>
              <w:t>S</w:t>
            </w:r>
            <w:r w:rsidR="000551F9" w:rsidRPr="0098326C">
              <w:rPr>
                <w:b/>
                <w:bCs/>
                <w:i/>
                <w:iCs/>
                <w:sz w:val="20"/>
              </w:rPr>
              <w:t>utarties, kurio vykdyme dalyvavo specialistas, pavadinimas, data ir Nr. bei trumpas aprašymas</w:t>
            </w:r>
          </w:p>
        </w:tc>
        <w:tc>
          <w:tcPr>
            <w:tcW w:w="723" w:type="pct"/>
            <w:shd w:val="clear" w:color="auto" w:fill="DEEAF6" w:themeFill="accent5" w:themeFillTint="33"/>
            <w:vAlign w:val="center"/>
          </w:tcPr>
          <w:p w14:paraId="3BCAEC6A" w14:textId="75B6E7A4" w:rsidR="000551F9" w:rsidRPr="0098326C" w:rsidRDefault="00085DD0" w:rsidP="003757AF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98326C">
              <w:rPr>
                <w:b/>
                <w:bCs/>
                <w:i/>
                <w:iCs/>
                <w:sz w:val="20"/>
              </w:rPr>
              <w:t>S</w:t>
            </w:r>
            <w:r w:rsidR="000551F9" w:rsidRPr="0098326C">
              <w:rPr>
                <w:b/>
                <w:bCs/>
                <w:i/>
                <w:iCs/>
                <w:sz w:val="20"/>
              </w:rPr>
              <w:t>utarties faktinė vykdymo data (pradžia – pabaiga)</w:t>
            </w:r>
          </w:p>
        </w:tc>
        <w:tc>
          <w:tcPr>
            <w:tcW w:w="868" w:type="pct"/>
            <w:shd w:val="clear" w:color="auto" w:fill="DEEAF6" w:themeFill="accent5" w:themeFillTint="33"/>
            <w:vAlign w:val="center"/>
          </w:tcPr>
          <w:p w14:paraId="72DC7C51" w14:textId="20F524CD" w:rsidR="000551F9" w:rsidRPr="0098326C" w:rsidRDefault="000551F9" w:rsidP="003757AF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98326C">
              <w:rPr>
                <w:b/>
                <w:bCs/>
                <w:i/>
                <w:iCs/>
                <w:sz w:val="20"/>
              </w:rPr>
              <w:t>Informacija apie specialisto vykdytas funkcijas/veiklas įgyvendinant sutartį, specialisto pozicija sutartyje</w:t>
            </w:r>
          </w:p>
        </w:tc>
        <w:tc>
          <w:tcPr>
            <w:tcW w:w="627" w:type="pct"/>
            <w:shd w:val="clear" w:color="auto" w:fill="DEEAF6" w:themeFill="accent5" w:themeFillTint="33"/>
            <w:vAlign w:val="center"/>
          </w:tcPr>
          <w:p w14:paraId="5EAB97F4" w14:textId="378D8765" w:rsidR="000551F9" w:rsidRPr="0098326C" w:rsidRDefault="000551F9" w:rsidP="003757AF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98326C">
              <w:rPr>
                <w:b/>
                <w:bCs/>
                <w:i/>
                <w:iCs/>
                <w:sz w:val="20"/>
              </w:rPr>
              <w:t>Atliktų darbų nuorodos į portfolio</w:t>
            </w:r>
          </w:p>
        </w:tc>
        <w:tc>
          <w:tcPr>
            <w:tcW w:w="708" w:type="pct"/>
            <w:shd w:val="clear" w:color="auto" w:fill="DEEAF6" w:themeFill="accent5" w:themeFillTint="33"/>
            <w:vAlign w:val="center"/>
          </w:tcPr>
          <w:p w14:paraId="77F15ECD" w14:textId="77777777" w:rsidR="000551F9" w:rsidRPr="0098326C" w:rsidRDefault="000551F9" w:rsidP="003757AF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98326C">
              <w:rPr>
                <w:b/>
                <w:bCs/>
                <w:i/>
                <w:iCs/>
                <w:sz w:val="20"/>
              </w:rPr>
              <w:t>Užsakovo pavadinimas ir kontaktiniai asmenys (vardas, pavardė, pareigos, tel. Nr., el. pašto adresas)</w:t>
            </w:r>
          </w:p>
        </w:tc>
      </w:tr>
      <w:tr w:rsidR="0041689E" w:rsidRPr="00BC000B" w14:paraId="661638C1" w14:textId="77777777" w:rsidTr="00DC1E1F">
        <w:trPr>
          <w:trHeight w:val="145"/>
        </w:trPr>
        <w:tc>
          <w:tcPr>
            <w:tcW w:w="193" w:type="pct"/>
            <w:vMerge/>
            <w:shd w:val="clear" w:color="auto" w:fill="DEEAF6" w:themeFill="accent5" w:themeFillTint="33"/>
          </w:tcPr>
          <w:p w14:paraId="794CB87D" w14:textId="77777777" w:rsidR="000551F9" w:rsidRPr="00BC000B" w:rsidRDefault="000551F9" w:rsidP="00C9646C">
            <w:pPr>
              <w:jc w:val="both"/>
              <w:rPr>
                <w:sz w:val="20"/>
              </w:rPr>
            </w:pPr>
          </w:p>
        </w:tc>
        <w:tc>
          <w:tcPr>
            <w:tcW w:w="433" w:type="pct"/>
            <w:shd w:val="clear" w:color="auto" w:fill="DEEAF6" w:themeFill="accent5" w:themeFillTint="33"/>
          </w:tcPr>
          <w:p w14:paraId="0F4E938B" w14:textId="77777777" w:rsidR="000551F9" w:rsidRPr="00BC000B" w:rsidRDefault="000551F9" w:rsidP="00C9646C">
            <w:pPr>
              <w:jc w:val="center"/>
              <w:rPr>
                <w:i/>
                <w:iCs/>
                <w:sz w:val="20"/>
              </w:rPr>
            </w:pPr>
            <w:r w:rsidRPr="00BC000B">
              <w:rPr>
                <w:i/>
                <w:iCs/>
                <w:sz w:val="20"/>
              </w:rPr>
              <w:t>1</w:t>
            </w:r>
          </w:p>
        </w:tc>
        <w:tc>
          <w:tcPr>
            <w:tcW w:w="627" w:type="pct"/>
            <w:shd w:val="clear" w:color="auto" w:fill="DEEAF6" w:themeFill="accent5" w:themeFillTint="33"/>
          </w:tcPr>
          <w:p w14:paraId="25D34A6C" w14:textId="288C8F66" w:rsidR="000551F9" w:rsidRPr="00BC000B" w:rsidRDefault="000551F9" w:rsidP="00C9646C">
            <w:pPr>
              <w:jc w:val="center"/>
              <w:rPr>
                <w:i/>
                <w:iCs/>
                <w:sz w:val="20"/>
              </w:rPr>
            </w:pPr>
            <w:r w:rsidRPr="00BC000B">
              <w:rPr>
                <w:i/>
                <w:iCs/>
                <w:sz w:val="20"/>
              </w:rPr>
              <w:t>2</w:t>
            </w:r>
          </w:p>
        </w:tc>
        <w:tc>
          <w:tcPr>
            <w:tcW w:w="821" w:type="pct"/>
            <w:shd w:val="clear" w:color="auto" w:fill="DEEAF6" w:themeFill="accent5" w:themeFillTint="33"/>
          </w:tcPr>
          <w:p w14:paraId="35DADBCA" w14:textId="05D0F2AA" w:rsidR="000551F9" w:rsidRPr="00BC000B" w:rsidRDefault="000551F9" w:rsidP="00C9646C">
            <w:pPr>
              <w:jc w:val="center"/>
              <w:rPr>
                <w:i/>
                <w:iCs/>
                <w:sz w:val="20"/>
              </w:rPr>
            </w:pPr>
            <w:r w:rsidRPr="00BC000B">
              <w:rPr>
                <w:i/>
                <w:iCs/>
                <w:sz w:val="20"/>
              </w:rPr>
              <w:t>3</w:t>
            </w:r>
          </w:p>
        </w:tc>
        <w:tc>
          <w:tcPr>
            <w:tcW w:w="723" w:type="pct"/>
            <w:shd w:val="clear" w:color="auto" w:fill="DEEAF6" w:themeFill="accent5" w:themeFillTint="33"/>
          </w:tcPr>
          <w:p w14:paraId="282EA3F5" w14:textId="06B5CF50" w:rsidR="000551F9" w:rsidRPr="00BC000B" w:rsidRDefault="000551F9" w:rsidP="00C9646C">
            <w:pPr>
              <w:jc w:val="center"/>
              <w:rPr>
                <w:i/>
                <w:iCs/>
                <w:sz w:val="20"/>
              </w:rPr>
            </w:pPr>
            <w:r w:rsidRPr="00BC000B">
              <w:rPr>
                <w:i/>
                <w:iCs/>
                <w:sz w:val="20"/>
              </w:rPr>
              <w:t>4</w:t>
            </w:r>
          </w:p>
        </w:tc>
        <w:tc>
          <w:tcPr>
            <w:tcW w:w="868" w:type="pct"/>
            <w:shd w:val="clear" w:color="auto" w:fill="DEEAF6" w:themeFill="accent5" w:themeFillTint="33"/>
          </w:tcPr>
          <w:p w14:paraId="2054C419" w14:textId="0F445A5B" w:rsidR="000551F9" w:rsidRPr="00BC000B" w:rsidRDefault="000551F9" w:rsidP="00C9646C">
            <w:pPr>
              <w:jc w:val="center"/>
              <w:rPr>
                <w:i/>
                <w:iCs/>
                <w:sz w:val="20"/>
              </w:rPr>
            </w:pPr>
            <w:r w:rsidRPr="00BC000B">
              <w:rPr>
                <w:i/>
                <w:iCs/>
                <w:sz w:val="20"/>
              </w:rPr>
              <w:t>5</w:t>
            </w:r>
          </w:p>
        </w:tc>
        <w:tc>
          <w:tcPr>
            <w:tcW w:w="627" w:type="pct"/>
            <w:shd w:val="clear" w:color="auto" w:fill="DEEAF6" w:themeFill="accent5" w:themeFillTint="33"/>
          </w:tcPr>
          <w:p w14:paraId="5657588B" w14:textId="77777777" w:rsidR="000551F9" w:rsidRPr="00BC000B" w:rsidRDefault="000551F9" w:rsidP="00C9646C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6</w:t>
            </w:r>
          </w:p>
          <w:p w14:paraId="6EF3C19B" w14:textId="7468F84C" w:rsidR="000551F9" w:rsidRPr="00BC000B" w:rsidRDefault="000551F9" w:rsidP="00C9646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708" w:type="pct"/>
            <w:shd w:val="clear" w:color="auto" w:fill="DEEAF6" w:themeFill="accent5" w:themeFillTint="33"/>
          </w:tcPr>
          <w:p w14:paraId="18573EF0" w14:textId="1C5E7EAE" w:rsidR="000551F9" w:rsidRPr="00BC000B" w:rsidRDefault="000B32DE" w:rsidP="00C9646C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7</w:t>
            </w:r>
          </w:p>
        </w:tc>
      </w:tr>
      <w:tr w:rsidR="007F0BFF" w:rsidRPr="00BC000B" w14:paraId="59E4E354" w14:textId="77777777" w:rsidTr="007F0BFF">
        <w:trPr>
          <w:trHeight w:val="345"/>
        </w:trPr>
        <w:tc>
          <w:tcPr>
            <w:tcW w:w="5000" w:type="pct"/>
            <w:gridSpan w:val="8"/>
            <w:shd w:val="clear" w:color="auto" w:fill="DEEAF6" w:themeFill="accent5" w:themeFillTint="33"/>
          </w:tcPr>
          <w:p w14:paraId="556D3707" w14:textId="7C6F05A2" w:rsidR="007F0BFF" w:rsidRPr="003F5399" w:rsidRDefault="003F5399" w:rsidP="00703308">
            <w:pPr>
              <w:numPr>
                <w:ilvl w:val="0"/>
                <w:numId w:val="2"/>
              </w:numPr>
              <w:spacing w:line="276" w:lineRule="auto"/>
              <w:ind w:left="593" w:hanging="233"/>
              <w:contextualSpacing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NURODOMAS PROJEKTO VADOVAS IR SPECIALISTAI, KURIŲ PATIRTIS BUS GRINDŽIAMA </w:t>
            </w:r>
            <w:r w:rsidRPr="005B0D98">
              <w:rPr>
                <w:b/>
                <w:bCs/>
                <w:i/>
                <w:iCs/>
                <w:sz w:val="18"/>
                <w:szCs w:val="18"/>
                <w:u w:val="single"/>
              </w:rPr>
              <w:t>PAGAL KVALIFIKACINIUS REIKALAVIMUS</w:t>
            </w:r>
          </w:p>
        </w:tc>
      </w:tr>
      <w:tr w:rsidR="0041689E" w:rsidRPr="00BC000B" w14:paraId="5B4EEDDA" w14:textId="77777777" w:rsidTr="00DC1E1F">
        <w:trPr>
          <w:trHeight w:val="698"/>
        </w:trPr>
        <w:tc>
          <w:tcPr>
            <w:tcW w:w="193" w:type="pct"/>
            <w:shd w:val="clear" w:color="auto" w:fill="DEEAF6" w:themeFill="accent5" w:themeFillTint="33"/>
          </w:tcPr>
          <w:p w14:paraId="7D8C2D76" w14:textId="6A704663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BC000B">
              <w:rPr>
                <w:rFonts w:cs="Times New Roman"/>
                <w:sz w:val="20"/>
                <w:szCs w:val="20"/>
                <w:lang w:val="lt-LT"/>
              </w:rPr>
              <w:t>1.</w:t>
            </w:r>
            <w:r w:rsidR="003F5399">
              <w:rPr>
                <w:rFonts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433" w:type="pct"/>
            <w:shd w:val="clear" w:color="auto" w:fill="auto"/>
          </w:tcPr>
          <w:p w14:paraId="05B8F08C" w14:textId="561CB81E" w:rsidR="000551F9" w:rsidRPr="00BC000B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>
              <w:rPr>
                <w:rFonts w:cs="Times New Roman"/>
                <w:sz w:val="20"/>
                <w:szCs w:val="20"/>
                <w:lang w:val="lt-LT"/>
              </w:rPr>
              <w:t>Projekto vadovas</w:t>
            </w:r>
          </w:p>
        </w:tc>
        <w:tc>
          <w:tcPr>
            <w:tcW w:w="627" w:type="pct"/>
            <w:shd w:val="clear" w:color="auto" w:fill="auto"/>
          </w:tcPr>
          <w:p w14:paraId="0C242B36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821" w:type="pct"/>
            <w:shd w:val="clear" w:color="auto" w:fill="auto"/>
          </w:tcPr>
          <w:p w14:paraId="629A7E2C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BE749BB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868" w:type="pct"/>
            <w:shd w:val="clear" w:color="auto" w:fill="FFFFFF" w:themeFill="background1"/>
          </w:tcPr>
          <w:p w14:paraId="53046C6A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40760B2F" w14:textId="5D68C05D" w:rsidR="000551F9" w:rsidRPr="00BC000B" w:rsidRDefault="000551F9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0B97D83A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41689E" w:rsidRPr="00BC000B" w14:paraId="1ECA24A4" w14:textId="77777777" w:rsidTr="00DC1E1F">
        <w:trPr>
          <w:trHeight w:val="698"/>
        </w:trPr>
        <w:tc>
          <w:tcPr>
            <w:tcW w:w="193" w:type="pct"/>
            <w:shd w:val="clear" w:color="auto" w:fill="DEEAF6" w:themeFill="accent5" w:themeFillTint="33"/>
          </w:tcPr>
          <w:p w14:paraId="68DCDE68" w14:textId="08EC360E" w:rsidR="000551F9" w:rsidRPr="00BC000B" w:rsidRDefault="003F539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>
              <w:rPr>
                <w:rFonts w:cs="Times New Roman"/>
                <w:sz w:val="20"/>
                <w:szCs w:val="20"/>
                <w:lang w:val="lt-LT"/>
              </w:rPr>
              <w:t>1.2.</w:t>
            </w:r>
            <w:r w:rsidR="000551F9" w:rsidRPr="00BC000B"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33" w:type="pct"/>
            <w:shd w:val="clear" w:color="auto" w:fill="auto"/>
          </w:tcPr>
          <w:p w14:paraId="7C4D37A2" w14:textId="685ECC47" w:rsidR="000551F9" w:rsidRPr="00BC000B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>
              <w:rPr>
                <w:rFonts w:cs="Times New Roman"/>
                <w:sz w:val="20"/>
                <w:szCs w:val="20"/>
                <w:lang w:val="lt-LT"/>
              </w:rPr>
              <w:t>Scenaristas</w:t>
            </w:r>
          </w:p>
        </w:tc>
        <w:tc>
          <w:tcPr>
            <w:tcW w:w="627" w:type="pct"/>
            <w:shd w:val="clear" w:color="auto" w:fill="auto"/>
          </w:tcPr>
          <w:p w14:paraId="24D1B414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821" w:type="pct"/>
            <w:shd w:val="clear" w:color="auto" w:fill="auto"/>
          </w:tcPr>
          <w:p w14:paraId="1BF61BC4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B93E008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30664BB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27531AE6" w14:textId="6DA1E049" w:rsidR="000551F9" w:rsidRPr="00BC000B" w:rsidRDefault="000551F9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A3BAF8A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41689E" w:rsidRPr="00BC000B" w14:paraId="0BBC8360" w14:textId="77777777" w:rsidTr="00DC1E1F">
        <w:trPr>
          <w:trHeight w:val="737"/>
        </w:trPr>
        <w:tc>
          <w:tcPr>
            <w:tcW w:w="193" w:type="pct"/>
            <w:shd w:val="clear" w:color="auto" w:fill="DEEAF6" w:themeFill="accent5" w:themeFillTint="33"/>
          </w:tcPr>
          <w:p w14:paraId="7E07BAA7" w14:textId="150ABF5A" w:rsidR="000551F9" w:rsidRPr="00BC000B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>
              <w:rPr>
                <w:rFonts w:cs="Times New Roman"/>
                <w:sz w:val="20"/>
                <w:szCs w:val="20"/>
                <w:lang w:val="lt-LT"/>
              </w:rPr>
              <w:t>1.3.</w:t>
            </w:r>
          </w:p>
        </w:tc>
        <w:tc>
          <w:tcPr>
            <w:tcW w:w="433" w:type="pct"/>
            <w:shd w:val="clear" w:color="auto" w:fill="auto"/>
          </w:tcPr>
          <w:p w14:paraId="09909F8B" w14:textId="5B889CA6" w:rsidR="000551F9" w:rsidRPr="00BC000B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>
              <w:rPr>
                <w:rFonts w:cs="Times New Roman"/>
                <w:sz w:val="20"/>
                <w:szCs w:val="20"/>
                <w:lang w:val="lt-LT"/>
              </w:rPr>
              <w:t>Režisierius</w:t>
            </w:r>
          </w:p>
        </w:tc>
        <w:tc>
          <w:tcPr>
            <w:tcW w:w="627" w:type="pct"/>
            <w:shd w:val="clear" w:color="auto" w:fill="auto"/>
          </w:tcPr>
          <w:p w14:paraId="5915073B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821" w:type="pct"/>
            <w:shd w:val="clear" w:color="auto" w:fill="auto"/>
          </w:tcPr>
          <w:p w14:paraId="16C35201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E2DB598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A9C8221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0ECA6DC" w14:textId="50ED8D0F" w:rsidR="000551F9" w:rsidRPr="00BC000B" w:rsidRDefault="000551F9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1C9F4AE" w14:textId="77777777" w:rsidR="000551F9" w:rsidRPr="00BC000B" w:rsidRDefault="000551F9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8D5222" w:rsidRPr="00BC000B" w14:paraId="049C4521" w14:textId="77777777" w:rsidTr="00DC1E1F">
        <w:trPr>
          <w:trHeight w:val="737"/>
        </w:trPr>
        <w:tc>
          <w:tcPr>
            <w:tcW w:w="193" w:type="pct"/>
            <w:shd w:val="clear" w:color="auto" w:fill="DEEAF6" w:themeFill="accent5" w:themeFillTint="33"/>
          </w:tcPr>
          <w:p w14:paraId="5847FA50" w14:textId="4A68A9FF" w:rsidR="008D5222" w:rsidRPr="00BC000B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>
              <w:rPr>
                <w:rFonts w:cs="Times New Roman"/>
                <w:sz w:val="20"/>
                <w:szCs w:val="20"/>
                <w:lang w:val="lt-LT"/>
              </w:rPr>
              <w:t>1.4.</w:t>
            </w:r>
          </w:p>
        </w:tc>
        <w:tc>
          <w:tcPr>
            <w:tcW w:w="433" w:type="pct"/>
            <w:shd w:val="clear" w:color="auto" w:fill="auto"/>
          </w:tcPr>
          <w:p w14:paraId="5C5AB0FE" w14:textId="15B86D6D" w:rsidR="008D5222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>
              <w:rPr>
                <w:rFonts w:cs="Times New Roman"/>
                <w:sz w:val="20"/>
                <w:szCs w:val="20"/>
                <w:lang w:val="lt-LT"/>
              </w:rPr>
              <w:t>Operatorius</w:t>
            </w:r>
          </w:p>
        </w:tc>
        <w:tc>
          <w:tcPr>
            <w:tcW w:w="627" w:type="pct"/>
            <w:shd w:val="clear" w:color="auto" w:fill="auto"/>
          </w:tcPr>
          <w:p w14:paraId="1E44E9A0" w14:textId="77777777" w:rsidR="008D5222" w:rsidRPr="00BC000B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821" w:type="pct"/>
            <w:shd w:val="clear" w:color="auto" w:fill="auto"/>
          </w:tcPr>
          <w:p w14:paraId="54C36170" w14:textId="77777777" w:rsidR="008D5222" w:rsidRPr="00BC000B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667DD602" w14:textId="77777777" w:rsidR="008D5222" w:rsidRPr="00BC000B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4880025" w14:textId="77777777" w:rsidR="008D5222" w:rsidRPr="00BC000B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07A30C1" w14:textId="77777777" w:rsidR="008D5222" w:rsidRPr="00BC000B" w:rsidRDefault="008D5222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AAD477D" w14:textId="77777777" w:rsidR="008D5222" w:rsidRPr="00BC000B" w:rsidRDefault="008D5222" w:rsidP="00C9646C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5040F4" w:rsidRPr="00BC000B" w14:paraId="41EBC3F6" w14:textId="77777777" w:rsidTr="006F17F9">
        <w:trPr>
          <w:trHeight w:val="293"/>
        </w:trPr>
        <w:tc>
          <w:tcPr>
            <w:tcW w:w="5000" w:type="pct"/>
            <w:gridSpan w:val="8"/>
            <w:shd w:val="clear" w:color="auto" w:fill="DEEAF6" w:themeFill="accent5" w:themeFillTint="33"/>
          </w:tcPr>
          <w:p w14:paraId="07498F8E" w14:textId="64E21852" w:rsidR="006F17F9" w:rsidRDefault="006F17F9" w:rsidP="00703308">
            <w:pPr>
              <w:pStyle w:val="NoSpacing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II. NURODOM</w:t>
            </w:r>
            <w:r w:rsidR="004A4969">
              <w:rPr>
                <w:b/>
                <w:bCs/>
                <w:i/>
                <w:iCs/>
                <w:sz w:val="18"/>
                <w:szCs w:val="18"/>
              </w:rPr>
              <w:t>AS PROJEKTO VADOVAS IR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SPECIALISTAI, KURIŲ PATIRTIS BUS</w:t>
            </w:r>
            <w:r w:rsidR="009208FA">
              <w:rPr>
                <w:b/>
                <w:bCs/>
                <w:i/>
                <w:iCs/>
                <w:sz w:val="18"/>
                <w:szCs w:val="18"/>
              </w:rPr>
              <w:t xml:space="preserve"> VERTINAMA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55DD8" w:rsidRPr="009208FA">
              <w:rPr>
                <w:b/>
                <w:bCs/>
                <w:i/>
                <w:iCs/>
                <w:sz w:val="18"/>
                <w:szCs w:val="18"/>
                <w:u w:val="single"/>
              </w:rPr>
              <w:t>EKONOMINIAM NAUDINGUMUI PAGRĮSTI</w:t>
            </w:r>
          </w:p>
          <w:p w14:paraId="6329493E" w14:textId="77777777" w:rsidR="005040F4" w:rsidRPr="00BC000B" w:rsidRDefault="005040F4" w:rsidP="00160CD0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E553B8" w:rsidRPr="00BC000B" w14:paraId="080E93DB" w14:textId="77777777" w:rsidTr="00DC1E1F">
        <w:trPr>
          <w:trHeight w:val="293"/>
        </w:trPr>
        <w:tc>
          <w:tcPr>
            <w:tcW w:w="193" w:type="pct"/>
            <w:shd w:val="clear" w:color="auto" w:fill="DEEAF6" w:themeFill="accent5" w:themeFillTint="33"/>
          </w:tcPr>
          <w:p w14:paraId="02B419DC" w14:textId="4002E233" w:rsidR="00E553B8" w:rsidRPr="00677074" w:rsidRDefault="00E553B8" w:rsidP="006F17F9">
            <w:pPr>
              <w:pStyle w:val="NoSpacing"/>
              <w:rPr>
                <w:sz w:val="18"/>
                <w:szCs w:val="18"/>
              </w:rPr>
            </w:pPr>
            <w:r w:rsidRPr="00677074">
              <w:rPr>
                <w:sz w:val="18"/>
                <w:szCs w:val="18"/>
              </w:rPr>
              <w:t>2.1.</w:t>
            </w:r>
          </w:p>
        </w:tc>
        <w:tc>
          <w:tcPr>
            <w:tcW w:w="433" w:type="pct"/>
            <w:shd w:val="clear" w:color="auto" w:fill="FFFFFF" w:themeFill="background1"/>
          </w:tcPr>
          <w:p w14:paraId="59C70454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  <w:r w:rsidRPr="003A5559">
              <w:rPr>
                <w:noProof/>
                <w:sz w:val="20"/>
                <w:szCs w:val="20"/>
                <w:lang w:val="lt-LT"/>
              </w:rPr>
              <w:t>Projekto vadovas</w:t>
            </w:r>
          </w:p>
          <w:p w14:paraId="4743E0F3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  <w:p w14:paraId="61FA2456" w14:textId="15C9AFCA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5450DAF9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FFFFFF" w:themeFill="background1"/>
          </w:tcPr>
          <w:p w14:paraId="3CED533B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79ED0ED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FFFFFF" w:themeFill="background1"/>
          </w:tcPr>
          <w:p w14:paraId="22C213C7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0BB9711A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22B4AAF1" w14:textId="7B82BF84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553B8" w:rsidRPr="00BC000B" w14:paraId="754A4A8B" w14:textId="77777777" w:rsidTr="00DC1E1F">
        <w:trPr>
          <w:trHeight w:val="293"/>
        </w:trPr>
        <w:tc>
          <w:tcPr>
            <w:tcW w:w="193" w:type="pct"/>
            <w:shd w:val="clear" w:color="auto" w:fill="DEEAF6" w:themeFill="accent5" w:themeFillTint="33"/>
          </w:tcPr>
          <w:p w14:paraId="1BF808C6" w14:textId="7AFD0A15" w:rsidR="00E553B8" w:rsidRPr="00677074" w:rsidRDefault="00E553B8" w:rsidP="006F17F9">
            <w:pPr>
              <w:pStyle w:val="NoSpacing"/>
              <w:rPr>
                <w:sz w:val="18"/>
                <w:szCs w:val="18"/>
              </w:rPr>
            </w:pPr>
            <w:r w:rsidRPr="00677074">
              <w:rPr>
                <w:sz w:val="18"/>
                <w:szCs w:val="18"/>
              </w:rPr>
              <w:t>2.2.</w:t>
            </w:r>
          </w:p>
        </w:tc>
        <w:tc>
          <w:tcPr>
            <w:tcW w:w="433" w:type="pct"/>
            <w:shd w:val="clear" w:color="auto" w:fill="FFFFFF" w:themeFill="background1"/>
          </w:tcPr>
          <w:p w14:paraId="21762580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  <w:r w:rsidRPr="003A5559">
              <w:rPr>
                <w:noProof/>
                <w:sz w:val="20"/>
                <w:szCs w:val="20"/>
                <w:lang w:val="lt-LT"/>
              </w:rPr>
              <w:t>Scenaristas</w:t>
            </w:r>
          </w:p>
          <w:p w14:paraId="7B4CD4FE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  <w:p w14:paraId="76536DC4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  <w:p w14:paraId="1575502D" w14:textId="6D87ABFE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50918352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FFFFFF" w:themeFill="background1"/>
          </w:tcPr>
          <w:p w14:paraId="7967CABC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1DD9885C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FFFFFF" w:themeFill="background1"/>
          </w:tcPr>
          <w:p w14:paraId="3D50E0DA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3615BD5D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7B0E7924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553B8" w:rsidRPr="00BC000B" w14:paraId="2E13D755" w14:textId="77777777" w:rsidTr="00DC1E1F">
        <w:trPr>
          <w:trHeight w:val="293"/>
        </w:trPr>
        <w:tc>
          <w:tcPr>
            <w:tcW w:w="193" w:type="pct"/>
            <w:shd w:val="clear" w:color="auto" w:fill="DEEAF6" w:themeFill="accent5" w:themeFillTint="33"/>
          </w:tcPr>
          <w:p w14:paraId="1F6FC960" w14:textId="1F64A97D" w:rsidR="00E553B8" w:rsidRPr="00677074" w:rsidRDefault="00E553B8" w:rsidP="006F17F9">
            <w:pPr>
              <w:pStyle w:val="NoSpacing"/>
              <w:rPr>
                <w:sz w:val="18"/>
                <w:szCs w:val="18"/>
              </w:rPr>
            </w:pPr>
            <w:r w:rsidRPr="00677074">
              <w:rPr>
                <w:sz w:val="18"/>
                <w:szCs w:val="18"/>
              </w:rPr>
              <w:t>2.3.</w:t>
            </w:r>
          </w:p>
        </w:tc>
        <w:tc>
          <w:tcPr>
            <w:tcW w:w="433" w:type="pct"/>
            <w:shd w:val="clear" w:color="auto" w:fill="FFFFFF" w:themeFill="background1"/>
          </w:tcPr>
          <w:p w14:paraId="4CFE9E72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  <w:r w:rsidRPr="003A5559">
              <w:rPr>
                <w:noProof/>
                <w:sz w:val="20"/>
                <w:szCs w:val="20"/>
                <w:lang w:val="lt-LT"/>
              </w:rPr>
              <w:t>Režisierius</w:t>
            </w:r>
          </w:p>
          <w:p w14:paraId="42C31696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  <w:p w14:paraId="3BFE5768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  <w:p w14:paraId="1E8D2684" w14:textId="18C12943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280B6A19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FFFFFF" w:themeFill="background1"/>
          </w:tcPr>
          <w:p w14:paraId="58F21A3F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AE5C292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FFFFFF" w:themeFill="background1"/>
          </w:tcPr>
          <w:p w14:paraId="3B663328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5AC55062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5EA9AB0C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553B8" w:rsidRPr="00BC000B" w14:paraId="17502AF6" w14:textId="77777777" w:rsidTr="00DC1E1F">
        <w:trPr>
          <w:trHeight w:val="293"/>
        </w:trPr>
        <w:tc>
          <w:tcPr>
            <w:tcW w:w="193" w:type="pct"/>
            <w:shd w:val="clear" w:color="auto" w:fill="DEEAF6" w:themeFill="accent5" w:themeFillTint="33"/>
          </w:tcPr>
          <w:p w14:paraId="10BFC1E4" w14:textId="6FB09FA8" w:rsidR="00E553B8" w:rsidRPr="00677074" w:rsidRDefault="00E553B8" w:rsidP="006F17F9">
            <w:pPr>
              <w:pStyle w:val="NoSpacing"/>
              <w:rPr>
                <w:sz w:val="18"/>
                <w:szCs w:val="18"/>
              </w:rPr>
            </w:pPr>
            <w:r w:rsidRPr="00677074">
              <w:rPr>
                <w:sz w:val="18"/>
                <w:szCs w:val="18"/>
              </w:rPr>
              <w:t>2.4.</w:t>
            </w:r>
          </w:p>
        </w:tc>
        <w:tc>
          <w:tcPr>
            <w:tcW w:w="433" w:type="pct"/>
            <w:shd w:val="clear" w:color="auto" w:fill="FFFFFF" w:themeFill="background1"/>
          </w:tcPr>
          <w:p w14:paraId="38F1B9EA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  <w:r w:rsidRPr="003A5559">
              <w:rPr>
                <w:noProof/>
                <w:sz w:val="20"/>
                <w:szCs w:val="20"/>
                <w:lang w:val="lt-LT"/>
              </w:rPr>
              <w:t>Operatorius</w:t>
            </w:r>
          </w:p>
          <w:p w14:paraId="0FD48F72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  <w:p w14:paraId="6D2ACB5E" w14:textId="77777777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  <w:p w14:paraId="277DF83C" w14:textId="5780DCF6" w:rsidR="00E553B8" w:rsidRPr="003A5559" w:rsidRDefault="00E553B8" w:rsidP="006F17F9">
            <w:pPr>
              <w:pStyle w:val="NoSpacing"/>
              <w:rPr>
                <w:noProof/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26A8D650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FFFFFF" w:themeFill="background1"/>
          </w:tcPr>
          <w:p w14:paraId="36327D9A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A093BCF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FFFFFF" w:themeFill="background1"/>
          </w:tcPr>
          <w:p w14:paraId="5F485D3F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762E2D0C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FFFFFF" w:themeFill="background1"/>
          </w:tcPr>
          <w:p w14:paraId="64832C87" w14:textId="77777777" w:rsidR="00E553B8" w:rsidRDefault="00E553B8" w:rsidP="006F17F9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3D3E1B54" w14:textId="77777777" w:rsidR="00322535" w:rsidRDefault="00322535" w:rsidP="0032253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0"/>
          <w:bdr w:val="nil"/>
        </w:rPr>
      </w:pPr>
    </w:p>
    <w:p w14:paraId="67D8A7C8" w14:textId="21BBD098" w:rsidR="00322535" w:rsidRPr="00322535" w:rsidRDefault="00322535" w:rsidP="0032253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0"/>
          <w:bdr w:val="nil"/>
        </w:rPr>
      </w:pPr>
      <w:r w:rsidRPr="00322535">
        <w:rPr>
          <w:rFonts w:eastAsia="Arial Unicode MS"/>
          <w:i/>
          <w:iCs/>
          <w:sz w:val="20"/>
          <w:bdr w:val="nil"/>
        </w:rPr>
        <w:t>Specialistų patirtis skaičiuojama mėnesiais. Jei keliamas reikalavimas turėti specialistui patirtį konkrečioje srityje, pavyzdžiui ne mažiau kaip 1 (vienerius) metus, tai turi būti suminė patirtis ne mažiau kaip 12 mėn. Darbo patirtis tuo pačiu laikotarpiu vykdant skirtingas sutartis arba užimant pareigas keliose darbovietėse nėra sumuojama (pvz. jeigu 2022 m. balandžio 1 d. – gegužės 31 d. buvo užimamos pareigos dviejose darbovietėse, bus laikoma, kad įgyta 2 mėnesių patirtis). Tuo atveju, jeigu specialistas dirbo ne pilną mėnesį, patirtis skaičiuojama taip: jeigu per mėnesį dirbta mažiau kaip 15 atitinkamo mėnesio kalendorinių dienų, laikoma, kad neturi 1 mėnesio patirties, jeigu per mėnesį dirbta ne mažiau kaip 15 atitinkamo mėnesio kalendorinių dienų, laikoma, kad turi 1 mėnesio patirtį.</w:t>
      </w:r>
    </w:p>
    <w:p w14:paraId="17FD4ED2" w14:textId="39D96575" w:rsidR="00FA2EDE" w:rsidRDefault="00FA2EDE" w:rsidP="00B1636D">
      <w:pPr>
        <w:tabs>
          <w:tab w:val="left" w:pos="4224"/>
          <w:tab w:val="left" w:pos="4932"/>
        </w:tabs>
        <w:jc w:val="both"/>
        <w:rPr>
          <w:szCs w:val="24"/>
          <w:lang w:eastAsia="ar-SA"/>
        </w:rPr>
      </w:pPr>
    </w:p>
    <w:p w14:paraId="1A5176F0" w14:textId="77777777" w:rsidR="00B457F5" w:rsidRDefault="00B457F5" w:rsidP="00ED3FA9">
      <w:pPr>
        <w:jc w:val="both"/>
        <w:rPr>
          <w:rFonts w:asciiTheme="majorBidi" w:hAnsiTheme="majorBidi" w:cstheme="majorBidi"/>
          <w:i/>
          <w:iCs/>
          <w:sz w:val="22"/>
          <w:szCs w:val="22"/>
        </w:rPr>
      </w:pPr>
    </w:p>
    <w:p w14:paraId="5DAFFD43" w14:textId="77777777" w:rsidR="00FA52B6" w:rsidRDefault="00FA52B6" w:rsidP="00FA52B6">
      <w:pPr>
        <w:tabs>
          <w:tab w:val="left" w:pos="4224"/>
          <w:tab w:val="left" w:pos="4932"/>
        </w:tabs>
        <w:jc w:val="both"/>
        <w:rPr>
          <w:b/>
          <w:bCs/>
          <w:sz w:val="20"/>
        </w:rPr>
      </w:pPr>
      <w:bookmarkStart w:id="0" w:name="_Hlk163200779"/>
      <w:r>
        <w:rPr>
          <w:b/>
          <w:bCs/>
          <w:sz w:val="20"/>
          <w:lang w:eastAsia="ar-SA"/>
        </w:rPr>
        <w:t xml:space="preserve">PASTABA. Perkančioji organizacija atkreipia dėmesį, kad </w:t>
      </w:r>
      <w:r>
        <w:rPr>
          <w:rFonts w:eastAsia="Calibri"/>
          <w:b/>
          <w:bCs/>
          <w:sz w:val="20"/>
        </w:rPr>
        <w:t>t</w:t>
      </w:r>
      <w:r>
        <w:rPr>
          <w:b/>
          <w:bCs/>
          <w:sz w:val="20"/>
          <w:lang w:eastAsia="ar-SA"/>
        </w:rPr>
        <w:t xml:space="preserve">iekėjams nebus leidžiama pakeisti ar papildyti lentelėje nurodytos informacijos (išskyrus dokumento formą), kadangi lentelėje pateikta informacija yra susijusi su </w:t>
      </w:r>
      <w:r>
        <w:rPr>
          <w:b/>
          <w:bCs/>
          <w:sz w:val="20"/>
        </w:rPr>
        <w:t>ekonomiškai naudingiausio pasiūlymo vertinimo kriterijais. Duomenys ir (arba) dokumentai tikslinami, aiškinami vadovaujantis Viešųjų pirkimų tarnybos nustatytomis taisyklėmis</w:t>
      </w:r>
      <w:r>
        <w:rPr>
          <w:rStyle w:val="FootnoteReference"/>
          <w:b/>
          <w:bCs/>
          <w:sz w:val="20"/>
        </w:rPr>
        <w:footnoteReference w:id="3"/>
      </w:r>
      <w:bookmarkEnd w:id="0"/>
    </w:p>
    <w:p w14:paraId="2960322C" w14:textId="77777777" w:rsidR="00ED3FA9" w:rsidRPr="00F2725B" w:rsidRDefault="00ED3FA9" w:rsidP="00B1636D">
      <w:pPr>
        <w:tabs>
          <w:tab w:val="left" w:pos="4224"/>
          <w:tab w:val="left" w:pos="4932"/>
        </w:tabs>
        <w:jc w:val="both"/>
        <w:rPr>
          <w:szCs w:val="24"/>
          <w:lang w:eastAsia="ar-SA"/>
        </w:rPr>
      </w:pPr>
    </w:p>
    <w:sectPr w:rsidR="00ED3FA9" w:rsidRPr="00F2725B" w:rsidSect="00E127CF"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B7AB" w14:textId="77777777" w:rsidR="002628B2" w:rsidRDefault="002628B2" w:rsidP="000F04C2">
      <w:r>
        <w:separator/>
      </w:r>
    </w:p>
  </w:endnote>
  <w:endnote w:type="continuationSeparator" w:id="0">
    <w:p w14:paraId="214E350A" w14:textId="77777777" w:rsidR="002628B2" w:rsidRDefault="002628B2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D5E5" w14:textId="77777777" w:rsidR="002628B2" w:rsidRDefault="002628B2" w:rsidP="000F04C2">
      <w:r>
        <w:separator/>
      </w:r>
    </w:p>
  </w:footnote>
  <w:footnote w:type="continuationSeparator" w:id="0">
    <w:p w14:paraId="6571B3EB" w14:textId="77777777" w:rsidR="002628B2" w:rsidRDefault="002628B2" w:rsidP="000F04C2">
      <w:r>
        <w:continuationSeparator/>
      </w:r>
    </w:p>
  </w:footnote>
  <w:footnote w:id="1">
    <w:p w14:paraId="204825F1" w14:textId="77777777" w:rsidR="00DA7B6F" w:rsidRDefault="00DA7B6F" w:rsidP="007D17D7">
      <w:pPr>
        <w:jc w:val="both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>Jeigu pasitelkiamas specialistas nėra tiekėjo darbuotojas</w:t>
      </w:r>
      <w: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, kartu su pasiūlymų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turi būti pateikiamas specialisto sutikimas, ketinimų protokolas, sutartis arba kitas dokumentas,</w:t>
      </w:r>
      <w:r>
        <w:rPr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>sudarytas iki pasiūlymų pateikimo termino pabaigos, įrodantis, kad specialisto ištekliai tiekėjui laimėjus konkursą ir pasirašius viešojo pirkimo sutartį bus prieinami.</w:t>
      </w:r>
    </w:p>
  </w:footnote>
  <w:footnote w:id="2">
    <w:p w14:paraId="1102850B" w14:textId="39F9B715" w:rsidR="00C33389" w:rsidRPr="008001A2" w:rsidRDefault="00C33389" w:rsidP="00C33389">
      <w:pPr>
        <w:jc w:val="both"/>
        <w:rPr>
          <w:sz w:val="18"/>
          <w:szCs w:val="18"/>
        </w:rPr>
      </w:pPr>
      <w:r>
        <w:rPr>
          <w:sz w:val="20"/>
        </w:rPr>
        <w:t xml:space="preserve">    </w:t>
      </w:r>
      <w:r w:rsidRPr="008001A2">
        <w:rPr>
          <w:sz w:val="20"/>
          <w:vertAlign w:val="superscript"/>
        </w:rPr>
        <w:footnoteRef/>
      </w:r>
      <w:r w:rsidRPr="008001A2">
        <w:rPr>
          <w:sz w:val="20"/>
        </w:rPr>
        <w:t xml:space="preserve"> </w:t>
      </w:r>
      <w:r w:rsidRPr="008001A2">
        <w:rPr>
          <w:bCs/>
          <w:sz w:val="18"/>
          <w:szCs w:val="18"/>
        </w:rPr>
        <w:t xml:space="preserve">Pateikiama tiek ir tokios informacijos, kad perkančioji organizacija galėtų </w:t>
      </w:r>
      <w:r w:rsidRPr="008001A2">
        <w:rPr>
          <w:b/>
          <w:sz w:val="18"/>
          <w:szCs w:val="18"/>
          <w:u w:val="single"/>
        </w:rPr>
        <w:t>visiškai</w:t>
      </w:r>
      <w:r w:rsidRPr="008001A2">
        <w:rPr>
          <w:b/>
          <w:sz w:val="18"/>
          <w:szCs w:val="18"/>
        </w:rPr>
        <w:t xml:space="preserve"> </w:t>
      </w:r>
      <w:r w:rsidRPr="008001A2">
        <w:rPr>
          <w:bCs/>
          <w:sz w:val="18"/>
          <w:szCs w:val="18"/>
        </w:rPr>
        <w:t>įsitikinti, ar siūlomi specialistai turi nurodytą reikalaujamą patirtį, net jei lentelėje nėra išskirtas atitinkamai informacijai atskiras stulpelis</w:t>
      </w:r>
      <w:r w:rsidRPr="008001A2">
        <w:rPr>
          <w:bCs/>
          <w:color w:val="FF0000"/>
          <w:sz w:val="18"/>
          <w:szCs w:val="18"/>
        </w:rPr>
        <w:t>.</w:t>
      </w:r>
    </w:p>
    <w:p w14:paraId="1B87C6EE" w14:textId="28B6A468" w:rsidR="00C33389" w:rsidRDefault="00C33389">
      <w:pPr>
        <w:pStyle w:val="FootnoteText"/>
      </w:pPr>
    </w:p>
  </w:footnote>
  <w:footnote w:id="3">
    <w:p w14:paraId="4393CF94" w14:textId="77777777" w:rsidR="00FA52B6" w:rsidRDefault="00FA52B6" w:rsidP="00FA52B6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https://e-tar.lt/portal/lt/legalAct/66ae9a80883011ed8df094f359a60216/asr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64E6A"/>
    <w:multiLevelType w:val="hybridMultilevel"/>
    <w:tmpl w:val="E38AE704"/>
    <w:lvl w:ilvl="0" w:tplc="DE70FD7A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1"/>
  </w:num>
  <w:num w:numId="2" w16cid:durableId="1601638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048E"/>
    <w:rsid w:val="000315AD"/>
    <w:rsid w:val="00031BAA"/>
    <w:rsid w:val="00047A9F"/>
    <w:rsid w:val="000551F9"/>
    <w:rsid w:val="000577C0"/>
    <w:rsid w:val="00064C27"/>
    <w:rsid w:val="00072EE8"/>
    <w:rsid w:val="00083C00"/>
    <w:rsid w:val="00085DD0"/>
    <w:rsid w:val="000B0FDD"/>
    <w:rsid w:val="000B32DE"/>
    <w:rsid w:val="000B458F"/>
    <w:rsid w:val="000B6715"/>
    <w:rsid w:val="000C1483"/>
    <w:rsid w:val="000C2ABA"/>
    <w:rsid w:val="000E17A0"/>
    <w:rsid w:val="000F04C2"/>
    <w:rsid w:val="001065B6"/>
    <w:rsid w:val="00116AAF"/>
    <w:rsid w:val="00134AA4"/>
    <w:rsid w:val="00135F14"/>
    <w:rsid w:val="001505E1"/>
    <w:rsid w:val="00160CD0"/>
    <w:rsid w:val="00183D7B"/>
    <w:rsid w:val="00191307"/>
    <w:rsid w:val="0019180F"/>
    <w:rsid w:val="00192ACC"/>
    <w:rsid w:val="001A100A"/>
    <w:rsid w:val="001A4192"/>
    <w:rsid w:val="001A5FD8"/>
    <w:rsid w:val="001B149B"/>
    <w:rsid w:val="001B3A2D"/>
    <w:rsid w:val="001B485A"/>
    <w:rsid w:val="001B5CD8"/>
    <w:rsid w:val="001D4134"/>
    <w:rsid w:val="001E6F01"/>
    <w:rsid w:val="00201608"/>
    <w:rsid w:val="002055B2"/>
    <w:rsid w:val="00211389"/>
    <w:rsid w:val="002151FB"/>
    <w:rsid w:val="0022683A"/>
    <w:rsid w:val="00233D00"/>
    <w:rsid w:val="002454A8"/>
    <w:rsid w:val="002466A0"/>
    <w:rsid w:val="00251926"/>
    <w:rsid w:val="00251EBD"/>
    <w:rsid w:val="00253B1D"/>
    <w:rsid w:val="0025524A"/>
    <w:rsid w:val="00255F9E"/>
    <w:rsid w:val="00260C3C"/>
    <w:rsid w:val="002628B2"/>
    <w:rsid w:val="00270C0B"/>
    <w:rsid w:val="002726BB"/>
    <w:rsid w:val="00293895"/>
    <w:rsid w:val="00295C72"/>
    <w:rsid w:val="002B25B5"/>
    <w:rsid w:val="002B3DD5"/>
    <w:rsid w:val="002E0A23"/>
    <w:rsid w:val="002E634B"/>
    <w:rsid w:val="002F2FF4"/>
    <w:rsid w:val="0030324E"/>
    <w:rsid w:val="00322535"/>
    <w:rsid w:val="0032284E"/>
    <w:rsid w:val="00324033"/>
    <w:rsid w:val="00325FD2"/>
    <w:rsid w:val="00335016"/>
    <w:rsid w:val="00352878"/>
    <w:rsid w:val="00352C85"/>
    <w:rsid w:val="003538F3"/>
    <w:rsid w:val="0035528C"/>
    <w:rsid w:val="00356167"/>
    <w:rsid w:val="003737B2"/>
    <w:rsid w:val="003757AF"/>
    <w:rsid w:val="00383C96"/>
    <w:rsid w:val="003927C2"/>
    <w:rsid w:val="00393DD7"/>
    <w:rsid w:val="003976D3"/>
    <w:rsid w:val="003A187A"/>
    <w:rsid w:val="003A5559"/>
    <w:rsid w:val="003A5A19"/>
    <w:rsid w:val="003A7E9F"/>
    <w:rsid w:val="003B2A1C"/>
    <w:rsid w:val="003D1458"/>
    <w:rsid w:val="003D2E6D"/>
    <w:rsid w:val="003D518C"/>
    <w:rsid w:val="003E39C6"/>
    <w:rsid w:val="003E7CB9"/>
    <w:rsid w:val="003F5399"/>
    <w:rsid w:val="003F6A73"/>
    <w:rsid w:val="00415244"/>
    <w:rsid w:val="0041689E"/>
    <w:rsid w:val="0041699D"/>
    <w:rsid w:val="00416C15"/>
    <w:rsid w:val="0042176C"/>
    <w:rsid w:val="00434697"/>
    <w:rsid w:val="004475DF"/>
    <w:rsid w:val="00453C7F"/>
    <w:rsid w:val="00457023"/>
    <w:rsid w:val="00462DE0"/>
    <w:rsid w:val="0046377B"/>
    <w:rsid w:val="00474312"/>
    <w:rsid w:val="00475A15"/>
    <w:rsid w:val="00476AC0"/>
    <w:rsid w:val="004A4969"/>
    <w:rsid w:val="004C03BB"/>
    <w:rsid w:val="004C6B53"/>
    <w:rsid w:val="004D7CBF"/>
    <w:rsid w:val="004E4A9A"/>
    <w:rsid w:val="004F0A70"/>
    <w:rsid w:val="004F5CBC"/>
    <w:rsid w:val="00503467"/>
    <w:rsid w:val="0050404E"/>
    <w:rsid w:val="005040F4"/>
    <w:rsid w:val="00511EEA"/>
    <w:rsid w:val="005162A1"/>
    <w:rsid w:val="0052701F"/>
    <w:rsid w:val="0054169E"/>
    <w:rsid w:val="0054592C"/>
    <w:rsid w:val="00566FF8"/>
    <w:rsid w:val="00570332"/>
    <w:rsid w:val="00573101"/>
    <w:rsid w:val="00576B9F"/>
    <w:rsid w:val="00591357"/>
    <w:rsid w:val="00592C80"/>
    <w:rsid w:val="005972B9"/>
    <w:rsid w:val="005A4A93"/>
    <w:rsid w:val="005B0D98"/>
    <w:rsid w:val="005B32E0"/>
    <w:rsid w:val="005C0588"/>
    <w:rsid w:val="005C0FAF"/>
    <w:rsid w:val="005D1742"/>
    <w:rsid w:val="005E0EDF"/>
    <w:rsid w:val="005F6991"/>
    <w:rsid w:val="005F7B1B"/>
    <w:rsid w:val="00605FA2"/>
    <w:rsid w:val="00606E36"/>
    <w:rsid w:val="00612D8B"/>
    <w:rsid w:val="006207F5"/>
    <w:rsid w:val="006273FA"/>
    <w:rsid w:val="00630001"/>
    <w:rsid w:val="0063614A"/>
    <w:rsid w:val="00651551"/>
    <w:rsid w:val="00676049"/>
    <w:rsid w:val="00676D50"/>
    <w:rsid w:val="00677074"/>
    <w:rsid w:val="00681758"/>
    <w:rsid w:val="006825A5"/>
    <w:rsid w:val="00696F7C"/>
    <w:rsid w:val="006B342A"/>
    <w:rsid w:val="006B5E18"/>
    <w:rsid w:val="006C1219"/>
    <w:rsid w:val="006C5807"/>
    <w:rsid w:val="006E5B26"/>
    <w:rsid w:val="006E7909"/>
    <w:rsid w:val="006F17F9"/>
    <w:rsid w:val="00703308"/>
    <w:rsid w:val="007037FC"/>
    <w:rsid w:val="00705BEA"/>
    <w:rsid w:val="00720763"/>
    <w:rsid w:val="00721AB3"/>
    <w:rsid w:val="00731300"/>
    <w:rsid w:val="007420AB"/>
    <w:rsid w:val="00744A03"/>
    <w:rsid w:val="00746365"/>
    <w:rsid w:val="007635DB"/>
    <w:rsid w:val="00767595"/>
    <w:rsid w:val="0077033E"/>
    <w:rsid w:val="00770745"/>
    <w:rsid w:val="00771F09"/>
    <w:rsid w:val="00790FAA"/>
    <w:rsid w:val="00792192"/>
    <w:rsid w:val="007933C6"/>
    <w:rsid w:val="00793482"/>
    <w:rsid w:val="007979D3"/>
    <w:rsid w:val="007A2226"/>
    <w:rsid w:val="007A30B7"/>
    <w:rsid w:val="007B2584"/>
    <w:rsid w:val="007B6ED6"/>
    <w:rsid w:val="007B7FF8"/>
    <w:rsid w:val="007C5589"/>
    <w:rsid w:val="007C6447"/>
    <w:rsid w:val="007D17D7"/>
    <w:rsid w:val="007D7D7F"/>
    <w:rsid w:val="007E0B3A"/>
    <w:rsid w:val="007E2CA6"/>
    <w:rsid w:val="007F0BFF"/>
    <w:rsid w:val="008001A2"/>
    <w:rsid w:val="00806D24"/>
    <w:rsid w:val="00827822"/>
    <w:rsid w:val="00830030"/>
    <w:rsid w:val="00834245"/>
    <w:rsid w:val="008508FF"/>
    <w:rsid w:val="00852470"/>
    <w:rsid w:val="008546BA"/>
    <w:rsid w:val="00855D5D"/>
    <w:rsid w:val="00855DD8"/>
    <w:rsid w:val="00874121"/>
    <w:rsid w:val="00880E11"/>
    <w:rsid w:val="00883D21"/>
    <w:rsid w:val="008862E1"/>
    <w:rsid w:val="00893D2F"/>
    <w:rsid w:val="00896A9E"/>
    <w:rsid w:val="00897098"/>
    <w:rsid w:val="008A04E4"/>
    <w:rsid w:val="008B0D40"/>
    <w:rsid w:val="008B36DC"/>
    <w:rsid w:val="008B3ED9"/>
    <w:rsid w:val="008B52F3"/>
    <w:rsid w:val="008B70ED"/>
    <w:rsid w:val="008D5222"/>
    <w:rsid w:val="008E4A1E"/>
    <w:rsid w:val="008E7BDE"/>
    <w:rsid w:val="008F14FC"/>
    <w:rsid w:val="008F5232"/>
    <w:rsid w:val="008F6098"/>
    <w:rsid w:val="00901745"/>
    <w:rsid w:val="009208FA"/>
    <w:rsid w:val="00933A5B"/>
    <w:rsid w:val="00933F31"/>
    <w:rsid w:val="00942DB7"/>
    <w:rsid w:val="0094325D"/>
    <w:rsid w:val="0095328C"/>
    <w:rsid w:val="009564B2"/>
    <w:rsid w:val="009658F9"/>
    <w:rsid w:val="009671E7"/>
    <w:rsid w:val="00980A59"/>
    <w:rsid w:val="0098326C"/>
    <w:rsid w:val="00983DD5"/>
    <w:rsid w:val="00991BC1"/>
    <w:rsid w:val="009942E2"/>
    <w:rsid w:val="009A248D"/>
    <w:rsid w:val="009A6671"/>
    <w:rsid w:val="009B3D5D"/>
    <w:rsid w:val="009B74B8"/>
    <w:rsid w:val="009C5584"/>
    <w:rsid w:val="009D1C8C"/>
    <w:rsid w:val="009D2AB4"/>
    <w:rsid w:val="009E0817"/>
    <w:rsid w:val="009E0C86"/>
    <w:rsid w:val="009E2452"/>
    <w:rsid w:val="009E62D1"/>
    <w:rsid w:val="009F0D90"/>
    <w:rsid w:val="00A3398B"/>
    <w:rsid w:val="00A34B16"/>
    <w:rsid w:val="00A45E41"/>
    <w:rsid w:val="00A47A55"/>
    <w:rsid w:val="00A54B50"/>
    <w:rsid w:val="00A56E09"/>
    <w:rsid w:val="00A664C5"/>
    <w:rsid w:val="00A66534"/>
    <w:rsid w:val="00A71252"/>
    <w:rsid w:val="00A751F2"/>
    <w:rsid w:val="00A820D4"/>
    <w:rsid w:val="00A87866"/>
    <w:rsid w:val="00AB5483"/>
    <w:rsid w:val="00AB59A5"/>
    <w:rsid w:val="00AD5400"/>
    <w:rsid w:val="00AD55E1"/>
    <w:rsid w:val="00AE2C45"/>
    <w:rsid w:val="00AE33E5"/>
    <w:rsid w:val="00AF68CE"/>
    <w:rsid w:val="00B027E2"/>
    <w:rsid w:val="00B162CE"/>
    <w:rsid w:val="00B1636D"/>
    <w:rsid w:val="00B17E60"/>
    <w:rsid w:val="00B23FE7"/>
    <w:rsid w:val="00B25743"/>
    <w:rsid w:val="00B25EA4"/>
    <w:rsid w:val="00B27A20"/>
    <w:rsid w:val="00B37E4C"/>
    <w:rsid w:val="00B457F5"/>
    <w:rsid w:val="00B622C8"/>
    <w:rsid w:val="00B7077C"/>
    <w:rsid w:val="00B733E6"/>
    <w:rsid w:val="00B922BB"/>
    <w:rsid w:val="00BC000B"/>
    <w:rsid w:val="00BC2139"/>
    <w:rsid w:val="00BC3EC3"/>
    <w:rsid w:val="00BC42EA"/>
    <w:rsid w:val="00BC747C"/>
    <w:rsid w:val="00BD29AC"/>
    <w:rsid w:val="00BD5206"/>
    <w:rsid w:val="00BD6304"/>
    <w:rsid w:val="00C022A8"/>
    <w:rsid w:val="00C12E51"/>
    <w:rsid w:val="00C23BCB"/>
    <w:rsid w:val="00C33389"/>
    <w:rsid w:val="00C34273"/>
    <w:rsid w:val="00C403D4"/>
    <w:rsid w:val="00C44556"/>
    <w:rsid w:val="00C51B4E"/>
    <w:rsid w:val="00C552BA"/>
    <w:rsid w:val="00C62E42"/>
    <w:rsid w:val="00C62E69"/>
    <w:rsid w:val="00C6423D"/>
    <w:rsid w:val="00C64C8E"/>
    <w:rsid w:val="00C65568"/>
    <w:rsid w:val="00C70819"/>
    <w:rsid w:val="00C92A08"/>
    <w:rsid w:val="00CA5CDF"/>
    <w:rsid w:val="00CA724A"/>
    <w:rsid w:val="00CB1303"/>
    <w:rsid w:val="00CC74CB"/>
    <w:rsid w:val="00CE6A0D"/>
    <w:rsid w:val="00CF5030"/>
    <w:rsid w:val="00D013F6"/>
    <w:rsid w:val="00D01A19"/>
    <w:rsid w:val="00D02046"/>
    <w:rsid w:val="00D071CE"/>
    <w:rsid w:val="00D1702B"/>
    <w:rsid w:val="00D24409"/>
    <w:rsid w:val="00D34D60"/>
    <w:rsid w:val="00D35B5D"/>
    <w:rsid w:val="00D55C6C"/>
    <w:rsid w:val="00D62E86"/>
    <w:rsid w:val="00D63C88"/>
    <w:rsid w:val="00D64048"/>
    <w:rsid w:val="00D73B68"/>
    <w:rsid w:val="00D8428C"/>
    <w:rsid w:val="00D951E9"/>
    <w:rsid w:val="00DA03F2"/>
    <w:rsid w:val="00DA38A1"/>
    <w:rsid w:val="00DA7B6F"/>
    <w:rsid w:val="00DB0119"/>
    <w:rsid w:val="00DB189B"/>
    <w:rsid w:val="00DC1E1F"/>
    <w:rsid w:val="00DC4820"/>
    <w:rsid w:val="00DC7586"/>
    <w:rsid w:val="00DD32BC"/>
    <w:rsid w:val="00DF1AC2"/>
    <w:rsid w:val="00DF7214"/>
    <w:rsid w:val="00E00503"/>
    <w:rsid w:val="00E127CF"/>
    <w:rsid w:val="00E169D2"/>
    <w:rsid w:val="00E23B32"/>
    <w:rsid w:val="00E25120"/>
    <w:rsid w:val="00E312BE"/>
    <w:rsid w:val="00E40F37"/>
    <w:rsid w:val="00E42A9F"/>
    <w:rsid w:val="00E51987"/>
    <w:rsid w:val="00E553B8"/>
    <w:rsid w:val="00E60E9F"/>
    <w:rsid w:val="00E742D9"/>
    <w:rsid w:val="00E77956"/>
    <w:rsid w:val="00E82431"/>
    <w:rsid w:val="00E86F31"/>
    <w:rsid w:val="00E90570"/>
    <w:rsid w:val="00E906B3"/>
    <w:rsid w:val="00E93941"/>
    <w:rsid w:val="00EA6591"/>
    <w:rsid w:val="00EB3AFE"/>
    <w:rsid w:val="00EB41B4"/>
    <w:rsid w:val="00EB71B2"/>
    <w:rsid w:val="00EC5E15"/>
    <w:rsid w:val="00EC6124"/>
    <w:rsid w:val="00EC7BA4"/>
    <w:rsid w:val="00ED1B44"/>
    <w:rsid w:val="00ED3FA9"/>
    <w:rsid w:val="00EE4C0B"/>
    <w:rsid w:val="00EF4133"/>
    <w:rsid w:val="00F0188C"/>
    <w:rsid w:val="00F06E73"/>
    <w:rsid w:val="00F2236B"/>
    <w:rsid w:val="00F2725B"/>
    <w:rsid w:val="00F341E7"/>
    <w:rsid w:val="00F3655E"/>
    <w:rsid w:val="00F42E94"/>
    <w:rsid w:val="00F51DC9"/>
    <w:rsid w:val="00F57E5E"/>
    <w:rsid w:val="00F84E2B"/>
    <w:rsid w:val="00F87ACA"/>
    <w:rsid w:val="00F9267C"/>
    <w:rsid w:val="00F93E6A"/>
    <w:rsid w:val="00F977F7"/>
    <w:rsid w:val="00FA2EDE"/>
    <w:rsid w:val="00FA52B6"/>
    <w:rsid w:val="00FB085E"/>
    <w:rsid w:val="00FB114D"/>
    <w:rsid w:val="00FB302C"/>
    <w:rsid w:val="00FC04CE"/>
    <w:rsid w:val="00FC077A"/>
    <w:rsid w:val="00FC485A"/>
    <w:rsid w:val="00FC5927"/>
    <w:rsid w:val="00FD0029"/>
    <w:rsid w:val="00FD3742"/>
    <w:rsid w:val="00FE0716"/>
    <w:rsid w:val="00FE3E9E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B71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42E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04E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Donata Stankūnienė</cp:lastModifiedBy>
  <cp:revision>142</cp:revision>
  <dcterms:created xsi:type="dcterms:W3CDTF">2025-03-27T13:04:00Z</dcterms:created>
  <dcterms:modified xsi:type="dcterms:W3CDTF">2025-06-10T12:41:00Z</dcterms:modified>
</cp:coreProperties>
</file>