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5CFF" w14:textId="77777777" w:rsidR="003A449D" w:rsidRPr="001C3531" w:rsidRDefault="003A449D" w:rsidP="003A449D">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bdr w:val="nil"/>
        </w:rPr>
      </w:pPr>
      <w:bookmarkStart w:id="0" w:name="_Hlk114660509"/>
      <w:r w:rsidRPr="001C3531">
        <w:rPr>
          <w:rFonts w:ascii="Times New Roman" w:eastAsia="Arial Unicode MS" w:hAnsi="Times New Roman" w:cs="Times New Roman"/>
          <w:b/>
          <w:bCs/>
          <w:caps/>
          <w:spacing w:val="4"/>
          <w:bdr w:val="nil"/>
        </w:rPr>
        <w:t xml:space="preserve">Kokybės kriterijai ir jų vertinimas </w:t>
      </w:r>
    </w:p>
    <w:p w14:paraId="745377AD" w14:textId="77777777" w:rsidR="003A449D" w:rsidRPr="001C3531" w:rsidRDefault="003A449D" w:rsidP="003A449D">
      <w:pPr>
        <w:pBdr>
          <w:top w:val="nil"/>
          <w:left w:val="nil"/>
          <w:bottom w:val="nil"/>
          <w:right w:val="nil"/>
          <w:between w:val="nil"/>
          <w:bar w:val="nil"/>
        </w:pBdr>
        <w:spacing w:after="0" w:line="240" w:lineRule="auto"/>
        <w:jc w:val="right"/>
        <w:rPr>
          <w:rFonts w:ascii="Times New Roman" w:eastAsia="Times New Roman" w:hAnsi="Times New Roman" w:cs="Times New Roman"/>
          <w:bdr w:val="nil"/>
        </w:rPr>
      </w:pPr>
    </w:p>
    <w:p w14:paraId="41232E45" w14:textId="77777777" w:rsidR="003A449D" w:rsidRPr="0031516B" w:rsidRDefault="003A449D" w:rsidP="003A449D">
      <w:pPr>
        <w:pStyle w:val="Sraopastraipa"/>
        <w:numPr>
          <w:ilvl w:val="0"/>
          <w:numId w:val="1"/>
        </w:num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bdr w:val="nil"/>
        </w:rPr>
      </w:pPr>
      <w:r w:rsidRPr="0031516B">
        <w:rPr>
          <w:rFonts w:ascii="Times New Roman" w:eastAsia="Arial Unicode MS" w:hAnsi="Times New Roman" w:cs="Times New Roman"/>
          <w:b/>
          <w:bCs/>
          <w:caps/>
          <w:spacing w:val="4"/>
          <w:bdr w:val="nil"/>
        </w:rPr>
        <w:t>BENDROSIOS NUOSTATOS</w:t>
      </w:r>
    </w:p>
    <w:p w14:paraId="7DB2E1CF" w14:textId="77777777" w:rsidR="003A449D" w:rsidRPr="001C3531" w:rsidRDefault="003A449D" w:rsidP="003A449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rPr>
      </w:pPr>
    </w:p>
    <w:p w14:paraId="528DACBF" w14:textId="77777777" w:rsidR="003A449D" w:rsidRPr="001C3531" w:rsidRDefault="003A449D" w:rsidP="003A449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rPr>
      </w:pPr>
      <w:r w:rsidRPr="001C3531">
        <w:rPr>
          <w:rFonts w:ascii="Times New Roman" w:eastAsia="Arial Unicode MS" w:hAnsi="Times New Roman" w:cs="Times New Roman"/>
          <w:bdr w:val="nil"/>
        </w:rPr>
        <w:tab/>
        <w:t>1.1. Perkančiosios organizacijos neatmesti pasiūlymai vertinami pagal kainos ir kokybės santykį (pasiūlymo techninės charakteristikos vertinamos kiekybiškai) šiame priede nurodyta tvarka.</w:t>
      </w:r>
    </w:p>
    <w:p w14:paraId="2029009E" w14:textId="77777777" w:rsidR="003A449D" w:rsidRPr="001C3531" w:rsidRDefault="003A449D" w:rsidP="003A449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rPr>
      </w:pPr>
      <w:r w:rsidRPr="001C3531">
        <w:rPr>
          <w:rFonts w:ascii="Times New Roman" w:eastAsia="Arial Unicode MS" w:hAnsi="Times New Roman" w:cs="Times New Roman"/>
          <w:bdr w:val="nil"/>
        </w:rPr>
        <w:tab/>
        <w:t>1.2. Ekonomiškai naudingiausias pasiūlymas – tai pasiūlymas, kurio balų suma, apskaičiuota pagal toliau nustatytus pasiūlymų̨ vertinimo kriterijus ir sąlygas, yra didžiausia.</w:t>
      </w:r>
    </w:p>
    <w:p w14:paraId="60097015" w14:textId="77777777" w:rsidR="003A449D" w:rsidRPr="001C3531" w:rsidRDefault="003A449D" w:rsidP="003A449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rPr>
      </w:pPr>
    </w:p>
    <w:p w14:paraId="651DC8CB" w14:textId="77777777" w:rsidR="003A449D" w:rsidRPr="008530AE" w:rsidRDefault="003A449D" w:rsidP="003A449D">
      <w:pPr>
        <w:pStyle w:val="Sraopastraipa"/>
        <w:numPr>
          <w:ilvl w:val="0"/>
          <w:numId w:val="1"/>
        </w:num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bdr w:val="nil"/>
        </w:rPr>
      </w:pPr>
      <w:r w:rsidRPr="008530AE">
        <w:rPr>
          <w:rFonts w:ascii="Times New Roman" w:eastAsia="Arial Unicode MS" w:hAnsi="Times New Roman" w:cs="Times New Roman"/>
          <w:b/>
          <w:bCs/>
          <w:caps/>
          <w:spacing w:val="4"/>
          <w:bdr w:val="nil"/>
        </w:rPr>
        <w:t>PASIŪLYMŲ VERTINIMO KRITERIJAI</w:t>
      </w:r>
    </w:p>
    <w:p w14:paraId="42ACF48E" w14:textId="77777777" w:rsidR="003A449D" w:rsidRPr="001C3531" w:rsidRDefault="003A449D" w:rsidP="003A449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rPr>
      </w:pPr>
    </w:p>
    <w:p w14:paraId="002EB924" w14:textId="77777777" w:rsidR="003A449D" w:rsidRPr="001C3531" w:rsidRDefault="003A449D" w:rsidP="003A449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rPr>
      </w:pPr>
      <w:r w:rsidRPr="001C3531">
        <w:rPr>
          <w:rFonts w:ascii="Times New Roman" w:eastAsia="Arial Unicode MS" w:hAnsi="Times New Roman" w:cs="Times New Roman"/>
          <w:bdr w:val="nil"/>
        </w:rPr>
        <w:tab/>
        <w:t xml:space="preserve">2.1. Nustatomas maksimalus bendras balų skaičius - 100 balų. Kriterijų tarpusavio santykis bendrame bale yra nustatomas pagal lyginamuosius svorius: </w:t>
      </w:r>
    </w:p>
    <w:p w14:paraId="1B814D7B" w14:textId="77777777" w:rsidR="003A449D" w:rsidRPr="001C3531" w:rsidRDefault="003A449D" w:rsidP="003A449D">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rPr>
      </w:pPr>
      <w:r w:rsidRPr="001C3531">
        <w:rPr>
          <w:rFonts w:ascii="Times New Roman" w:eastAsia="Arial Unicode MS" w:hAnsi="Times New Roman" w:cs="Times New Roman"/>
          <w:bdr w:val="nil"/>
        </w:rPr>
        <w:tab/>
        <w:t xml:space="preserve">2.1.1. Pirmas kriterijus - </w:t>
      </w:r>
      <w:r w:rsidRPr="001C3531">
        <w:rPr>
          <w:rFonts w:ascii="Times New Roman" w:eastAsia="Arial Unicode MS" w:hAnsi="Times New Roman" w:cs="Times New Roman"/>
          <w:b/>
          <w:i/>
          <w:bdr w:val="nil"/>
        </w:rPr>
        <w:t>Kaina</w:t>
      </w:r>
      <w:r w:rsidRPr="001C3531">
        <w:rPr>
          <w:rFonts w:ascii="Times New Roman" w:eastAsia="Arial Unicode MS" w:hAnsi="Times New Roman" w:cs="Times New Roman"/>
          <w:bdr w:val="nil"/>
        </w:rPr>
        <w:t xml:space="preserve"> (C). </w:t>
      </w:r>
      <w:bookmarkStart w:id="1" w:name="_Hlk104981256"/>
      <w:r w:rsidRPr="001C3531">
        <w:rPr>
          <w:rFonts w:ascii="Times New Roman" w:eastAsia="Arial Unicode MS" w:hAnsi="Times New Roman" w:cs="Times New Roman"/>
          <w:bdr w:val="nil"/>
        </w:rPr>
        <w:t>Kriterijaus lyginamasis svoris ekonominio naudingumo įvertinime (</w:t>
      </w:r>
      <w:bookmarkEnd w:id="1"/>
      <w:r w:rsidRPr="001C3531">
        <w:rPr>
          <w:rFonts w:ascii="Times New Roman" w:eastAsia="Arial Unicode MS" w:hAnsi="Times New Roman" w:cs="Times New Roman"/>
          <w:bdr w:val="nil"/>
        </w:rPr>
        <w:t xml:space="preserve">X) yra </w:t>
      </w:r>
      <w:r>
        <w:rPr>
          <w:rFonts w:ascii="Times New Roman" w:eastAsia="Arial Unicode MS" w:hAnsi="Times New Roman" w:cs="Times New Roman"/>
          <w:b/>
          <w:bCs/>
          <w:bdr w:val="nil"/>
        </w:rPr>
        <w:t>60</w:t>
      </w:r>
      <w:r w:rsidRPr="001C3531">
        <w:rPr>
          <w:rFonts w:ascii="Times New Roman" w:eastAsia="Arial Unicode MS" w:hAnsi="Times New Roman" w:cs="Times New Roman"/>
          <w:bdr w:val="nil"/>
        </w:rPr>
        <w:t>.</w:t>
      </w:r>
    </w:p>
    <w:p w14:paraId="4A863263" w14:textId="77777777" w:rsidR="003A449D" w:rsidRPr="001C3531" w:rsidRDefault="003A449D" w:rsidP="003A449D">
      <w:pPr>
        <w:pStyle w:val="Body2"/>
        <w:spacing w:after="0"/>
        <w:rPr>
          <w:rFonts w:cs="Times New Roman"/>
          <w:b/>
          <w:color w:val="auto"/>
          <w:lang w:val="lt-LT"/>
        </w:rPr>
      </w:pPr>
      <w:r w:rsidRPr="001C3531">
        <w:rPr>
          <w:rFonts w:cs="Times New Roman"/>
          <w:lang w:val="fi-FI"/>
        </w:rPr>
        <w:tab/>
        <w:t xml:space="preserve">2.1.2. Antras kriterijus – </w:t>
      </w:r>
      <w:r w:rsidRPr="001C3531">
        <w:rPr>
          <w:rFonts w:cs="Times New Roman"/>
          <w:b/>
          <w:i/>
          <w:color w:val="auto"/>
          <w:lang w:val="lt-LT"/>
        </w:rPr>
        <w:t>Techniniai privalumai</w:t>
      </w:r>
      <w:r w:rsidRPr="001C3531">
        <w:rPr>
          <w:rFonts w:cs="Times New Roman"/>
          <w:color w:val="auto"/>
          <w:lang w:val="lt-LT"/>
        </w:rPr>
        <w:t xml:space="preserve"> (T). Kriterijaus lyginamasis svoris ekonominio naudingumo įvertinime (Y) yra </w:t>
      </w:r>
      <w:r>
        <w:rPr>
          <w:rFonts w:cs="Times New Roman"/>
          <w:b/>
          <w:color w:val="auto"/>
          <w:lang w:val="lt-LT"/>
        </w:rPr>
        <w:t>40</w:t>
      </w:r>
      <w:r w:rsidRPr="001C3531">
        <w:rPr>
          <w:rFonts w:cs="Times New Roman"/>
          <w:b/>
          <w:color w:val="auto"/>
          <w:lang w:val="lt-LT"/>
        </w:rPr>
        <w:t>.</w:t>
      </w:r>
    </w:p>
    <w:p w14:paraId="1947EBDD" w14:textId="77777777" w:rsidR="003A449D" w:rsidRPr="001C3531" w:rsidRDefault="003A449D" w:rsidP="003A449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rPr>
      </w:pPr>
      <w:r w:rsidRPr="001C3531">
        <w:rPr>
          <w:rFonts w:ascii="Times New Roman" w:eastAsia="Arial Unicode MS" w:hAnsi="Times New Roman" w:cs="Times New Roman"/>
          <w:bdr w:val="nil"/>
        </w:rPr>
        <w:tab/>
      </w:r>
    </w:p>
    <w:p w14:paraId="77304656" w14:textId="77777777" w:rsidR="003A449D" w:rsidRPr="001C3531" w:rsidRDefault="003A449D" w:rsidP="003A449D">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bdr w:val="nil"/>
        </w:rPr>
      </w:pPr>
      <w:r w:rsidRPr="001C3531">
        <w:rPr>
          <w:rFonts w:ascii="Times New Roman" w:eastAsia="Arial Unicode MS" w:hAnsi="Times New Roman" w:cs="Times New Roman"/>
          <w:b/>
          <w:bCs/>
          <w:caps/>
          <w:spacing w:val="4"/>
          <w:bdr w:val="nil"/>
        </w:rPr>
        <w:tab/>
        <w:t>3.</w:t>
      </w:r>
      <w:r>
        <w:rPr>
          <w:rFonts w:ascii="Times New Roman" w:eastAsia="Arial Unicode MS" w:hAnsi="Times New Roman" w:cs="Times New Roman"/>
          <w:b/>
          <w:bCs/>
          <w:caps/>
          <w:spacing w:val="4"/>
          <w:bdr w:val="nil"/>
        </w:rPr>
        <w:t xml:space="preserve"> </w:t>
      </w:r>
      <w:r w:rsidRPr="001C3531">
        <w:rPr>
          <w:rFonts w:ascii="Times New Roman" w:eastAsia="Arial Unicode MS" w:hAnsi="Times New Roman" w:cs="Times New Roman"/>
          <w:b/>
          <w:bCs/>
          <w:caps/>
          <w:spacing w:val="4"/>
          <w:bdr w:val="nil"/>
        </w:rPr>
        <w:t>BALŲ APSKAIČIAVIMAS</w:t>
      </w:r>
    </w:p>
    <w:p w14:paraId="12075545" w14:textId="77777777" w:rsidR="003A449D" w:rsidRPr="001C3531" w:rsidRDefault="003A449D" w:rsidP="003A449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rPr>
      </w:pPr>
    </w:p>
    <w:p w14:paraId="3E5EEDA4" w14:textId="77777777" w:rsidR="003A449D" w:rsidRPr="001C3531" w:rsidRDefault="003A449D" w:rsidP="003A449D">
      <w:pPr>
        <w:pBdr>
          <w:top w:val="nil"/>
          <w:left w:val="nil"/>
          <w:bottom w:val="nil"/>
          <w:right w:val="nil"/>
          <w:between w:val="nil"/>
          <w:bar w:val="nil"/>
        </w:pBdr>
        <w:tabs>
          <w:tab w:val="left" w:pos="1134"/>
        </w:tabs>
        <w:suppressAutoHyphens/>
        <w:spacing w:after="40" w:line="240" w:lineRule="auto"/>
        <w:ind w:firstLine="709"/>
        <w:jc w:val="both"/>
        <w:rPr>
          <w:rFonts w:ascii="Times New Roman" w:eastAsia="Arial Unicode MS" w:hAnsi="Times New Roman" w:cs="Times New Roman"/>
          <w:bdr w:val="nil"/>
        </w:rPr>
      </w:pPr>
      <w:r w:rsidRPr="001C3531">
        <w:rPr>
          <w:rFonts w:ascii="Times New Roman" w:eastAsia="Arial Unicode MS" w:hAnsi="Times New Roman" w:cs="Times New Roman"/>
          <w:color w:val="000000"/>
          <w:bdr w:val="nil"/>
        </w:rPr>
        <w:t>3.1.</w:t>
      </w:r>
      <w:r w:rsidRPr="001C3531">
        <w:rPr>
          <w:rFonts w:ascii="Times New Roman" w:eastAsia="Arial Unicode MS" w:hAnsi="Times New Roman" w:cs="Times New Roman"/>
          <w:color w:val="000000"/>
          <w:bdr w:val="nil"/>
        </w:rPr>
        <w:tab/>
      </w:r>
      <w:r w:rsidRPr="001C3531">
        <w:rPr>
          <w:rFonts w:ascii="Times New Roman" w:eastAsia="Arial Unicode MS" w:hAnsi="Times New Roman" w:cs="Times New Roman"/>
          <w:bdr w:val="nil"/>
        </w:rPr>
        <w:t>Tiekėjo pasiūlymo ekonominio naudingumo balas (S) apskaičiuojamas sudėjus tiekėjui skirtus balus už visus vertinimo kriterijus taikant formulę S=C+T.</w:t>
      </w:r>
    </w:p>
    <w:p w14:paraId="5ACF818C" w14:textId="77777777" w:rsidR="003A449D" w:rsidRDefault="003A449D" w:rsidP="003A449D">
      <w:pPr>
        <w:pBdr>
          <w:top w:val="nil"/>
          <w:left w:val="nil"/>
          <w:bottom w:val="nil"/>
          <w:right w:val="nil"/>
          <w:between w:val="nil"/>
          <w:bar w:val="nil"/>
        </w:pBdr>
        <w:tabs>
          <w:tab w:val="left" w:pos="1134"/>
        </w:tabs>
        <w:suppressAutoHyphens/>
        <w:spacing w:after="40" w:line="240" w:lineRule="auto"/>
        <w:ind w:firstLine="709"/>
        <w:jc w:val="both"/>
        <w:rPr>
          <w:rFonts w:ascii="Times New Roman" w:eastAsia="Arial Unicode MS" w:hAnsi="Times New Roman" w:cs="Times New Roman"/>
          <w:color w:val="000000"/>
          <w:bdr w:val="nil"/>
        </w:rPr>
      </w:pPr>
      <w:r w:rsidRPr="001C3531">
        <w:rPr>
          <w:rFonts w:ascii="Times New Roman" w:eastAsia="Arial Unicode MS" w:hAnsi="Times New Roman" w:cs="Times New Roman"/>
          <w:bdr w:val="nil"/>
        </w:rPr>
        <w:t xml:space="preserve">3.2. </w:t>
      </w:r>
      <w:r w:rsidRPr="001C3531">
        <w:rPr>
          <w:rFonts w:ascii="Times New Roman" w:eastAsia="Arial Unicode MS" w:hAnsi="Times New Roman" w:cs="Times New Roman"/>
          <w:color w:val="000000"/>
          <w:bdr w:val="nil"/>
        </w:rPr>
        <w:t>Kiekvieno tiekėjo pasiūlymo pirmo kriterijaus - pasiūlymo kainos (C) balas apskaičiuojamas mažiausios pasiūlytos kainos (C</w:t>
      </w:r>
      <w:r w:rsidRPr="00DF15EA">
        <w:rPr>
          <w:rFonts w:ascii="Times New Roman" w:eastAsia="Arial Unicode MS" w:hAnsi="Times New Roman" w:cs="Times New Roman"/>
          <w:color w:val="000000"/>
          <w:bdr w:val="nil"/>
          <w:vertAlign w:val="subscript"/>
        </w:rPr>
        <w:t>min</w:t>
      </w:r>
      <w:r w:rsidRPr="001C3531">
        <w:rPr>
          <w:rFonts w:ascii="Times New Roman" w:eastAsia="Arial Unicode MS" w:hAnsi="Times New Roman" w:cs="Times New Roman"/>
          <w:color w:val="000000"/>
          <w:bdr w:val="nil"/>
        </w:rPr>
        <w:t>) ir vertinamo pasiūlymo kainos (C</w:t>
      </w:r>
      <w:r w:rsidRPr="00DF15EA">
        <w:rPr>
          <w:rFonts w:ascii="Times New Roman" w:eastAsia="Arial Unicode MS" w:hAnsi="Times New Roman" w:cs="Times New Roman"/>
          <w:color w:val="000000"/>
          <w:bdr w:val="nil"/>
          <w:vertAlign w:val="subscript"/>
        </w:rPr>
        <w:t>p</w:t>
      </w:r>
      <w:r w:rsidRPr="001C3531">
        <w:rPr>
          <w:rFonts w:ascii="Times New Roman" w:eastAsia="Arial Unicode MS" w:hAnsi="Times New Roman" w:cs="Times New Roman"/>
          <w:color w:val="000000"/>
          <w:bdr w:val="nil"/>
        </w:rPr>
        <w:t>) santykį padauginus iš kainos lyginamojo svorio (X). Pasiūlymo kainos balo apskaičiavimui taikoma formulė</w:t>
      </w:r>
      <w:r>
        <w:rPr>
          <w:rFonts w:ascii="Times New Roman" w:eastAsia="Arial Unicode MS" w:hAnsi="Times New Roman" w:cs="Times New Roman"/>
          <w:color w:val="000000"/>
          <w:bdr w:val="nil"/>
        </w:rPr>
        <w:t>:</w:t>
      </w:r>
    </w:p>
    <w:p w14:paraId="65A9B0F2" w14:textId="77777777" w:rsidR="003A449D" w:rsidRDefault="003A449D" w:rsidP="003A449D">
      <w:pPr>
        <w:pBdr>
          <w:top w:val="nil"/>
          <w:left w:val="nil"/>
          <w:bottom w:val="nil"/>
          <w:right w:val="nil"/>
          <w:between w:val="nil"/>
          <w:bar w:val="nil"/>
        </w:pBdr>
        <w:tabs>
          <w:tab w:val="left" w:pos="1134"/>
        </w:tabs>
        <w:suppressAutoHyphens/>
        <w:spacing w:after="40" w:line="240" w:lineRule="auto"/>
        <w:ind w:firstLine="709"/>
        <w:jc w:val="both"/>
        <w:rPr>
          <w:rFonts w:ascii="Times New Roman" w:eastAsia="Arial Unicode MS" w:hAnsi="Times New Roman" w:cs="Times New Roman"/>
          <w:color w:val="000000"/>
          <w:bdr w:val="nil"/>
        </w:rPr>
      </w:pPr>
    </w:p>
    <w:p w14:paraId="39F632FE" w14:textId="77777777" w:rsidR="003A449D" w:rsidRDefault="003A449D" w:rsidP="003A449D">
      <w:pPr>
        <w:pBdr>
          <w:top w:val="nil"/>
          <w:left w:val="nil"/>
          <w:bottom w:val="nil"/>
          <w:right w:val="nil"/>
          <w:between w:val="nil"/>
          <w:bar w:val="nil"/>
        </w:pBdr>
        <w:tabs>
          <w:tab w:val="left" w:pos="1134"/>
        </w:tabs>
        <w:suppressAutoHyphens/>
        <w:spacing w:after="40" w:line="240" w:lineRule="auto"/>
        <w:ind w:firstLine="709"/>
        <w:jc w:val="both"/>
        <w:rPr>
          <w:rFonts w:ascii="Times New Roman" w:eastAsia="Arial Unicode MS" w:hAnsi="Times New Roman" w:cs="Times New Roman"/>
          <w:color w:val="000000"/>
          <w:bdr w:val="nil"/>
        </w:rPr>
      </w:pPr>
      <w:r w:rsidRPr="001C3531">
        <w:rPr>
          <w:rFonts w:ascii="Times New Roman" w:eastAsia="Arial Unicode MS" w:hAnsi="Times New Roman" w:cs="Times New Roman"/>
          <w:color w:val="000000"/>
          <w:bdr w:val="nil"/>
        </w:rPr>
        <w:t>C=(C</w:t>
      </w:r>
      <w:r w:rsidRPr="00DF15EA">
        <w:rPr>
          <w:rFonts w:ascii="Times New Roman" w:eastAsia="Arial Unicode MS" w:hAnsi="Times New Roman" w:cs="Times New Roman"/>
          <w:color w:val="000000"/>
          <w:bdr w:val="nil"/>
          <w:vertAlign w:val="subscript"/>
        </w:rPr>
        <w:t>min</w:t>
      </w:r>
      <w:r w:rsidRPr="001C3531">
        <w:rPr>
          <w:rFonts w:ascii="Times New Roman" w:eastAsia="Arial Unicode MS" w:hAnsi="Times New Roman" w:cs="Times New Roman"/>
          <w:color w:val="000000"/>
          <w:bdr w:val="nil"/>
        </w:rPr>
        <w:t>/C</w:t>
      </w:r>
      <w:r w:rsidRPr="00DF15EA">
        <w:rPr>
          <w:rFonts w:ascii="Times New Roman" w:eastAsia="Arial Unicode MS" w:hAnsi="Times New Roman" w:cs="Times New Roman"/>
          <w:color w:val="000000"/>
          <w:bdr w:val="nil"/>
          <w:vertAlign w:val="subscript"/>
        </w:rPr>
        <w:t>p</w:t>
      </w:r>
      <w:r w:rsidRPr="001C3531">
        <w:rPr>
          <w:rFonts w:ascii="Times New Roman" w:eastAsia="Arial Unicode MS" w:hAnsi="Times New Roman" w:cs="Times New Roman"/>
          <w:color w:val="000000"/>
          <w:bdr w:val="nil"/>
        </w:rPr>
        <w:t>)*X.</w:t>
      </w:r>
    </w:p>
    <w:p w14:paraId="350F1683" w14:textId="77777777" w:rsidR="003A449D" w:rsidRDefault="003A449D" w:rsidP="003A449D">
      <w:pPr>
        <w:pBdr>
          <w:top w:val="nil"/>
          <w:left w:val="nil"/>
          <w:bottom w:val="nil"/>
          <w:right w:val="nil"/>
          <w:between w:val="nil"/>
          <w:bar w:val="nil"/>
        </w:pBdr>
        <w:tabs>
          <w:tab w:val="left" w:pos="1134"/>
        </w:tabs>
        <w:suppressAutoHyphens/>
        <w:spacing w:after="40" w:line="240" w:lineRule="auto"/>
        <w:ind w:firstLine="709"/>
        <w:jc w:val="both"/>
        <w:rPr>
          <w:rFonts w:ascii="Times New Roman" w:eastAsia="Arial Unicode MS" w:hAnsi="Times New Roman" w:cs="Times New Roman"/>
          <w:color w:val="000000"/>
          <w:bdr w:val="nil"/>
        </w:rPr>
      </w:pPr>
    </w:p>
    <w:p w14:paraId="1EDF6A12" w14:textId="77777777" w:rsidR="003A449D" w:rsidRPr="00CC58EE" w:rsidRDefault="003A449D" w:rsidP="003A449D">
      <w:pPr>
        <w:spacing w:after="0" w:line="240" w:lineRule="auto"/>
        <w:ind w:firstLine="602"/>
        <w:jc w:val="both"/>
        <w:rPr>
          <w:rFonts w:ascii="Times New Roman" w:eastAsia="Times New Roman" w:hAnsi="Times New Roman" w:cs="Times New Roman"/>
          <w:color w:val="000000"/>
          <w:sz w:val="24"/>
          <w:szCs w:val="24"/>
          <w:lang w:eastAsia="lt-LT"/>
        </w:rPr>
      </w:pPr>
      <w:r w:rsidRPr="00CC58EE">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3.</w:t>
      </w:r>
      <w:r w:rsidRPr="00CC58EE">
        <w:rPr>
          <w:rFonts w:ascii="Times New Roman" w:eastAsia="Times New Roman" w:hAnsi="Times New Roman" w:cs="Times New Roman"/>
          <w:color w:val="000000"/>
          <w:sz w:val="24"/>
          <w:szCs w:val="24"/>
          <w:lang w:eastAsia="lt-LT"/>
        </w:rPr>
        <w:t xml:space="preserve"> Kadangi siūlomų objektų T1, T</w:t>
      </w:r>
      <w:r>
        <w:rPr>
          <w:rFonts w:ascii="Times New Roman" w:eastAsia="Times New Roman" w:hAnsi="Times New Roman" w:cs="Times New Roman"/>
          <w:color w:val="000000"/>
          <w:sz w:val="24"/>
          <w:szCs w:val="24"/>
          <w:lang w:eastAsia="lt-LT"/>
        </w:rPr>
        <w:t>2, T3,</w:t>
      </w:r>
      <w:r w:rsidRPr="00CC58E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T4, T5 </w:t>
      </w:r>
      <w:r w:rsidRPr="00CC58EE">
        <w:rPr>
          <w:rFonts w:ascii="Times New Roman" w:eastAsia="Times New Roman" w:hAnsi="Times New Roman" w:cs="Times New Roman"/>
          <w:color w:val="000000"/>
          <w:sz w:val="24"/>
          <w:szCs w:val="24"/>
          <w:lang w:eastAsia="lt-LT"/>
        </w:rPr>
        <w:t>techniniai parametrai neturi skaitinių išraiškų (yra arba nėra), todėl parametrų įvertinimas apskaičiuojamas pagal metodiką:</w:t>
      </w:r>
    </w:p>
    <w:p w14:paraId="7BF4FD24" w14:textId="77777777" w:rsidR="003A449D" w:rsidRDefault="003A449D" w:rsidP="003A449D">
      <w:pPr>
        <w:pBdr>
          <w:top w:val="nil"/>
          <w:left w:val="nil"/>
          <w:bottom w:val="nil"/>
          <w:right w:val="nil"/>
          <w:between w:val="nil"/>
          <w:bar w:val="nil"/>
        </w:pBdr>
        <w:tabs>
          <w:tab w:val="left" w:pos="1134"/>
        </w:tabs>
        <w:suppressAutoHyphens/>
        <w:spacing w:after="0" w:line="240" w:lineRule="auto"/>
        <w:ind w:firstLine="567"/>
        <w:jc w:val="both"/>
        <w:rPr>
          <w:rFonts w:ascii="Times New Roman" w:eastAsia="Arial Unicode MS" w:hAnsi="Times New Roman" w:cs="Times New Roman"/>
          <w:bdr w:val="nil"/>
        </w:rPr>
      </w:pPr>
      <w:r w:rsidRPr="00CC58EE">
        <w:rPr>
          <w:rFonts w:ascii="Times New Roman" w:eastAsia="Arial Unicode MS" w:hAnsi="Times New Roman" w:cs="Times New Roman"/>
          <w:bdr w:val="nil"/>
        </w:rPr>
        <w:t xml:space="preserve">Jei siūlomas objektas turi nurodytą pranašumą gauna maksimalų balų skaičių: T1 = </w:t>
      </w:r>
      <w:r>
        <w:rPr>
          <w:rFonts w:ascii="Times New Roman" w:eastAsia="Arial Unicode MS" w:hAnsi="Times New Roman" w:cs="Times New Roman"/>
          <w:bdr w:val="nil"/>
        </w:rPr>
        <w:t>Y</w:t>
      </w:r>
      <w:r w:rsidRPr="00CC58EE">
        <w:rPr>
          <w:rFonts w:ascii="Times New Roman" w:eastAsia="Arial Unicode MS" w:hAnsi="Times New Roman" w:cs="Times New Roman"/>
          <w:bdr w:val="nil"/>
        </w:rPr>
        <w:t>1, T</w:t>
      </w:r>
      <w:r>
        <w:rPr>
          <w:rFonts w:ascii="Times New Roman" w:eastAsia="Arial Unicode MS" w:hAnsi="Times New Roman" w:cs="Times New Roman"/>
          <w:bdr w:val="nil"/>
        </w:rPr>
        <w:t>2</w:t>
      </w:r>
      <w:r w:rsidRPr="00CC58EE">
        <w:rPr>
          <w:rFonts w:ascii="Times New Roman" w:eastAsia="Arial Unicode MS" w:hAnsi="Times New Roman" w:cs="Times New Roman"/>
          <w:bdr w:val="nil"/>
        </w:rPr>
        <w:t xml:space="preserve"> = L</w:t>
      </w:r>
      <w:r>
        <w:rPr>
          <w:rFonts w:ascii="Times New Roman" w:eastAsia="Arial Unicode MS" w:hAnsi="Times New Roman" w:cs="Times New Roman"/>
          <w:bdr w:val="nil"/>
        </w:rPr>
        <w:t>2</w:t>
      </w:r>
      <w:r w:rsidRPr="00CC58EE">
        <w:rPr>
          <w:rFonts w:ascii="Times New Roman" w:eastAsia="Arial Unicode MS" w:hAnsi="Times New Roman" w:cs="Times New Roman"/>
          <w:bdr w:val="nil"/>
        </w:rPr>
        <w:t>, T</w:t>
      </w:r>
      <w:r>
        <w:rPr>
          <w:rFonts w:ascii="Times New Roman" w:eastAsia="Arial Unicode MS" w:hAnsi="Times New Roman" w:cs="Times New Roman"/>
          <w:bdr w:val="nil"/>
        </w:rPr>
        <w:t>3</w:t>
      </w:r>
      <w:r w:rsidRPr="00CC58EE">
        <w:rPr>
          <w:rFonts w:ascii="Times New Roman" w:eastAsia="Arial Unicode MS" w:hAnsi="Times New Roman" w:cs="Times New Roman"/>
          <w:bdr w:val="nil"/>
        </w:rPr>
        <w:t xml:space="preserve"> = </w:t>
      </w:r>
      <w:r>
        <w:rPr>
          <w:rFonts w:ascii="Times New Roman" w:eastAsia="Arial Unicode MS" w:hAnsi="Times New Roman" w:cs="Times New Roman"/>
          <w:bdr w:val="nil"/>
        </w:rPr>
        <w:t xml:space="preserve">Y3, </w:t>
      </w:r>
      <w:r w:rsidRPr="00CC58EE">
        <w:rPr>
          <w:rFonts w:ascii="Times New Roman" w:eastAsia="Arial Unicode MS" w:hAnsi="Times New Roman" w:cs="Times New Roman"/>
          <w:bdr w:val="nil"/>
        </w:rPr>
        <w:t>T</w:t>
      </w:r>
      <w:r>
        <w:rPr>
          <w:rFonts w:ascii="Times New Roman" w:eastAsia="Arial Unicode MS" w:hAnsi="Times New Roman" w:cs="Times New Roman"/>
          <w:bdr w:val="nil"/>
        </w:rPr>
        <w:t>4</w:t>
      </w:r>
      <w:r w:rsidRPr="00CC58EE">
        <w:rPr>
          <w:rFonts w:ascii="Times New Roman" w:eastAsia="Arial Unicode MS" w:hAnsi="Times New Roman" w:cs="Times New Roman"/>
          <w:bdr w:val="nil"/>
        </w:rPr>
        <w:t xml:space="preserve"> = </w:t>
      </w:r>
      <w:r>
        <w:rPr>
          <w:rFonts w:ascii="Times New Roman" w:eastAsia="Arial Unicode MS" w:hAnsi="Times New Roman" w:cs="Times New Roman"/>
          <w:bdr w:val="nil"/>
        </w:rPr>
        <w:t xml:space="preserve">Y4, </w:t>
      </w:r>
      <w:r w:rsidRPr="00CC58EE">
        <w:rPr>
          <w:rFonts w:ascii="Times New Roman" w:eastAsia="Arial Unicode MS" w:hAnsi="Times New Roman" w:cs="Times New Roman"/>
          <w:bdr w:val="nil"/>
        </w:rPr>
        <w:t>T</w:t>
      </w:r>
      <w:r>
        <w:rPr>
          <w:rFonts w:ascii="Times New Roman" w:eastAsia="Arial Unicode MS" w:hAnsi="Times New Roman" w:cs="Times New Roman"/>
          <w:bdr w:val="nil"/>
        </w:rPr>
        <w:t>5</w:t>
      </w:r>
      <w:r w:rsidRPr="00CC58EE">
        <w:rPr>
          <w:rFonts w:ascii="Times New Roman" w:eastAsia="Arial Unicode MS" w:hAnsi="Times New Roman" w:cs="Times New Roman"/>
          <w:bdr w:val="nil"/>
        </w:rPr>
        <w:t xml:space="preserve"> = </w:t>
      </w:r>
      <w:r>
        <w:rPr>
          <w:rFonts w:ascii="Times New Roman" w:eastAsia="Arial Unicode MS" w:hAnsi="Times New Roman" w:cs="Times New Roman"/>
          <w:bdr w:val="nil"/>
        </w:rPr>
        <w:t>Y5</w:t>
      </w:r>
      <w:r w:rsidRPr="00CC58EE">
        <w:rPr>
          <w:rFonts w:ascii="Times New Roman" w:eastAsia="Arial Unicode MS" w:hAnsi="Times New Roman" w:cs="Times New Roman"/>
          <w:bdr w:val="nil"/>
        </w:rPr>
        <w:t>. Jei siūlomas objektas neturi nurodyto pranašumo gauna 0 balų</w:t>
      </w:r>
      <w:r>
        <w:rPr>
          <w:rFonts w:ascii="Times New Roman" w:eastAsia="Arial Unicode MS" w:hAnsi="Times New Roman" w:cs="Times New Roman"/>
          <w:bdr w:val="nil"/>
        </w:rPr>
        <w:t>.</w:t>
      </w:r>
    </w:p>
    <w:p w14:paraId="00A04EA9" w14:textId="77777777" w:rsidR="003A449D" w:rsidRPr="00B60B9F" w:rsidRDefault="003A449D" w:rsidP="003A449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Times New Roman"/>
          <w:bdr w:val="nil"/>
          <w:lang w:val="en-US"/>
        </w:rPr>
      </w:pPr>
    </w:p>
    <w:p w14:paraId="20F6512F" w14:textId="77777777" w:rsidR="003A449D" w:rsidRDefault="003A449D" w:rsidP="003A449D">
      <w:pPr>
        <w:spacing w:after="0" w:line="240" w:lineRule="auto"/>
        <w:ind w:firstLine="602"/>
        <w:jc w:val="both"/>
        <w:rPr>
          <w:rFonts w:ascii="Times New Roman" w:eastAsia="Arial Unicode MS" w:hAnsi="Times New Roman" w:cs="Times New Roman"/>
          <w:color w:val="000000"/>
          <w:bdr w:val="nil"/>
        </w:rPr>
      </w:pPr>
      <w:r w:rsidRPr="001C3531">
        <w:rPr>
          <w:rFonts w:ascii="Times New Roman" w:eastAsia="Arial Unicode MS" w:hAnsi="Times New Roman" w:cs="Times New Roman"/>
          <w:bdr w:val="nil"/>
        </w:rPr>
        <w:t xml:space="preserve">3.3. </w:t>
      </w:r>
      <w:r w:rsidRPr="001C3531">
        <w:rPr>
          <w:rFonts w:ascii="Times New Roman" w:eastAsia="Arial Unicode MS" w:hAnsi="Times New Roman" w:cs="Times New Roman"/>
          <w:color w:val="000000"/>
          <w:bdr w:val="nil"/>
        </w:rPr>
        <w:t>Kiekvieno tiekėjo pasiūlymo kokybės kriterijų (T</w:t>
      </w:r>
      <w:r w:rsidRPr="001C3531">
        <w:rPr>
          <w:rFonts w:ascii="Times New Roman" w:eastAsia="Arial Unicode MS" w:hAnsi="Times New Roman" w:cs="Times New Roman"/>
          <w:bdr w:val="nil"/>
        </w:rPr>
        <w:t xml:space="preserve">) </w:t>
      </w:r>
      <w:r w:rsidRPr="001C3531">
        <w:rPr>
          <w:rFonts w:ascii="Times New Roman" w:eastAsia="Arial Unicode MS" w:hAnsi="Times New Roman" w:cs="Times New Roman"/>
          <w:color w:val="000000"/>
          <w:bdr w:val="nil"/>
        </w:rPr>
        <w:t>balai apskaičiuojami</w:t>
      </w:r>
      <w:r w:rsidRPr="001C3531">
        <w:rPr>
          <w:rFonts w:ascii="Times New Roman" w:hAnsi="Times New Roman" w:cs="Times New Roman"/>
        </w:rPr>
        <w:t xml:space="preserve"> </w:t>
      </w:r>
      <w:r w:rsidRPr="001C3531">
        <w:rPr>
          <w:rFonts w:ascii="Times New Roman" w:eastAsia="Arial Unicode MS" w:hAnsi="Times New Roman" w:cs="Times New Roman"/>
          <w:color w:val="000000"/>
          <w:bdr w:val="nil"/>
        </w:rPr>
        <w:t>taikant formulę T = T1+ T2</w:t>
      </w:r>
      <w:r>
        <w:rPr>
          <w:rFonts w:ascii="Times New Roman" w:eastAsia="Arial Unicode MS" w:hAnsi="Times New Roman" w:cs="Times New Roman"/>
          <w:color w:val="000000"/>
          <w:bdr w:val="nil"/>
        </w:rPr>
        <w:t>+T3+T4+T5</w:t>
      </w:r>
      <w:r w:rsidRPr="001C3531">
        <w:rPr>
          <w:rFonts w:ascii="Times New Roman" w:eastAsia="Arial Unicode MS" w:hAnsi="Times New Roman" w:cs="Times New Roman"/>
          <w:color w:val="000000"/>
          <w:bdr w:val="nil"/>
        </w:rPr>
        <w:t>. Kiekvieno tiekėjo pasiūlymo kokybės kriterijų (T1, T2</w:t>
      </w:r>
      <w:r>
        <w:rPr>
          <w:rFonts w:ascii="Times New Roman" w:eastAsia="Arial Unicode MS" w:hAnsi="Times New Roman" w:cs="Times New Roman"/>
          <w:color w:val="000000"/>
          <w:bdr w:val="nil"/>
        </w:rPr>
        <w:t>, T3, T4; T5</w:t>
      </w:r>
      <w:r w:rsidRPr="001C3531">
        <w:rPr>
          <w:rFonts w:ascii="Times New Roman" w:eastAsia="Arial Unicode MS" w:hAnsi="Times New Roman" w:cs="Times New Roman"/>
          <w:color w:val="000000"/>
          <w:bdr w:val="nil"/>
        </w:rPr>
        <w:t>) balai apskaičiuojami šia tvarka:</w:t>
      </w:r>
    </w:p>
    <w:p w14:paraId="24953CDD" w14:textId="77777777" w:rsidR="003A449D" w:rsidRPr="001C3531" w:rsidRDefault="003A449D" w:rsidP="003A449D">
      <w:pPr>
        <w:pBdr>
          <w:top w:val="nil"/>
          <w:left w:val="nil"/>
          <w:bottom w:val="nil"/>
          <w:right w:val="nil"/>
          <w:between w:val="nil"/>
          <w:bar w:val="nil"/>
        </w:pBdr>
        <w:tabs>
          <w:tab w:val="left" w:pos="1134"/>
        </w:tabs>
        <w:suppressAutoHyphens/>
        <w:spacing w:after="40" w:line="240" w:lineRule="auto"/>
        <w:ind w:firstLine="709"/>
        <w:jc w:val="both"/>
        <w:rPr>
          <w:rFonts w:ascii="Times New Roman" w:eastAsia="Arial Unicode MS" w:hAnsi="Times New Roman" w:cs="Times New Roman"/>
          <w:bdr w:val="nil"/>
        </w:rPr>
      </w:pPr>
    </w:p>
    <w:tbl>
      <w:tblPr>
        <w:tblStyle w:val="Lentelstinklelis"/>
        <w:tblW w:w="9493" w:type="dxa"/>
        <w:tblLayout w:type="fixed"/>
        <w:tblLook w:val="04A0" w:firstRow="1" w:lastRow="0" w:firstColumn="1" w:lastColumn="0" w:noHBand="0" w:noVBand="1"/>
      </w:tblPr>
      <w:tblGrid>
        <w:gridCol w:w="1129"/>
        <w:gridCol w:w="3119"/>
        <w:gridCol w:w="1559"/>
        <w:gridCol w:w="1418"/>
        <w:gridCol w:w="2268"/>
      </w:tblGrid>
      <w:tr w:rsidR="003A449D" w:rsidRPr="001C3531" w14:paraId="0B25FC4D" w14:textId="77777777" w:rsidTr="00291203">
        <w:trPr>
          <w:cantSplit/>
        </w:trPr>
        <w:tc>
          <w:tcPr>
            <w:tcW w:w="1129" w:type="dxa"/>
          </w:tcPr>
          <w:p w14:paraId="0C4C9F86" w14:textId="77777777" w:rsidR="003A449D" w:rsidRPr="004E3642" w:rsidRDefault="003A449D" w:rsidP="00291203">
            <w:pPr>
              <w:suppressAutoHyphens/>
              <w:jc w:val="center"/>
              <w:rPr>
                <w:b/>
                <w:bCs/>
                <w:color w:val="000000"/>
                <w:lang w:val="lt-LT"/>
              </w:rPr>
            </w:pPr>
            <w:r w:rsidRPr="004E3642">
              <w:rPr>
                <w:b/>
                <w:bCs/>
                <w:color w:val="000000"/>
                <w:lang w:val="lt-LT"/>
              </w:rPr>
              <w:t>Kokybės kriterijus</w:t>
            </w:r>
          </w:p>
        </w:tc>
        <w:tc>
          <w:tcPr>
            <w:tcW w:w="3119" w:type="dxa"/>
          </w:tcPr>
          <w:p w14:paraId="7290A078" w14:textId="77777777" w:rsidR="003A449D" w:rsidRPr="004E3642" w:rsidRDefault="003A449D" w:rsidP="00291203">
            <w:pPr>
              <w:suppressAutoHyphens/>
              <w:jc w:val="center"/>
              <w:rPr>
                <w:b/>
                <w:bCs/>
                <w:color w:val="000000"/>
                <w:lang w:val="lt-LT"/>
              </w:rPr>
            </w:pPr>
            <w:r w:rsidRPr="004E3642">
              <w:rPr>
                <w:b/>
                <w:bCs/>
                <w:lang w:val="lt-LT"/>
              </w:rPr>
              <w:t>Kriterijaus reikšmė</w:t>
            </w:r>
          </w:p>
        </w:tc>
        <w:tc>
          <w:tcPr>
            <w:tcW w:w="1559" w:type="dxa"/>
          </w:tcPr>
          <w:p w14:paraId="31691A69" w14:textId="77777777" w:rsidR="003A449D" w:rsidRPr="0098672C" w:rsidRDefault="003A449D" w:rsidP="00291203">
            <w:pPr>
              <w:suppressAutoHyphens/>
              <w:jc w:val="center"/>
              <w:rPr>
                <w:b/>
                <w:bCs/>
                <w:lang w:val="it-IT"/>
              </w:rPr>
            </w:pPr>
            <w:r w:rsidRPr="00D2347F">
              <w:rPr>
                <w:b/>
                <w:lang w:val="lt-LT"/>
              </w:rPr>
              <w:t>Balo skyrimo sąlyga</w:t>
            </w:r>
          </w:p>
        </w:tc>
        <w:tc>
          <w:tcPr>
            <w:tcW w:w="1418" w:type="dxa"/>
            <w:shd w:val="clear" w:color="auto" w:fill="auto"/>
          </w:tcPr>
          <w:p w14:paraId="2827054A" w14:textId="77777777" w:rsidR="003A449D" w:rsidRPr="004E3642" w:rsidRDefault="003A449D" w:rsidP="00291203">
            <w:pPr>
              <w:suppressAutoHyphens/>
              <w:jc w:val="center"/>
              <w:rPr>
                <w:b/>
                <w:bCs/>
                <w:color w:val="000000"/>
                <w:lang w:val="lt-LT"/>
              </w:rPr>
            </w:pPr>
            <w:r w:rsidRPr="004E3642">
              <w:rPr>
                <w:b/>
                <w:bCs/>
                <w:lang w:val="lt-LT"/>
              </w:rPr>
              <w:t>Lyginamasis svoris Y=4</w:t>
            </w:r>
            <w:r>
              <w:rPr>
                <w:b/>
                <w:bCs/>
                <w:lang w:val="lt-LT"/>
              </w:rPr>
              <w:t>5</w:t>
            </w:r>
          </w:p>
        </w:tc>
        <w:tc>
          <w:tcPr>
            <w:tcW w:w="2268" w:type="dxa"/>
            <w:shd w:val="clear" w:color="auto" w:fill="auto"/>
          </w:tcPr>
          <w:p w14:paraId="7C02A4DF" w14:textId="77777777" w:rsidR="003A449D" w:rsidRDefault="003A449D" w:rsidP="00291203">
            <w:pPr>
              <w:suppressAutoHyphens/>
              <w:jc w:val="center"/>
              <w:rPr>
                <w:b/>
                <w:lang w:val="lt-LT"/>
              </w:rPr>
            </w:pPr>
            <w:r>
              <w:rPr>
                <w:b/>
                <w:lang w:val="lt-LT"/>
              </w:rPr>
              <w:t>Tiekėjo siūlomos parametro reikšmė</w:t>
            </w:r>
          </w:p>
          <w:p w14:paraId="0C7BF9AC" w14:textId="77777777" w:rsidR="003A449D" w:rsidRPr="005342CE" w:rsidRDefault="003A449D" w:rsidP="00291203">
            <w:pPr>
              <w:suppressAutoHyphens/>
              <w:jc w:val="center"/>
              <w:rPr>
                <w:b/>
                <w:sz w:val="18"/>
                <w:szCs w:val="18"/>
                <w:lang w:val="lt-LT"/>
              </w:rPr>
            </w:pPr>
            <w:r w:rsidRPr="005342CE">
              <w:rPr>
                <w:bCs/>
                <w:sz w:val="18"/>
                <w:szCs w:val="18"/>
                <w:lang w:val="lt-LT"/>
              </w:rPr>
              <w:t>(</w:t>
            </w:r>
            <w:r w:rsidRPr="005342CE">
              <w:rPr>
                <w:bCs/>
                <w:i/>
                <w:iCs/>
                <w:color w:val="000000"/>
                <w:sz w:val="18"/>
                <w:szCs w:val="18"/>
                <w:lang w:val="lt-LT"/>
              </w:rPr>
              <w:t>nurodomas pridedamų katalogų, bukletų ir pan. puslapio Nr., kuriame aprašytas nurodytas parametras)</w:t>
            </w:r>
          </w:p>
        </w:tc>
      </w:tr>
      <w:tr w:rsidR="003A449D" w:rsidRPr="00752FDF" w14:paraId="78F76ECA" w14:textId="77777777" w:rsidTr="00291203">
        <w:trPr>
          <w:cantSplit/>
        </w:trPr>
        <w:tc>
          <w:tcPr>
            <w:tcW w:w="1129" w:type="dxa"/>
          </w:tcPr>
          <w:p w14:paraId="4B4CCE05" w14:textId="77777777" w:rsidR="003A449D" w:rsidRPr="00752FDF" w:rsidRDefault="003A449D" w:rsidP="00291203">
            <w:pPr>
              <w:suppressAutoHyphens/>
              <w:rPr>
                <w:color w:val="000000"/>
                <w:lang w:val="lt-LT"/>
              </w:rPr>
            </w:pPr>
            <w:r w:rsidRPr="00752FDF">
              <w:rPr>
                <w:color w:val="000000"/>
                <w:lang w:val="lt-LT"/>
              </w:rPr>
              <w:t>T1</w:t>
            </w:r>
          </w:p>
        </w:tc>
        <w:tc>
          <w:tcPr>
            <w:tcW w:w="3119" w:type="dxa"/>
          </w:tcPr>
          <w:p w14:paraId="5C886A8F" w14:textId="77777777" w:rsidR="003A449D" w:rsidRPr="00752FDF" w:rsidRDefault="003A449D" w:rsidP="00291203">
            <w:pPr>
              <w:suppressAutoHyphens/>
              <w:rPr>
                <w:color w:val="000000"/>
                <w:lang w:val="lt-LT"/>
              </w:rPr>
            </w:pPr>
            <w:r w:rsidRPr="00752FDF">
              <w:rPr>
                <w:bCs/>
                <w:color w:val="000000"/>
                <w:lang w:val="lt-LT"/>
              </w:rPr>
              <w:t>Matavimų patikrinimas: Viso ilgio O</w:t>
            </w:r>
            <w:r>
              <w:rPr>
                <w:bCs/>
                <w:color w:val="000000"/>
                <w:lang w:val="lt-LT"/>
              </w:rPr>
              <w:t>K</w:t>
            </w:r>
            <w:r w:rsidRPr="00752FDF">
              <w:rPr>
                <w:bCs/>
                <w:color w:val="000000"/>
                <w:lang w:val="lt-LT"/>
              </w:rPr>
              <w:t>T akies pjūvio vaizdas, parodantis akies anatomines detales, neįprastą geometriją, kaip, kad pakreiptus, išcentruotus lęšiukus, o taip pat, ar pacientas gerai fiksavo žvilgsnį, ir ar ašinio ilgio matavimas atliktas tiksliai geltonosios dėmės centrinėje duobutėje.</w:t>
            </w:r>
          </w:p>
        </w:tc>
        <w:tc>
          <w:tcPr>
            <w:tcW w:w="1559" w:type="dxa"/>
          </w:tcPr>
          <w:p w14:paraId="786CDA7E" w14:textId="77777777" w:rsidR="003A449D" w:rsidRPr="00C36A32" w:rsidRDefault="003A449D" w:rsidP="00291203">
            <w:pPr>
              <w:rPr>
                <w:lang w:val="it-IT"/>
              </w:rPr>
            </w:pPr>
            <w:r>
              <w:rPr>
                <w:lang w:val="it-IT"/>
              </w:rPr>
              <w:t>T1</w:t>
            </w:r>
            <w:r w:rsidRPr="00C36A32">
              <w:rPr>
                <w:lang w:val="it-IT"/>
              </w:rPr>
              <w:t xml:space="preserve"> = </w:t>
            </w:r>
            <w:r>
              <w:rPr>
                <w:lang w:val="it-IT"/>
              </w:rPr>
              <w:t>8</w:t>
            </w:r>
            <w:r w:rsidRPr="00C36A32">
              <w:rPr>
                <w:lang w:val="it-IT"/>
              </w:rPr>
              <w:t>, kai atitinka</w:t>
            </w:r>
          </w:p>
          <w:p w14:paraId="03071F38" w14:textId="77777777" w:rsidR="003A449D" w:rsidRPr="0098672C" w:rsidRDefault="003A449D" w:rsidP="00291203">
            <w:pPr>
              <w:rPr>
                <w:lang w:val="it-IT"/>
              </w:rPr>
            </w:pPr>
            <w:r>
              <w:rPr>
                <w:lang w:val="it-IT"/>
              </w:rPr>
              <w:t>T1</w:t>
            </w:r>
            <w:r w:rsidRPr="00C36A32">
              <w:rPr>
                <w:lang w:val="it-IT"/>
              </w:rPr>
              <w:t xml:space="preserve"> = 0, kai neatitinka</w:t>
            </w:r>
          </w:p>
        </w:tc>
        <w:tc>
          <w:tcPr>
            <w:tcW w:w="1418" w:type="dxa"/>
            <w:shd w:val="clear" w:color="auto" w:fill="auto"/>
          </w:tcPr>
          <w:p w14:paraId="43455C2B" w14:textId="77777777" w:rsidR="003A449D" w:rsidRPr="00752FDF" w:rsidRDefault="003A449D" w:rsidP="00291203">
            <w:pPr>
              <w:pStyle w:val="Betarp"/>
              <w:rPr>
                <w:color w:val="000000"/>
                <w:lang w:val="lt-LT"/>
              </w:rPr>
            </w:pPr>
            <w:r w:rsidRPr="00752FDF">
              <w:rPr>
                <w:lang w:val="lt-LT"/>
              </w:rPr>
              <w:t xml:space="preserve">Y1 = </w:t>
            </w:r>
            <w:r>
              <w:rPr>
                <w:lang w:val="lt-LT"/>
              </w:rPr>
              <w:t>8</w:t>
            </w:r>
          </w:p>
        </w:tc>
        <w:tc>
          <w:tcPr>
            <w:tcW w:w="2268" w:type="dxa"/>
          </w:tcPr>
          <w:p w14:paraId="56EDB9A2" w14:textId="77777777" w:rsidR="003A449D" w:rsidRPr="00752FDF" w:rsidRDefault="003A449D" w:rsidP="00291203">
            <w:pPr>
              <w:rPr>
                <w:lang w:val="lt-LT"/>
              </w:rPr>
            </w:pPr>
            <w:r w:rsidRPr="00752FDF">
              <w:rPr>
                <w:lang w:val="lt-LT"/>
              </w:rPr>
              <w:t xml:space="preserve">Įrašyti parametro vertę: </w:t>
            </w:r>
            <w:r w:rsidRPr="00752FDF">
              <w:rPr>
                <w:b/>
                <w:bCs/>
                <w:lang w:val="lt-LT"/>
              </w:rPr>
              <w:t>yra / nėra</w:t>
            </w:r>
          </w:p>
        </w:tc>
      </w:tr>
      <w:tr w:rsidR="003A449D" w:rsidRPr="001C3531" w14:paraId="4D156025" w14:textId="77777777" w:rsidTr="00291203">
        <w:trPr>
          <w:cantSplit/>
        </w:trPr>
        <w:tc>
          <w:tcPr>
            <w:tcW w:w="1129" w:type="dxa"/>
          </w:tcPr>
          <w:p w14:paraId="47622DA6" w14:textId="77777777" w:rsidR="003A449D" w:rsidRPr="004E3642" w:rsidRDefault="003A449D" w:rsidP="00291203">
            <w:pPr>
              <w:suppressAutoHyphens/>
              <w:rPr>
                <w:color w:val="000000"/>
                <w:lang w:val="lt-LT"/>
              </w:rPr>
            </w:pPr>
            <w:r w:rsidRPr="004E3642">
              <w:rPr>
                <w:color w:val="000000"/>
                <w:lang w:val="lt-LT"/>
              </w:rPr>
              <w:t>T</w:t>
            </w:r>
            <w:r>
              <w:rPr>
                <w:color w:val="000000"/>
                <w:lang w:val="lt-LT"/>
              </w:rPr>
              <w:t>2</w:t>
            </w:r>
          </w:p>
        </w:tc>
        <w:tc>
          <w:tcPr>
            <w:tcW w:w="3119" w:type="dxa"/>
          </w:tcPr>
          <w:p w14:paraId="1C7E134C" w14:textId="77777777" w:rsidR="003A449D" w:rsidRPr="004E3642" w:rsidRDefault="003A449D" w:rsidP="00291203">
            <w:pPr>
              <w:suppressAutoHyphens/>
              <w:rPr>
                <w:color w:val="000000"/>
                <w:lang w:val="lt-LT"/>
              </w:rPr>
            </w:pPr>
            <w:r w:rsidRPr="004E3642">
              <w:rPr>
                <w:bCs/>
                <w:color w:val="000000"/>
                <w:lang w:val="lt-LT"/>
              </w:rPr>
              <w:t>Akies keratometrijos matavimas: Telecentrinės optikos principu</w:t>
            </w:r>
          </w:p>
        </w:tc>
        <w:tc>
          <w:tcPr>
            <w:tcW w:w="1559" w:type="dxa"/>
          </w:tcPr>
          <w:p w14:paraId="2BB703DB" w14:textId="77777777" w:rsidR="003A449D" w:rsidRPr="00C36A32" w:rsidRDefault="003A449D" w:rsidP="00291203">
            <w:pPr>
              <w:rPr>
                <w:lang w:val="it-IT"/>
              </w:rPr>
            </w:pPr>
            <w:r>
              <w:rPr>
                <w:lang w:val="it-IT"/>
              </w:rPr>
              <w:t>T2</w:t>
            </w:r>
            <w:r w:rsidRPr="00C36A32">
              <w:rPr>
                <w:lang w:val="it-IT"/>
              </w:rPr>
              <w:t xml:space="preserve"> = </w:t>
            </w:r>
            <w:r>
              <w:rPr>
                <w:lang w:val="it-IT"/>
              </w:rPr>
              <w:t>8</w:t>
            </w:r>
            <w:r w:rsidRPr="00C36A32">
              <w:rPr>
                <w:lang w:val="it-IT"/>
              </w:rPr>
              <w:t>, kai atitinka</w:t>
            </w:r>
          </w:p>
          <w:p w14:paraId="271BB9B5" w14:textId="77777777" w:rsidR="003A449D" w:rsidRPr="0098672C" w:rsidRDefault="003A449D" w:rsidP="00291203">
            <w:pPr>
              <w:pStyle w:val="Betarp"/>
              <w:rPr>
                <w:lang w:val="it-IT"/>
              </w:rPr>
            </w:pPr>
            <w:r>
              <w:rPr>
                <w:lang w:val="it-IT"/>
              </w:rPr>
              <w:t>T2</w:t>
            </w:r>
            <w:r w:rsidRPr="00C36A32">
              <w:rPr>
                <w:lang w:val="it-IT"/>
              </w:rPr>
              <w:t xml:space="preserve"> = 0, kai neatitinka</w:t>
            </w:r>
          </w:p>
        </w:tc>
        <w:tc>
          <w:tcPr>
            <w:tcW w:w="1418" w:type="dxa"/>
            <w:shd w:val="clear" w:color="auto" w:fill="auto"/>
          </w:tcPr>
          <w:p w14:paraId="6DB023BA" w14:textId="77777777" w:rsidR="003A449D" w:rsidRPr="004E3642" w:rsidRDefault="003A449D" w:rsidP="00291203">
            <w:pPr>
              <w:pStyle w:val="Betarp"/>
              <w:rPr>
                <w:color w:val="000000"/>
                <w:lang w:val="lt-LT"/>
              </w:rPr>
            </w:pPr>
            <w:r w:rsidRPr="004E3642">
              <w:rPr>
                <w:lang w:val="lt-LT"/>
              </w:rPr>
              <w:t>Y</w:t>
            </w:r>
            <w:r>
              <w:rPr>
                <w:lang w:val="lt-LT"/>
              </w:rPr>
              <w:t>2</w:t>
            </w:r>
            <w:r w:rsidRPr="004E3642">
              <w:rPr>
                <w:lang w:val="lt-LT"/>
              </w:rPr>
              <w:t xml:space="preserve"> = </w:t>
            </w:r>
            <w:r>
              <w:rPr>
                <w:lang w:val="lt-LT"/>
              </w:rPr>
              <w:t>8</w:t>
            </w:r>
          </w:p>
        </w:tc>
        <w:tc>
          <w:tcPr>
            <w:tcW w:w="2268" w:type="dxa"/>
          </w:tcPr>
          <w:p w14:paraId="195781A5" w14:textId="77777777" w:rsidR="003A449D" w:rsidRPr="004E3642" w:rsidRDefault="003A449D" w:rsidP="00291203">
            <w:pPr>
              <w:pStyle w:val="Betarp"/>
              <w:rPr>
                <w:lang w:val="lt-LT"/>
              </w:rPr>
            </w:pPr>
            <w:r w:rsidRPr="00752FDF">
              <w:rPr>
                <w:lang w:val="lt-LT"/>
              </w:rPr>
              <w:t xml:space="preserve">Įrašyti parametro vertę: </w:t>
            </w:r>
            <w:r w:rsidRPr="00752FDF">
              <w:rPr>
                <w:b/>
                <w:bCs/>
                <w:lang w:val="lt-LT"/>
              </w:rPr>
              <w:t>yra / nėra</w:t>
            </w:r>
          </w:p>
        </w:tc>
      </w:tr>
      <w:tr w:rsidR="003A449D" w:rsidRPr="005342CE" w14:paraId="1EE830E3" w14:textId="77777777" w:rsidTr="00291203">
        <w:trPr>
          <w:cantSplit/>
        </w:trPr>
        <w:tc>
          <w:tcPr>
            <w:tcW w:w="1129" w:type="dxa"/>
          </w:tcPr>
          <w:p w14:paraId="4816570A" w14:textId="77777777" w:rsidR="003A449D" w:rsidRPr="005342CE" w:rsidRDefault="003A449D" w:rsidP="00291203">
            <w:pPr>
              <w:suppressAutoHyphens/>
              <w:rPr>
                <w:color w:val="000000"/>
                <w:lang w:val="lt-LT"/>
              </w:rPr>
            </w:pPr>
            <w:r w:rsidRPr="005342CE">
              <w:rPr>
                <w:color w:val="000000"/>
                <w:lang w:val="lt-LT"/>
              </w:rPr>
              <w:lastRenderedPageBreak/>
              <w:t>T3</w:t>
            </w:r>
          </w:p>
        </w:tc>
        <w:tc>
          <w:tcPr>
            <w:tcW w:w="3119" w:type="dxa"/>
          </w:tcPr>
          <w:p w14:paraId="1C15EE2E" w14:textId="77777777" w:rsidR="003A449D" w:rsidRPr="005342CE" w:rsidRDefault="003A449D" w:rsidP="00291203">
            <w:pPr>
              <w:suppressAutoHyphens/>
              <w:rPr>
                <w:color w:val="000000"/>
                <w:lang w:val="lt-LT"/>
              </w:rPr>
            </w:pPr>
            <w:r w:rsidRPr="005342CE">
              <w:rPr>
                <w:bCs/>
                <w:color w:val="000000"/>
                <w:lang w:val="lt-LT"/>
              </w:rPr>
              <w:t>Paciento akies stebėjimas, matavimo proceso, matavimo duomenų ir apskaičiuotų rezultatų atvaizdavimas: Multitaškiniame jutikliniame ekrane</w:t>
            </w:r>
          </w:p>
        </w:tc>
        <w:tc>
          <w:tcPr>
            <w:tcW w:w="1559" w:type="dxa"/>
          </w:tcPr>
          <w:p w14:paraId="105F227F" w14:textId="77777777" w:rsidR="003A449D" w:rsidRPr="00C36A32" w:rsidRDefault="003A449D" w:rsidP="00291203">
            <w:pPr>
              <w:rPr>
                <w:lang w:val="it-IT"/>
              </w:rPr>
            </w:pPr>
            <w:r>
              <w:rPr>
                <w:lang w:val="it-IT"/>
              </w:rPr>
              <w:t>T3</w:t>
            </w:r>
            <w:r w:rsidRPr="00C36A32">
              <w:rPr>
                <w:lang w:val="it-IT"/>
              </w:rPr>
              <w:t xml:space="preserve"> = </w:t>
            </w:r>
            <w:r>
              <w:rPr>
                <w:lang w:val="it-IT"/>
              </w:rPr>
              <w:t>8</w:t>
            </w:r>
            <w:r w:rsidRPr="00C36A32">
              <w:rPr>
                <w:lang w:val="it-IT"/>
              </w:rPr>
              <w:t>, kai atitinka</w:t>
            </w:r>
          </w:p>
          <w:p w14:paraId="2CBB1610" w14:textId="77777777" w:rsidR="003A449D" w:rsidRPr="005342CE" w:rsidRDefault="003A449D" w:rsidP="00291203">
            <w:pPr>
              <w:pStyle w:val="Betarp"/>
              <w:rPr>
                <w:lang w:val="lt-LT"/>
              </w:rPr>
            </w:pPr>
            <w:r>
              <w:rPr>
                <w:lang w:val="it-IT"/>
              </w:rPr>
              <w:t>T3</w:t>
            </w:r>
            <w:r w:rsidRPr="00C36A32">
              <w:rPr>
                <w:lang w:val="it-IT"/>
              </w:rPr>
              <w:t xml:space="preserve"> = 0, kai neatitinka</w:t>
            </w:r>
          </w:p>
        </w:tc>
        <w:tc>
          <w:tcPr>
            <w:tcW w:w="1418" w:type="dxa"/>
            <w:shd w:val="clear" w:color="auto" w:fill="auto"/>
          </w:tcPr>
          <w:p w14:paraId="204A38EF" w14:textId="77777777" w:rsidR="003A449D" w:rsidRPr="005342CE" w:rsidRDefault="003A449D" w:rsidP="00291203">
            <w:pPr>
              <w:pStyle w:val="Betarp"/>
              <w:rPr>
                <w:color w:val="000000"/>
                <w:lang w:val="lt-LT"/>
              </w:rPr>
            </w:pPr>
            <w:r w:rsidRPr="005342CE">
              <w:rPr>
                <w:lang w:val="lt-LT"/>
              </w:rPr>
              <w:t xml:space="preserve">Y3 = </w:t>
            </w:r>
            <w:r>
              <w:rPr>
                <w:lang w:val="lt-LT"/>
              </w:rPr>
              <w:t>8</w:t>
            </w:r>
          </w:p>
        </w:tc>
        <w:tc>
          <w:tcPr>
            <w:tcW w:w="2268" w:type="dxa"/>
          </w:tcPr>
          <w:p w14:paraId="5A76E97C" w14:textId="77777777" w:rsidR="003A449D" w:rsidRPr="005342CE" w:rsidRDefault="003A449D" w:rsidP="00291203">
            <w:pPr>
              <w:pStyle w:val="Betarp"/>
              <w:rPr>
                <w:lang w:val="lt-LT"/>
              </w:rPr>
            </w:pPr>
            <w:r w:rsidRPr="005342CE">
              <w:rPr>
                <w:lang w:val="lt-LT"/>
              </w:rPr>
              <w:t xml:space="preserve">Įrašyti parametro vertę: </w:t>
            </w:r>
            <w:r w:rsidRPr="005342CE">
              <w:rPr>
                <w:b/>
                <w:bCs/>
                <w:lang w:val="lt-LT"/>
              </w:rPr>
              <w:t>yra / nėra</w:t>
            </w:r>
          </w:p>
        </w:tc>
      </w:tr>
      <w:tr w:rsidR="003A449D" w:rsidRPr="001C3531" w14:paraId="46522524" w14:textId="77777777" w:rsidTr="00291203">
        <w:trPr>
          <w:cantSplit/>
        </w:trPr>
        <w:tc>
          <w:tcPr>
            <w:tcW w:w="1129" w:type="dxa"/>
          </w:tcPr>
          <w:p w14:paraId="4CA82B16" w14:textId="77777777" w:rsidR="003A449D" w:rsidRPr="004E3642" w:rsidRDefault="003A449D" w:rsidP="00291203">
            <w:pPr>
              <w:suppressAutoHyphens/>
              <w:rPr>
                <w:color w:val="000000"/>
                <w:lang w:val="lt-LT"/>
              </w:rPr>
            </w:pPr>
            <w:r w:rsidRPr="004E3642">
              <w:rPr>
                <w:color w:val="000000"/>
                <w:lang w:val="lt-LT"/>
              </w:rPr>
              <w:t>T</w:t>
            </w:r>
            <w:r>
              <w:rPr>
                <w:color w:val="000000"/>
                <w:lang w:val="lt-LT"/>
              </w:rPr>
              <w:t>4</w:t>
            </w:r>
          </w:p>
        </w:tc>
        <w:tc>
          <w:tcPr>
            <w:tcW w:w="3119" w:type="dxa"/>
          </w:tcPr>
          <w:p w14:paraId="6A89D4CA" w14:textId="77777777" w:rsidR="003A449D" w:rsidRPr="004E3642" w:rsidRDefault="003A449D" w:rsidP="00291203">
            <w:pPr>
              <w:suppressAutoHyphens/>
              <w:rPr>
                <w:color w:val="000000"/>
                <w:lang w:val="lt-LT"/>
              </w:rPr>
            </w:pPr>
            <w:r w:rsidRPr="004E3642">
              <w:rPr>
                <w:color w:val="000000"/>
                <w:lang w:val="lt-LT"/>
              </w:rPr>
              <w:t>Totalinė keratometrija: Atliekama ir priekinio ir užpakalinio ragenos paviršiaus matavimai</w:t>
            </w:r>
          </w:p>
        </w:tc>
        <w:tc>
          <w:tcPr>
            <w:tcW w:w="1559" w:type="dxa"/>
          </w:tcPr>
          <w:p w14:paraId="44B53581" w14:textId="77777777" w:rsidR="003A449D" w:rsidRPr="00C36A32" w:rsidRDefault="003A449D" w:rsidP="00291203">
            <w:pPr>
              <w:rPr>
                <w:lang w:val="it-IT"/>
              </w:rPr>
            </w:pPr>
            <w:r>
              <w:rPr>
                <w:lang w:val="it-IT"/>
              </w:rPr>
              <w:t>T4</w:t>
            </w:r>
            <w:r w:rsidRPr="00C36A32">
              <w:rPr>
                <w:lang w:val="it-IT"/>
              </w:rPr>
              <w:t xml:space="preserve"> = </w:t>
            </w:r>
            <w:r>
              <w:rPr>
                <w:lang w:val="it-IT"/>
              </w:rPr>
              <w:t>8</w:t>
            </w:r>
            <w:r w:rsidRPr="00C36A32">
              <w:rPr>
                <w:lang w:val="it-IT"/>
              </w:rPr>
              <w:t>, kai atitinka</w:t>
            </w:r>
          </w:p>
          <w:p w14:paraId="76D273D2" w14:textId="77777777" w:rsidR="003A449D" w:rsidRPr="0098672C" w:rsidRDefault="003A449D" w:rsidP="00291203">
            <w:pPr>
              <w:rPr>
                <w:lang w:val="it-IT"/>
              </w:rPr>
            </w:pPr>
            <w:r>
              <w:rPr>
                <w:lang w:val="it-IT"/>
              </w:rPr>
              <w:t>T4</w:t>
            </w:r>
            <w:r w:rsidRPr="00C36A32">
              <w:rPr>
                <w:lang w:val="it-IT"/>
              </w:rPr>
              <w:t xml:space="preserve"> = 0, kai neatitinka</w:t>
            </w:r>
          </w:p>
        </w:tc>
        <w:tc>
          <w:tcPr>
            <w:tcW w:w="1418" w:type="dxa"/>
            <w:shd w:val="clear" w:color="auto" w:fill="auto"/>
          </w:tcPr>
          <w:p w14:paraId="02B236F4" w14:textId="77777777" w:rsidR="003A449D" w:rsidRPr="004E3642" w:rsidRDefault="003A449D" w:rsidP="00291203">
            <w:pPr>
              <w:pStyle w:val="Betarp"/>
              <w:rPr>
                <w:color w:val="000000"/>
                <w:lang w:val="lt-LT"/>
              </w:rPr>
            </w:pPr>
            <w:r w:rsidRPr="004E3642">
              <w:rPr>
                <w:lang w:val="lt-LT"/>
              </w:rPr>
              <w:t>Y</w:t>
            </w:r>
            <w:r>
              <w:rPr>
                <w:lang w:val="lt-LT"/>
              </w:rPr>
              <w:t>8</w:t>
            </w:r>
            <w:r w:rsidRPr="004E3642">
              <w:rPr>
                <w:lang w:val="lt-LT"/>
              </w:rPr>
              <w:t xml:space="preserve"> = </w:t>
            </w:r>
            <w:r>
              <w:rPr>
                <w:lang w:val="lt-LT"/>
              </w:rPr>
              <w:t>8</w:t>
            </w:r>
          </w:p>
        </w:tc>
        <w:tc>
          <w:tcPr>
            <w:tcW w:w="2268" w:type="dxa"/>
          </w:tcPr>
          <w:p w14:paraId="09F2E544" w14:textId="77777777" w:rsidR="003A449D" w:rsidRPr="004E3642" w:rsidRDefault="003A449D" w:rsidP="00291203">
            <w:pPr>
              <w:pStyle w:val="Betarp"/>
              <w:rPr>
                <w:lang w:val="lt-LT"/>
              </w:rPr>
            </w:pPr>
            <w:r w:rsidRPr="005342CE">
              <w:rPr>
                <w:lang w:val="lt-LT"/>
              </w:rPr>
              <w:t xml:space="preserve">Įrašyti parametro vertę: </w:t>
            </w:r>
            <w:r w:rsidRPr="005342CE">
              <w:rPr>
                <w:b/>
                <w:bCs/>
                <w:lang w:val="lt-LT"/>
              </w:rPr>
              <w:t>yra / nėra</w:t>
            </w:r>
          </w:p>
        </w:tc>
      </w:tr>
      <w:tr w:rsidR="003A449D" w:rsidRPr="001C3531" w14:paraId="2B997B1C" w14:textId="77777777" w:rsidTr="00291203">
        <w:trPr>
          <w:cantSplit/>
        </w:trPr>
        <w:tc>
          <w:tcPr>
            <w:tcW w:w="1129" w:type="dxa"/>
          </w:tcPr>
          <w:p w14:paraId="5867B2D4" w14:textId="77777777" w:rsidR="003A449D" w:rsidRPr="004E3642" w:rsidRDefault="003A449D" w:rsidP="00291203">
            <w:pPr>
              <w:suppressAutoHyphens/>
              <w:rPr>
                <w:color w:val="000000"/>
                <w:lang w:val="lt-LT"/>
              </w:rPr>
            </w:pPr>
            <w:r w:rsidRPr="004E3642">
              <w:rPr>
                <w:color w:val="000000"/>
                <w:lang w:val="lt-LT"/>
              </w:rPr>
              <w:t>T</w:t>
            </w:r>
            <w:r>
              <w:rPr>
                <w:color w:val="000000"/>
                <w:lang w:val="lt-LT"/>
              </w:rPr>
              <w:t>5</w:t>
            </w:r>
          </w:p>
        </w:tc>
        <w:tc>
          <w:tcPr>
            <w:tcW w:w="3119" w:type="dxa"/>
          </w:tcPr>
          <w:p w14:paraId="1D445AFD" w14:textId="77777777" w:rsidR="003A449D" w:rsidRPr="004E3642" w:rsidRDefault="003A449D" w:rsidP="00291203">
            <w:pPr>
              <w:suppressAutoHyphens/>
              <w:rPr>
                <w:color w:val="000000"/>
                <w:lang w:val="lt-LT"/>
              </w:rPr>
            </w:pPr>
            <w:r w:rsidRPr="004E3642">
              <w:rPr>
                <w:color w:val="000000"/>
                <w:lang w:val="lt-LT"/>
              </w:rPr>
              <w:t>Centrinės topografija</w:t>
            </w:r>
          </w:p>
        </w:tc>
        <w:tc>
          <w:tcPr>
            <w:tcW w:w="1559" w:type="dxa"/>
          </w:tcPr>
          <w:p w14:paraId="62636BEF" w14:textId="77777777" w:rsidR="003A449D" w:rsidRPr="00C36A32" w:rsidRDefault="003A449D" w:rsidP="00291203">
            <w:pPr>
              <w:rPr>
                <w:lang w:val="it-IT"/>
              </w:rPr>
            </w:pPr>
            <w:r>
              <w:rPr>
                <w:lang w:val="it-IT"/>
              </w:rPr>
              <w:t>T5</w:t>
            </w:r>
            <w:r w:rsidRPr="00C36A32">
              <w:rPr>
                <w:lang w:val="it-IT"/>
              </w:rPr>
              <w:t xml:space="preserve"> = </w:t>
            </w:r>
            <w:r>
              <w:rPr>
                <w:lang w:val="it-IT"/>
              </w:rPr>
              <w:t>8</w:t>
            </w:r>
            <w:r w:rsidRPr="00C36A32">
              <w:rPr>
                <w:lang w:val="it-IT"/>
              </w:rPr>
              <w:t>, kai atitinka</w:t>
            </w:r>
          </w:p>
          <w:p w14:paraId="1B30895E" w14:textId="77777777" w:rsidR="003A449D" w:rsidRPr="0098672C" w:rsidRDefault="003A449D" w:rsidP="00291203">
            <w:pPr>
              <w:rPr>
                <w:lang w:val="it-IT"/>
              </w:rPr>
            </w:pPr>
            <w:r>
              <w:rPr>
                <w:lang w:val="it-IT"/>
              </w:rPr>
              <w:t>T5</w:t>
            </w:r>
            <w:r w:rsidRPr="00C36A32">
              <w:rPr>
                <w:lang w:val="it-IT"/>
              </w:rPr>
              <w:t xml:space="preserve"> = 0, kai neatitinka</w:t>
            </w:r>
          </w:p>
        </w:tc>
        <w:tc>
          <w:tcPr>
            <w:tcW w:w="1418" w:type="dxa"/>
            <w:shd w:val="clear" w:color="auto" w:fill="auto"/>
          </w:tcPr>
          <w:p w14:paraId="301290F3" w14:textId="77777777" w:rsidR="003A449D" w:rsidRPr="004E3642" w:rsidRDefault="003A449D" w:rsidP="00291203">
            <w:pPr>
              <w:pStyle w:val="Betarp"/>
              <w:rPr>
                <w:color w:val="000000"/>
                <w:lang w:val="lt-LT"/>
              </w:rPr>
            </w:pPr>
            <w:r w:rsidRPr="004E3642">
              <w:rPr>
                <w:lang w:val="lt-LT"/>
              </w:rPr>
              <w:t>Y</w:t>
            </w:r>
            <w:r>
              <w:rPr>
                <w:lang w:val="lt-LT"/>
              </w:rPr>
              <w:t>9</w:t>
            </w:r>
            <w:r w:rsidRPr="004E3642">
              <w:rPr>
                <w:lang w:val="lt-LT"/>
              </w:rPr>
              <w:t xml:space="preserve"> = </w:t>
            </w:r>
            <w:r>
              <w:rPr>
                <w:lang w:val="lt-LT"/>
              </w:rPr>
              <w:t>8</w:t>
            </w:r>
          </w:p>
        </w:tc>
        <w:tc>
          <w:tcPr>
            <w:tcW w:w="2268" w:type="dxa"/>
          </w:tcPr>
          <w:p w14:paraId="534F7DC9" w14:textId="77777777" w:rsidR="003A449D" w:rsidRPr="004E3642" w:rsidRDefault="003A449D" w:rsidP="00291203">
            <w:pPr>
              <w:pStyle w:val="Betarp"/>
              <w:rPr>
                <w:lang w:val="lt-LT"/>
              </w:rPr>
            </w:pPr>
            <w:r w:rsidRPr="005342CE">
              <w:rPr>
                <w:lang w:val="lt-LT"/>
              </w:rPr>
              <w:t xml:space="preserve">Įrašyti parametro vertę: </w:t>
            </w:r>
            <w:r w:rsidRPr="005342CE">
              <w:rPr>
                <w:b/>
                <w:bCs/>
                <w:lang w:val="lt-LT"/>
              </w:rPr>
              <w:t>yra / nėra</w:t>
            </w:r>
          </w:p>
        </w:tc>
      </w:tr>
    </w:tbl>
    <w:p w14:paraId="3A14BB03" w14:textId="77777777" w:rsidR="003A449D" w:rsidRPr="001C3531" w:rsidRDefault="003A449D" w:rsidP="003A449D">
      <w:pPr>
        <w:pBdr>
          <w:top w:val="nil"/>
          <w:left w:val="nil"/>
          <w:bottom w:val="nil"/>
          <w:right w:val="nil"/>
          <w:between w:val="nil"/>
          <w:bar w:val="nil"/>
        </w:pBdr>
        <w:spacing w:after="0" w:line="240" w:lineRule="auto"/>
        <w:ind w:left="360"/>
        <w:rPr>
          <w:rFonts w:ascii="Times New Roman" w:eastAsia="Arial Unicode MS" w:hAnsi="Times New Roman" w:cs="Times New Roman"/>
          <w:bdr w:val="nil"/>
        </w:rPr>
      </w:pPr>
    </w:p>
    <w:p w14:paraId="485733C3" w14:textId="77777777" w:rsidR="003A449D" w:rsidRPr="001C3531" w:rsidRDefault="003A449D" w:rsidP="003A449D">
      <w:pPr>
        <w:pBdr>
          <w:top w:val="nil"/>
          <w:left w:val="nil"/>
          <w:bottom w:val="nil"/>
          <w:right w:val="nil"/>
          <w:between w:val="nil"/>
          <w:bar w:val="nil"/>
        </w:pBdr>
        <w:spacing w:after="0" w:line="240" w:lineRule="auto"/>
        <w:ind w:firstLine="1296"/>
        <w:outlineLvl w:val="0"/>
        <w:rPr>
          <w:rFonts w:ascii="Times New Roman" w:eastAsia="Arial Unicode MS" w:hAnsi="Times New Roman" w:cs="Times New Roman"/>
          <w:b/>
          <w:bCs/>
          <w:caps/>
          <w:spacing w:val="4"/>
          <w:bdr w:val="nil"/>
        </w:rPr>
      </w:pPr>
      <w:r w:rsidRPr="001C3531">
        <w:rPr>
          <w:rFonts w:ascii="Times New Roman" w:eastAsia="Arial Unicode MS" w:hAnsi="Times New Roman" w:cs="Times New Roman"/>
          <w:b/>
          <w:bCs/>
          <w:caps/>
          <w:color w:val="434343"/>
          <w:spacing w:val="4"/>
          <w:bdr w:val="nil"/>
        </w:rPr>
        <w:t>4</w:t>
      </w:r>
      <w:r w:rsidRPr="001C3531">
        <w:rPr>
          <w:rFonts w:ascii="Times New Roman" w:eastAsia="Arial Unicode MS" w:hAnsi="Times New Roman" w:cs="Times New Roman"/>
          <w:b/>
          <w:bCs/>
          <w:caps/>
          <w:spacing w:val="4"/>
          <w:bdr w:val="nil"/>
        </w:rPr>
        <w:t xml:space="preserve">. Informavimas APIE VERTINIMO REZULTATUS </w:t>
      </w:r>
    </w:p>
    <w:p w14:paraId="5469993A" w14:textId="77777777" w:rsidR="003A449D" w:rsidRPr="001C3531" w:rsidRDefault="003A449D" w:rsidP="003A449D">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bdr w:val="nil"/>
        </w:rPr>
      </w:pPr>
    </w:p>
    <w:p w14:paraId="72283AA8" w14:textId="77777777" w:rsidR="003A449D" w:rsidRPr="001C3531" w:rsidRDefault="003A449D" w:rsidP="003A449D">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rPr>
      </w:pPr>
      <w:r w:rsidRPr="001C3531">
        <w:rPr>
          <w:rFonts w:ascii="Times New Roman" w:eastAsia="Arial Unicode MS" w:hAnsi="Times New Roman" w:cs="Times New Roman"/>
          <w:bdr w:val="nil"/>
        </w:rPr>
        <w:tab/>
        <w:t>4.1. Perkančioji organizacija pranešime apie sudarytą pasiūlymų eilę ir laimėjusį pasiūlymą nurodo kiekvieno pasiūlymo kokybės kriterijų (T) balus, kainą, pasiūlymo kainos balą (C) ir bendrą pasiūlymo ekonominio naudingumo balą (S). Pasiūlymų eilė sudaroma ekonominio naudingumo balo (S) mažėjimo tvarka.</w:t>
      </w:r>
      <w:bookmarkEnd w:id="0"/>
    </w:p>
    <w:p w14:paraId="0C5F3127" w14:textId="77777777" w:rsidR="003A449D" w:rsidRDefault="003A449D" w:rsidP="003A449D"/>
    <w:p w14:paraId="4CE167B5" w14:textId="77777777" w:rsidR="00A62EC1" w:rsidRPr="003A449D" w:rsidRDefault="00A62EC1" w:rsidP="003A449D"/>
    <w:sectPr w:rsidR="00A62EC1" w:rsidRPr="003A449D" w:rsidSect="000750A8">
      <w:pgSz w:w="11900" w:h="16840"/>
      <w:pgMar w:top="709" w:right="567" w:bottom="993" w:left="1701"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00000000"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A5DE8"/>
    <w:multiLevelType w:val="hybridMultilevel"/>
    <w:tmpl w:val="F7AC4210"/>
    <w:lvl w:ilvl="0" w:tplc="6EB48DD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4267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F6"/>
    <w:rsid w:val="00033647"/>
    <w:rsid w:val="000750A8"/>
    <w:rsid w:val="003A449D"/>
    <w:rsid w:val="005308F6"/>
    <w:rsid w:val="005525F6"/>
    <w:rsid w:val="00A62EC1"/>
    <w:rsid w:val="00B44CA8"/>
    <w:rsid w:val="00BC1581"/>
    <w:rsid w:val="00CD6053"/>
    <w:rsid w:val="00D72DDC"/>
    <w:rsid w:val="00FF336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EBF8B-782E-4EDB-B4B2-FDAD6E28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0A8"/>
    <w:rPr>
      <w:kern w:val="0"/>
      <w14:ligatures w14:val="none"/>
    </w:rPr>
  </w:style>
  <w:style w:type="paragraph" w:styleId="Antrat1">
    <w:name w:val="heading 1"/>
    <w:basedOn w:val="prastasis"/>
    <w:next w:val="prastasis"/>
    <w:link w:val="Antrat1Diagrama"/>
    <w:uiPriority w:val="9"/>
    <w:qFormat/>
    <w:rsid w:val="00530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0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08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08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08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08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08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08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08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08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08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08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08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08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08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08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08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08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0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08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08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08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08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08F6"/>
    <w:rPr>
      <w:i/>
      <w:iCs/>
      <w:color w:val="404040" w:themeColor="text1" w:themeTint="BF"/>
    </w:rPr>
  </w:style>
  <w:style w:type="paragraph" w:styleId="Sraopastraipa">
    <w:name w:val="List Paragraph"/>
    <w:basedOn w:val="prastasis"/>
    <w:uiPriority w:val="34"/>
    <w:qFormat/>
    <w:rsid w:val="005308F6"/>
    <w:pPr>
      <w:ind w:left="720"/>
      <w:contextualSpacing/>
    </w:pPr>
  </w:style>
  <w:style w:type="character" w:styleId="Rykuspabraukimas">
    <w:name w:val="Intense Emphasis"/>
    <w:basedOn w:val="Numatytasispastraiposriftas"/>
    <w:uiPriority w:val="21"/>
    <w:qFormat/>
    <w:rsid w:val="005308F6"/>
    <w:rPr>
      <w:i/>
      <w:iCs/>
      <w:color w:val="2F5496" w:themeColor="accent1" w:themeShade="BF"/>
    </w:rPr>
  </w:style>
  <w:style w:type="paragraph" w:styleId="Iskirtacitata">
    <w:name w:val="Intense Quote"/>
    <w:basedOn w:val="prastasis"/>
    <w:next w:val="prastasis"/>
    <w:link w:val="IskirtacitataDiagrama"/>
    <w:uiPriority w:val="30"/>
    <w:qFormat/>
    <w:rsid w:val="00530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08F6"/>
    <w:rPr>
      <w:i/>
      <w:iCs/>
      <w:color w:val="2F5496" w:themeColor="accent1" w:themeShade="BF"/>
    </w:rPr>
  </w:style>
  <w:style w:type="character" w:styleId="Rykinuoroda">
    <w:name w:val="Intense Reference"/>
    <w:basedOn w:val="Numatytasispastraiposriftas"/>
    <w:uiPriority w:val="32"/>
    <w:qFormat/>
    <w:rsid w:val="005308F6"/>
    <w:rPr>
      <w:b/>
      <w:bCs/>
      <w:smallCaps/>
      <w:color w:val="2F5496" w:themeColor="accent1" w:themeShade="BF"/>
      <w:spacing w:val="5"/>
    </w:rPr>
  </w:style>
  <w:style w:type="table" w:styleId="Lentelstinklelis">
    <w:name w:val="Table Grid"/>
    <w:basedOn w:val="prastojilentel"/>
    <w:uiPriority w:val="39"/>
    <w:rsid w:val="000750A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750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Betarp">
    <w:name w:val="No Spacing"/>
    <w:uiPriority w:val="1"/>
    <w:qFormat/>
    <w:rsid w:val="000750A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2256</Words>
  <Characters>1287</Characters>
  <Application>Microsoft Office Word</Application>
  <DocSecurity>0</DocSecurity>
  <Lines>10</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Dulinskienė</dc:creator>
  <cp:keywords/>
  <dc:description/>
  <cp:lastModifiedBy>Ingrida Kuncaitė-Juocevičienė</cp:lastModifiedBy>
  <cp:revision>2</cp:revision>
  <dcterms:created xsi:type="dcterms:W3CDTF">2025-06-12T10:34:00Z</dcterms:created>
  <dcterms:modified xsi:type="dcterms:W3CDTF">2025-06-12T10:34:00Z</dcterms:modified>
</cp:coreProperties>
</file>