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5B96" w:rsidRPr="002E24D8" w:rsidRDefault="00975B96" w:rsidP="00975B96">
      <w:pPr>
        <w:tabs>
          <w:tab w:val="left" w:pos="7186"/>
        </w:tabs>
        <w:suppressAutoHyphens/>
        <w:ind w:left="34"/>
        <w:jc w:val="center"/>
        <w:rPr>
          <w:rFonts w:eastAsia="Calibri"/>
        </w:rPr>
      </w:pPr>
      <w:bookmarkStart w:id="0" w:name="_GoBack"/>
      <w:bookmarkEnd w:id="0"/>
      <w:r w:rsidRPr="002E24D8">
        <w:rPr>
          <w:rFonts w:eastAsia="Calibri"/>
          <w:b/>
          <w:lang w:eastAsia="ar-SA"/>
        </w:rPr>
        <w:t>INFRASTRUKTŪROS VALDYMO AGENTŪRA</w:t>
      </w:r>
    </w:p>
    <w:p w:rsidR="00975B96" w:rsidRPr="002E24D8" w:rsidRDefault="00975B96" w:rsidP="00975B96">
      <w:pPr>
        <w:spacing w:line="200" w:lineRule="atLeast"/>
        <w:ind w:left="6096"/>
        <w:rPr>
          <w:rFonts w:eastAsia="Calibri"/>
        </w:rPr>
      </w:pPr>
    </w:p>
    <w:p w:rsidR="00975B96" w:rsidRPr="002E24D8" w:rsidRDefault="00975B96" w:rsidP="00975B96">
      <w:pPr>
        <w:ind w:left="6096"/>
        <w:rPr>
          <w:rFonts w:eastAsia="Calibri"/>
        </w:rPr>
      </w:pPr>
    </w:p>
    <w:p w:rsidR="00975B96" w:rsidRPr="002E24D8" w:rsidRDefault="00975B96" w:rsidP="00975B96">
      <w:pPr>
        <w:ind w:left="6804"/>
        <w:rPr>
          <w:rFonts w:eastAsia="Calibri"/>
          <w:b/>
        </w:rPr>
      </w:pPr>
      <w:r w:rsidRPr="002E24D8">
        <w:rPr>
          <w:rFonts w:eastAsia="Calibri"/>
        </w:rPr>
        <w:t>TVIRTINU</w:t>
      </w:r>
    </w:p>
    <w:p w:rsidR="00975B96" w:rsidRPr="002E24D8" w:rsidRDefault="00975B96" w:rsidP="00975B96">
      <w:pPr>
        <w:ind w:left="6804"/>
        <w:rPr>
          <w:rFonts w:eastAsia="Calibri"/>
        </w:rPr>
      </w:pPr>
      <w:r w:rsidRPr="002E24D8">
        <w:rPr>
          <w:rFonts w:eastAsia="Calibri"/>
        </w:rPr>
        <w:t xml:space="preserve">Direktorius  </w:t>
      </w:r>
    </w:p>
    <w:p w:rsidR="00975B96" w:rsidRPr="002E24D8" w:rsidRDefault="00975B96" w:rsidP="00975B96">
      <w:pPr>
        <w:ind w:left="6804"/>
        <w:rPr>
          <w:rFonts w:eastAsia="Calibri"/>
        </w:rPr>
      </w:pPr>
    </w:p>
    <w:p w:rsidR="00975B96" w:rsidRPr="002E24D8" w:rsidRDefault="00975B96" w:rsidP="00975B96">
      <w:pPr>
        <w:spacing w:line="200" w:lineRule="atLeast"/>
        <w:ind w:left="6804"/>
        <w:rPr>
          <w:rFonts w:eastAsia="Calibri"/>
        </w:rPr>
      </w:pPr>
      <w:r w:rsidRPr="002E24D8">
        <w:rPr>
          <w:rFonts w:eastAsia="Calibri"/>
        </w:rPr>
        <w:t>Giedrius Vanagas</w:t>
      </w:r>
    </w:p>
    <w:p w:rsidR="00975B96" w:rsidRDefault="00975B96" w:rsidP="00BD6E84">
      <w:pPr>
        <w:jc w:val="center"/>
        <w:rPr>
          <w:b/>
        </w:rPr>
      </w:pPr>
    </w:p>
    <w:p w:rsidR="00975B96" w:rsidRDefault="00975B96" w:rsidP="00BD6E84">
      <w:pPr>
        <w:jc w:val="center"/>
        <w:rPr>
          <w:b/>
        </w:rPr>
      </w:pPr>
    </w:p>
    <w:p w:rsidR="00975B96" w:rsidRDefault="00975B96" w:rsidP="00BD6E84">
      <w:pPr>
        <w:jc w:val="center"/>
        <w:rPr>
          <w:b/>
        </w:rPr>
      </w:pPr>
    </w:p>
    <w:p w:rsidR="0075600E" w:rsidRPr="00990905" w:rsidRDefault="00BD6E84" w:rsidP="00BD6E84">
      <w:pPr>
        <w:jc w:val="center"/>
        <w:rPr>
          <w:rFonts w:eastAsia="Calibri"/>
          <w:b/>
          <w:lang w:eastAsia="en-US"/>
        </w:rPr>
      </w:pPr>
      <w:r w:rsidRPr="00BD6E84">
        <w:rPr>
          <w:b/>
        </w:rPr>
        <w:t>ELEKTRONINIŲ APSAUGOS SISTEMŲ</w:t>
      </w:r>
      <w:r>
        <w:rPr>
          <w:b/>
        </w:rPr>
        <w:t xml:space="preserve"> </w:t>
      </w:r>
      <w:r w:rsidRPr="00BD6E84">
        <w:rPr>
          <w:b/>
        </w:rPr>
        <w:t>TELEKOMUNIKACIJŲ ĮRANGOS NR. 1 TECHNINĖ</w:t>
      </w:r>
      <w:r>
        <w:rPr>
          <w:b/>
        </w:rPr>
        <w:t xml:space="preserve"> </w:t>
      </w:r>
      <w:r w:rsidRPr="00BD6E84">
        <w:rPr>
          <w:b/>
        </w:rPr>
        <w:t>SPECIFIKACIJ</w:t>
      </w:r>
      <w:r w:rsidR="00CE1B35">
        <w:rPr>
          <w:rFonts w:eastAsia="Calibri"/>
          <w:b/>
          <w:lang w:eastAsia="en-US"/>
        </w:rPr>
        <w:t>A</w:t>
      </w:r>
    </w:p>
    <w:p w:rsidR="0075600E" w:rsidRPr="00990905" w:rsidRDefault="0075600E" w:rsidP="0075600E">
      <w:pPr>
        <w:suppressAutoHyphens/>
        <w:autoSpaceDE w:val="0"/>
        <w:autoSpaceDN w:val="0"/>
        <w:adjustRightInd w:val="0"/>
        <w:jc w:val="center"/>
        <w:rPr>
          <w:lang w:eastAsia="ar-SA"/>
        </w:rPr>
      </w:pPr>
    </w:p>
    <w:p w:rsidR="0075600E" w:rsidRPr="00990905" w:rsidRDefault="0075600E" w:rsidP="0075600E">
      <w:pPr>
        <w:suppressAutoHyphens/>
        <w:autoSpaceDE w:val="0"/>
        <w:autoSpaceDN w:val="0"/>
        <w:adjustRightInd w:val="0"/>
        <w:jc w:val="center"/>
        <w:rPr>
          <w:lang w:val="en-US" w:eastAsia="ar-SA"/>
        </w:rPr>
      </w:pPr>
      <w:r w:rsidRPr="00990905">
        <w:rPr>
          <w:lang w:eastAsia="ar-SA"/>
        </w:rPr>
        <w:t>202</w:t>
      </w:r>
      <w:r w:rsidR="00BD6E84">
        <w:rPr>
          <w:lang w:eastAsia="ar-SA"/>
        </w:rPr>
        <w:t>5</w:t>
      </w:r>
      <w:r w:rsidRPr="00990905">
        <w:rPr>
          <w:lang w:eastAsia="ar-SA"/>
        </w:rPr>
        <w:t xml:space="preserve"> m. </w:t>
      </w:r>
      <w:r w:rsidR="000E633F">
        <w:rPr>
          <w:lang w:eastAsia="ar-SA"/>
        </w:rPr>
        <w:t>birželio</w:t>
      </w:r>
      <w:r w:rsidRPr="00990905">
        <w:rPr>
          <w:lang w:eastAsia="ar-SA"/>
        </w:rPr>
        <w:t xml:space="preserve">     d. Nr.       </w:t>
      </w:r>
    </w:p>
    <w:p w:rsidR="0075600E" w:rsidRDefault="0075600E" w:rsidP="0075600E">
      <w:pPr>
        <w:suppressAutoHyphens/>
        <w:jc w:val="center"/>
        <w:rPr>
          <w:lang w:eastAsia="ar-SA"/>
        </w:rPr>
      </w:pPr>
      <w:r w:rsidRPr="00990905">
        <w:rPr>
          <w:lang w:eastAsia="ar-SA"/>
        </w:rPr>
        <w:t>Vilnius</w:t>
      </w:r>
    </w:p>
    <w:p w:rsidR="00F47C31" w:rsidRPr="00990905" w:rsidRDefault="00F47C31" w:rsidP="0075600E">
      <w:pPr>
        <w:suppressAutoHyphens/>
        <w:jc w:val="center"/>
        <w:rPr>
          <w:lang w:eastAsia="ar-SA"/>
        </w:rPr>
      </w:pP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8505"/>
      </w:tblGrid>
      <w:tr w:rsidR="00E72897" w:rsidRPr="006321F1" w:rsidTr="006129F5">
        <w:trPr>
          <w:trHeight w:val="315"/>
        </w:trPr>
        <w:tc>
          <w:tcPr>
            <w:tcW w:w="992" w:type="dxa"/>
            <w:tcBorders>
              <w:top w:val="single" w:sz="4" w:space="0" w:color="auto"/>
              <w:left w:val="single" w:sz="4" w:space="0" w:color="auto"/>
              <w:bottom w:val="single" w:sz="4" w:space="0" w:color="auto"/>
              <w:right w:val="single" w:sz="4" w:space="0" w:color="auto"/>
            </w:tcBorders>
            <w:hideMark/>
          </w:tcPr>
          <w:p w:rsidR="00E72897" w:rsidRPr="006321F1" w:rsidRDefault="00E72897" w:rsidP="006129F5">
            <w:pPr>
              <w:spacing w:line="200" w:lineRule="atLeast"/>
              <w:ind w:left="34"/>
              <w:jc w:val="center"/>
              <w:rPr>
                <w:rFonts w:eastAsia="Calibri"/>
                <w:b/>
              </w:rPr>
            </w:pPr>
            <w:r w:rsidRPr="006321F1">
              <w:rPr>
                <w:rFonts w:eastAsia="Calibri"/>
                <w:b/>
              </w:rPr>
              <w:t>1.</w:t>
            </w:r>
          </w:p>
        </w:tc>
        <w:tc>
          <w:tcPr>
            <w:tcW w:w="8505" w:type="dxa"/>
            <w:tcBorders>
              <w:top w:val="single" w:sz="4" w:space="0" w:color="auto"/>
              <w:left w:val="single" w:sz="4" w:space="0" w:color="auto"/>
              <w:bottom w:val="single" w:sz="4" w:space="0" w:color="auto"/>
              <w:right w:val="single" w:sz="4" w:space="0" w:color="auto"/>
            </w:tcBorders>
            <w:hideMark/>
          </w:tcPr>
          <w:p w:rsidR="00E72897" w:rsidRPr="006321F1" w:rsidRDefault="00E72897" w:rsidP="006129F5">
            <w:pPr>
              <w:spacing w:line="200" w:lineRule="atLeast"/>
              <w:ind w:left="34"/>
              <w:rPr>
                <w:rFonts w:eastAsia="Calibri"/>
                <w:b/>
              </w:rPr>
            </w:pPr>
            <w:r w:rsidRPr="006321F1">
              <w:rPr>
                <w:rFonts w:eastAsia="Calibri"/>
                <w:b/>
              </w:rPr>
              <w:t>Bendrieji reikalavimai</w:t>
            </w:r>
          </w:p>
        </w:tc>
      </w:tr>
      <w:tr w:rsidR="00E72897" w:rsidRPr="006321F1" w:rsidTr="006129F5">
        <w:trPr>
          <w:trHeight w:val="315"/>
        </w:trPr>
        <w:tc>
          <w:tcPr>
            <w:tcW w:w="992" w:type="dxa"/>
            <w:hideMark/>
          </w:tcPr>
          <w:p w:rsidR="00E72897" w:rsidRPr="006321F1" w:rsidRDefault="00E72897" w:rsidP="006129F5">
            <w:pPr>
              <w:spacing w:line="200" w:lineRule="atLeast"/>
              <w:ind w:left="34"/>
              <w:jc w:val="center"/>
              <w:rPr>
                <w:rFonts w:eastAsia="Calibri"/>
              </w:rPr>
            </w:pPr>
            <w:r w:rsidRPr="006321F1">
              <w:rPr>
                <w:rFonts w:eastAsia="Calibri"/>
              </w:rPr>
              <w:t>1.1.</w:t>
            </w:r>
          </w:p>
        </w:tc>
        <w:tc>
          <w:tcPr>
            <w:tcW w:w="8505" w:type="dxa"/>
            <w:hideMark/>
          </w:tcPr>
          <w:p w:rsidR="00E72897" w:rsidRPr="006321F1" w:rsidRDefault="00E72897" w:rsidP="006129F5">
            <w:pPr>
              <w:spacing w:line="200" w:lineRule="atLeast"/>
              <w:ind w:left="34"/>
              <w:jc w:val="both"/>
              <w:rPr>
                <w:rFonts w:eastAsia="Calibri"/>
              </w:rPr>
            </w:pPr>
            <w:r w:rsidRPr="006321F1">
              <w:rPr>
                <w:rFonts w:eastAsia="Calibri"/>
              </w:rPr>
              <w:t xml:space="preserve">Visa pateikiama įranga privalo būti nauja, negali būti atnaujinta, restauruota (angl. </w:t>
            </w:r>
            <w:r w:rsidRPr="006321F1">
              <w:rPr>
                <w:rFonts w:eastAsia="Calibri"/>
                <w:i/>
              </w:rPr>
              <w:t>refurbished</w:t>
            </w:r>
            <w:r w:rsidRPr="006321F1">
              <w:rPr>
                <w:rFonts w:eastAsia="Calibri"/>
              </w:rPr>
              <w:t>), pateikta nepažeistoje gamyklinėje pakuotėje.</w:t>
            </w:r>
          </w:p>
        </w:tc>
      </w:tr>
      <w:tr w:rsidR="00E72897" w:rsidRPr="006321F1" w:rsidTr="006129F5">
        <w:trPr>
          <w:trHeight w:val="315"/>
        </w:trPr>
        <w:tc>
          <w:tcPr>
            <w:tcW w:w="992" w:type="dxa"/>
            <w:hideMark/>
          </w:tcPr>
          <w:p w:rsidR="00E72897" w:rsidRPr="006321F1" w:rsidRDefault="00E72897" w:rsidP="006129F5">
            <w:pPr>
              <w:spacing w:line="200" w:lineRule="atLeast"/>
              <w:ind w:left="34"/>
              <w:jc w:val="center"/>
              <w:rPr>
                <w:rFonts w:eastAsia="Calibri"/>
              </w:rPr>
            </w:pPr>
            <w:r w:rsidRPr="006321F1">
              <w:rPr>
                <w:rFonts w:eastAsia="Calibri"/>
              </w:rPr>
              <w:t>1.2.</w:t>
            </w:r>
          </w:p>
        </w:tc>
        <w:tc>
          <w:tcPr>
            <w:tcW w:w="8505" w:type="dxa"/>
            <w:hideMark/>
          </w:tcPr>
          <w:p w:rsidR="00E72897" w:rsidRPr="006321F1" w:rsidRDefault="00E72897" w:rsidP="006129F5">
            <w:pPr>
              <w:spacing w:line="200" w:lineRule="atLeast"/>
              <w:ind w:left="34"/>
              <w:jc w:val="both"/>
              <w:rPr>
                <w:rFonts w:eastAsia="Calibri"/>
              </w:rPr>
            </w:pPr>
            <w:r w:rsidRPr="006321F1">
              <w:rPr>
                <w:rFonts w:eastAsia="Calibri"/>
              </w:rPr>
              <w:t>Įrangos dokumentai turi būti lietuvių arba anglų kalba. Užrašai ant įrenginio ir jo dalių turi būti anglų arba lietuvių kalba.</w:t>
            </w:r>
          </w:p>
        </w:tc>
      </w:tr>
      <w:tr w:rsidR="00E72897" w:rsidRPr="006321F1" w:rsidTr="006129F5">
        <w:trPr>
          <w:trHeight w:val="315"/>
        </w:trPr>
        <w:tc>
          <w:tcPr>
            <w:tcW w:w="992" w:type="dxa"/>
            <w:hideMark/>
          </w:tcPr>
          <w:p w:rsidR="00E72897" w:rsidRPr="006321F1" w:rsidRDefault="00E72897" w:rsidP="006129F5">
            <w:pPr>
              <w:spacing w:line="200" w:lineRule="atLeast"/>
              <w:ind w:left="34"/>
              <w:jc w:val="center"/>
              <w:rPr>
                <w:rFonts w:eastAsia="Calibri"/>
              </w:rPr>
            </w:pPr>
            <w:r w:rsidRPr="006321F1">
              <w:rPr>
                <w:rFonts w:eastAsia="Calibri"/>
              </w:rPr>
              <w:t>1.3.</w:t>
            </w:r>
          </w:p>
        </w:tc>
        <w:tc>
          <w:tcPr>
            <w:tcW w:w="8505" w:type="dxa"/>
          </w:tcPr>
          <w:p w:rsidR="00E72897" w:rsidRPr="006321F1" w:rsidRDefault="00E72897" w:rsidP="006129F5">
            <w:pPr>
              <w:spacing w:line="200" w:lineRule="atLeast"/>
              <w:ind w:left="34"/>
              <w:jc w:val="both"/>
              <w:rPr>
                <w:rFonts w:eastAsia="Calibri"/>
              </w:rPr>
            </w:pPr>
            <w:r w:rsidRPr="006321F1">
              <w:rPr>
                <w:rFonts w:eastAsia="Calibri"/>
              </w:rPr>
              <w:t>Tiekėjas turi pateikti techninės ar programinės įrangos visus nurodytus parametrus patikimai patvirtinančius dokumentus (pvz. gamintojo prekės aprašymą, nuorodą į gamintojo puslapį arba lygiavertį dokumentą).</w:t>
            </w:r>
          </w:p>
        </w:tc>
      </w:tr>
      <w:tr w:rsidR="00E72897" w:rsidRPr="006321F1" w:rsidTr="006129F5">
        <w:trPr>
          <w:trHeight w:val="315"/>
        </w:trPr>
        <w:tc>
          <w:tcPr>
            <w:tcW w:w="992" w:type="dxa"/>
          </w:tcPr>
          <w:p w:rsidR="00E72897" w:rsidRPr="006321F1" w:rsidRDefault="00E72897" w:rsidP="006129F5">
            <w:pPr>
              <w:spacing w:line="200" w:lineRule="atLeast"/>
              <w:ind w:left="34"/>
              <w:jc w:val="center"/>
              <w:rPr>
                <w:rFonts w:eastAsia="Calibri"/>
              </w:rPr>
            </w:pPr>
            <w:r w:rsidRPr="006321F1">
              <w:rPr>
                <w:rFonts w:eastAsia="Calibri"/>
              </w:rPr>
              <w:t>1.4.</w:t>
            </w:r>
          </w:p>
        </w:tc>
        <w:tc>
          <w:tcPr>
            <w:tcW w:w="8505" w:type="dxa"/>
          </w:tcPr>
          <w:p w:rsidR="00E72897" w:rsidRPr="006321F1" w:rsidRDefault="00E72897" w:rsidP="00FD55FB">
            <w:pPr>
              <w:spacing w:line="200" w:lineRule="atLeast"/>
              <w:ind w:left="34"/>
              <w:jc w:val="both"/>
              <w:rPr>
                <w:rFonts w:eastAsia="Calibri"/>
              </w:rPr>
            </w:pPr>
            <w:r w:rsidRPr="006321F1">
              <w:rPr>
                <w:rFonts w:eastAsia="Calibri"/>
              </w:rPr>
              <w:t>Įrangos gamintojas ar jį kontroliuojantis asmuo negali būti registruoti (jeigu gamintojas ar jį kontroliuojantis asmuo yra fizinis asmuo – nuolat gyvenantis ar turintis pilietybę) Lietuvos Respublikos viešųjų pirkimų įstatymo 92 straipsnio 14 dalyje numatytame sąraše nurodytose valstybėse ar teritorijose.</w:t>
            </w:r>
          </w:p>
        </w:tc>
      </w:tr>
      <w:tr w:rsidR="00E72897" w:rsidRPr="006321F1" w:rsidTr="006129F5">
        <w:trPr>
          <w:trHeight w:val="315"/>
        </w:trPr>
        <w:tc>
          <w:tcPr>
            <w:tcW w:w="992" w:type="dxa"/>
          </w:tcPr>
          <w:p w:rsidR="00E72897" w:rsidRPr="006321F1" w:rsidRDefault="00E72897" w:rsidP="006129F5">
            <w:pPr>
              <w:spacing w:line="200" w:lineRule="atLeast"/>
              <w:ind w:left="34"/>
              <w:jc w:val="center"/>
              <w:rPr>
                <w:rFonts w:eastAsia="Calibri"/>
              </w:rPr>
            </w:pPr>
            <w:r w:rsidRPr="006321F1">
              <w:rPr>
                <w:rFonts w:eastAsia="Calibri"/>
              </w:rPr>
              <w:t xml:space="preserve">1.5. </w:t>
            </w:r>
          </w:p>
        </w:tc>
        <w:tc>
          <w:tcPr>
            <w:tcW w:w="8505" w:type="dxa"/>
          </w:tcPr>
          <w:p w:rsidR="00E72897" w:rsidRPr="006321F1" w:rsidRDefault="00E72897" w:rsidP="006129F5">
            <w:pPr>
              <w:spacing w:line="200" w:lineRule="atLeast"/>
              <w:ind w:left="34"/>
              <w:jc w:val="both"/>
              <w:rPr>
                <w:rFonts w:eastAsia="Calibri"/>
              </w:rPr>
            </w:pPr>
            <w:r w:rsidRPr="006321F1">
              <w:rPr>
                <w:rFonts w:eastAsia="Calibri"/>
              </w:rPr>
              <w:t>Tiekėjas, jų subtiekėjas ar ūkio subjektas, kurio pajėgumais remiamasi, ar juos kontroliuojantis asmuo negali būti registruoti (jeigu tiekėjas, jo subtiekėjas, ūkio subjektas, kurio pajėgumais remiamasi, ar jį kontroliuojantis asmuo yra fizinis asmuo – nuolat gyvenantis ar turintis pilietybę) Lietuvos Respublikos viešųjų pirkimų įstatymo 92 straipsnio 14 dalyje numatytame sąraše nurodytose valstybėse ar teritorijose.</w:t>
            </w:r>
          </w:p>
        </w:tc>
      </w:tr>
      <w:tr w:rsidR="00E72897" w:rsidRPr="006321F1" w:rsidTr="006129F5">
        <w:trPr>
          <w:trHeight w:val="315"/>
        </w:trPr>
        <w:tc>
          <w:tcPr>
            <w:tcW w:w="992" w:type="dxa"/>
          </w:tcPr>
          <w:p w:rsidR="00E72897" w:rsidRPr="006321F1" w:rsidRDefault="00E72897" w:rsidP="006129F5">
            <w:pPr>
              <w:spacing w:line="200" w:lineRule="atLeast"/>
              <w:ind w:left="34"/>
              <w:jc w:val="center"/>
              <w:rPr>
                <w:rFonts w:eastAsia="Calibri"/>
              </w:rPr>
            </w:pPr>
            <w:r w:rsidRPr="006321F1">
              <w:rPr>
                <w:rFonts w:eastAsia="Calibri"/>
              </w:rPr>
              <w:t>1.6.</w:t>
            </w:r>
          </w:p>
        </w:tc>
        <w:tc>
          <w:tcPr>
            <w:tcW w:w="8505" w:type="dxa"/>
          </w:tcPr>
          <w:p w:rsidR="00E72897" w:rsidRPr="006321F1" w:rsidRDefault="00E72897" w:rsidP="00FD55FB">
            <w:pPr>
              <w:spacing w:line="200" w:lineRule="atLeast"/>
              <w:ind w:left="34"/>
              <w:jc w:val="both"/>
              <w:rPr>
                <w:rFonts w:eastAsia="Calibri"/>
              </w:rPr>
            </w:pPr>
            <w:r w:rsidRPr="006321F1">
              <w:rPr>
                <w:rFonts w:eastAsia="Calibri"/>
              </w:rPr>
              <w:t>Įranga, taip pat jos gamintojai, susijusios paslaugos ar darbai turi nekelti grėsmės nacionaliniam saugumui.</w:t>
            </w:r>
          </w:p>
        </w:tc>
      </w:tr>
      <w:tr w:rsidR="00E72897" w:rsidRPr="006321F1" w:rsidTr="006129F5">
        <w:trPr>
          <w:trHeight w:val="315"/>
        </w:trPr>
        <w:tc>
          <w:tcPr>
            <w:tcW w:w="992" w:type="dxa"/>
          </w:tcPr>
          <w:p w:rsidR="00E72897" w:rsidRPr="006321F1" w:rsidRDefault="00E72897" w:rsidP="006129F5">
            <w:pPr>
              <w:spacing w:line="200" w:lineRule="atLeast"/>
              <w:ind w:left="34"/>
              <w:jc w:val="center"/>
              <w:rPr>
                <w:rFonts w:eastAsia="Calibri"/>
              </w:rPr>
            </w:pPr>
            <w:r w:rsidRPr="006321F1">
              <w:rPr>
                <w:rFonts w:eastAsia="Calibri"/>
              </w:rPr>
              <w:t>1.7.</w:t>
            </w:r>
          </w:p>
        </w:tc>
        <w:tc>
          <w:tcPr>
            <w:tcW w:w="8505" w:type="dxa"/>
          </w:tcPr>
          <w:p w:rsidR="00E72897" w:rsidRPr="006321F1" w:rsidRDefault="00E72897" w:rsidP="006129F5">
            <w:pPr>
              <w:spacing w:line="200" w:lineRule="atLeast"/>
              <w:ind w:left="34"/>
              <w:jc w:val="both"/>
              <w:rPr>
                <w:rFonts w:eastAsia="Calibri"/>
              </w:rPr>
            </w:pPr>
            <w:r w:rsidRPr="006321F1">
              <w:rPr>
                <w:rFonts w:eastAsia="Calibri"/>
              </w:rPr>
              <w:t xml:space="preserve">Tiekėjai, jų subtiekėjai ir ūkio subjektai, kurių pajėgumais remiamasi, turi būti registruoti (jeigu tiekėjas, jų subtiekėjas ar ūkio subjektas, kurio pajėgumais remiamasi, yra fizinis asmuo – nuolat gyvenantis ar turintis pilietybę) Europos Sąjungos valstybėje narėje, Šiaurės Atlanto sutarties organizacijos valstybėje narėje ar </w:t>
            </w:r>
            <w:r w:rsidRPr="006321F1">
              <w:rPr>
                <w:rFonts w:eastAsia="Calibri"/>
              </w:rPr>
              <w:lastRenderedPageBreak/>
              <w:t>trečiojoje šalyje, pasirašiusioje Lietuvos Respublikos viešųjų pirkimų įstatymo 17 straipsnio 4 dalyje nurodytus tarptautinius susitarimus.</w:t>
            </w:r>
          </w:p>
        </w:tc>
      </w:tr>
      <w:tr w:rsidR="00E72897" w:rsidRPr="006321F1" w:rsidTr="006129F5">
        <w:trPr>
          <w:trHeight w:val="315"/>
        </w:trPr>
        <w:tc>
          <w:tcPr>
            <w:tcW w:w="992" w:type="dxa"/>
          </w:tcPr>
          <w:p w:rsidR="00E72897" w:rsidRPr="006321F1" w:rsidRDefault="00E72897" w:rsidP="006129F5">
            <w:pPr>
              <w:spacing w:line="200" w:lineRule="atLeast"/>
              <w:ind w:left="34"/>
              <w:jc w:val="center"/>
              <w:rPr>
                <w:rFonts w:eastAsia="Calibri"/>
              </w:rPr>
            </w:pPr>
            <w:r w:rsidRPr="006321F1">
              <w:rPr>
                <w:rFonts w:eastAsia="Calibri"/>
              </w:rPr>
              <w:lastRenderedPageBreak/>
              <w:t>1.8.</w:t>
            </w:r>
          </w:p>
        </w:tc>
        <w:tc>
          <w:tcPr>
            <w:tcW w:w="8505" w:type="dxa"/>
          </w:tcPr>
          <w:p w:rsidR="00E72897" w:rsidRPr="006321F1" w:rsidRDefault="00E72897" w:rsidP="006129F5">
            <w:pPr>
              <w:spacing w:line="200" w:lineRule="atLeast"/>
              <w:ind w:left="34"/>
              <w:jc w:val="both"/>
              <w:rPr>
                <w:rFonts w:eastAsia="Calibri"/>
              </w:rPr>
            </w:pPr>
            <w:r w:rsidRPr="006321F1">
              <w:rPr>
                <w:rFonts w:eastAsia="Calibri"/>
              </w:rPr>
              <w:t>Jeigu pirkimo metu bus atliekama patikra dėl atitikties nacionalinio saugumo interesams, tiekėjas privalo turėti ir Užsakovo reikalavimu jam pateikti tokiai patikrai atlikti reikalingus dokumentus.</w:t>
            </w:r>
          </w:p>
        </w:tc>
      </w:tr>
      <w:tr w:rsidR="00E72897" w:rsidRPr="006321F1" w:rsidTr="006129F5">
        <w:trPr>
          <w:trHeight w:val="315"/>
        </w:trPr>
        <w:tc>
          <w:tcPr>
            <w:tcW w:w="992" w:type="dxa"/>
          </w:tcPr>
          <w:p w:rsidR="00E72897" w:rsidRPr="006321F1" w:rsidRDefault="00E72897" w:rsidP="006129F5">
            <w:pPr>
              <w:spacing w:line="200" w:lineRule="atLeast"/>
              <w:ind w:left="34"/>
              <w:jc w:val="center"/>
              <w:rPr>
                <w:rFonts w:eastAsia="Calibri"/>
              </w:rPr>
            </w:pPr>
            <w:r w:rsidRPr="006321F1">
              <w:rPr>
                <w:rFonts w:eastAsia="Calibri"/>
              </w:rPr>
              <w:t>1.9.</w:t>
            </w:r>
          </w:p>
        </w:tc>
        <w:tc>
          <w:tcPr>
            <w:tcW w:w="8505" w:type="dxa"/>
          </w:tcPr>
          <w:p w:rsidR="00E72897" w:rsidRPr="006321F1" w:rsidRDefault="00E72897" w:rsidP="006129F5">
            <w:pPr>
              <w:spacing w:line="200" w:lineRule="atLeast"/>
              <w:ind w:left="34"/>
              <w:jc w:val="both"/>
              <w:rPr>
                <w:rFonts w:eastAsia="SimSun"/>
              </w:rPr>
            </w:pPr>
            <w:r w:rsidRPr="006321F1">
              <w:rPr>
                <w:rFonts w:eastAsia="SimSun"/>
              </w:rPr>
              <w:t>Tiekėjas turi užtikrinti, kad įsigyjamoje įrangoje nebūtų įdiegta jokios papildomos programinės įrangos, kuri nėra būtina tokios įrangos funkcionalumui užtikrinti. Paaiškėjus, kad įrangoje yra įdiegta įtartina, šnipinėjimo ar kokia kita kenksminga programinė įranga, tai būtų traktuojama kaip reikalavimų neatitikimas ir sutarties sąlygų nesilaikymas:</w:t>
            </w:r>
          </w:p>
          <w:p w:rsidR="00E72897" w:rsidRPr="006321F1" w:rsidRDefault="00E72897" w:rsidP="006129F5">
            <w:pPr>
              <w:numPr>
                <w:ilvl w:val="0"/>
                <w:numId w:val="3"/>
              </w:numPr>
              <w:spacing w:line="200" w:lineRule="atLeast"/>
              <w:jc w:val="both"/>
              <w:rPr>
                <w:rFonts w:eastAsia="Calibri"/>
              </w:rPr>
            </w:pPr>
            <w:r w:rsidRPr="006321F1">
              <w:rPr>
                <w:rFonts w:eastAsia="SimSun"/>
              </w:rPr>
              <w:t>įranga grąžinama tiekėjui arba keičiama nauja adekvačia ar geresne, tačiau saugumo reikalavimus atitinkančia įranga;</w:t>
            </w:r>
          </w:p>
          <w:p w:rsidR="00E72897" w:rsidRPr="006321F1" w:rsidRDefault="00E72897" w:rsidP="006129F5">
            <w:pPr>
              <w:numPr>
                <w:ilvl w:val="0"/>
                <w:numId w:val="3"/>
              </w:numPr>
              <w:spacing w:line="200" w:lineRule="atLeast"/>
              <w:jc w:val="both"/>
              <w:rPr>
                <w:rFonts w:eastAsia="Calibri"/>
              </w:rPr>
            </w:pPr>
            <w:r w:rsidRPr="006321F1">
              <w:rPr>
                <w:rFonts w:eastAsia="SimSun"/>
              </w:rPr>
              <w:t>tiekėjas padengia pirkimo proceso metu pirkėjo patirtą materialinę žalą.</w:t>
            </w:r>
          </w:p>
        </w:tc>
      </w:tr>
      <w:tr w:rsidR="00E72897" w:rsidRPr="006321F1" w:rsidTr="006129F5">
        <w:trPr>
          <w:trHeight w:val="315"/>
        </w:trPr>
        <w:tc>
          <w:tcPr>
            <w:tcW w:w="992" w:type="dxa"/>
          </w:tcPr>
          <w:p w:rsidR="00E72897" w:rsidRPr="006321F1" w:rsidRDefault="00E72897" w:rsidP="006129F5">
            <w:pPr>
              <w:spacing w:line="200" w:lineRule="atLeast"/>
              <w:ind w:left="34"/>
              <w:jc w:val="center"/>
              <w:rPr>
                <w:rFonts w:eastAsia="Calibri"/>
              </w:rPr>
            </w:pPr>
            <w:r w:rsidRPr="006321F1">
              <w:rPr>
                <w:rFonts w:eastAsia="Calibri"/>
              </w:rPr>
              <w:t>1.10.</w:t>
            </w:r>
          </w:p>
        </w:tc>
        <w:tc>
          <w:tcPr>
            <w:tcW w:w="8505" w:type="dxa"/>
          </w:tcPr>
          <w:p w:rsidR="00E72897" w:rsidRPr="006321F1" w:rsidRDefault="00E72897" w:rsidP="006129F5">
            <w:pPr>
              <w:spacing w:line="200" w:lineRule="atLeast"/>
              <w:ind w:left="34"/>
              <w:jc w:val="both"/>
              <w:rPr>
                <w:rFonts w:eastAsia="Calibri"/>
              </w:rPr>
            </w:pPr>
            <w:r w:rsidRPr="006321F1">
              <w:rPr>
                <w:rFonts w:eastAsia="Calibri"/>
              </w:rPr>
              <w:t>Garantinė priežiūra:</w:t>
            </w:r>
          </w:p>
          <w:p w:rsidR="00E72897" w:rsidRPr="006321F1" w:rsidRDefault="00E72897" w:rsidP="00E72897">
            <w:pPr>
              <w:numPr>
                <w:ilvl w:val="0"/>
                <w:numId w:val="4"/>
              </w:numPr>
              <w:spacing w:line="200" w:lineRule="atLeast"/>
              <w:contextualSpacing/>
              <w:jc w:val="both"/>
              <w:rPr>
                <w:rFonts w:eastAsia="Calibri"/>
              </w:rPr>
            </w:pPr>
            <w:r w:rsidRPr="006321F1">
              <w:rPr>
                <w:rFonts w:eastAsia="Calibri"/>
              </w:rPr>
              <w:t>tiekiamai įrangai turi būti suteikta garantija ne trumpesniam laikotarpiui, kaip tas, kurį suteikia įrangos gamintojas, tačiau ne trumpesniam kaip 24 mėn</w:t>
            </w:r>
            <w:r>
              <w:rPr>
                <w:rFonts w:eastAsia="Calibri"/>
              </w:rPr>
              <w:t>.</w:t>
            </w:r>
            <w:r w:rsidRPr="006321F1">
              <w:rPr>
                <w:rFonts w:eastAsia="Calibri"/>
              </w:rPr>
              <w:t>;</w:t>
            </w:r>
          </w:p>
          <w:p w:rsidR="00E72897" w:rsidRPr="006321F1" w:rsidRDefault="00E72897" w:rsidP="00E72897">
            <w:pPr>
              <w:numPr>
                <w:ilvl w:val="0"/>
                <w:numId w:val="4"/>
              </w:numPr>
              <w:spacing w:line="200" w:lineRule="atLeast"/>
              <w:contextualSpacing/>
              <w:jc w:val="both"/>
              <w:rPr>
                <w:rFonts w:eastAsia="Calibri"/>
              </w:rPr>
            </w:pPr>
            <w:r w:rsidRPr="006321F1">
              <w:rPr>
                <w:rFonts w:eastAsia="Calibri"/>
              </w:rPr>
              <w:t>garantinio remonto trukmė – ne ilgiau kaip 30 kalendorinių dienų. Jei sugedusios įrangos per šį laikotarpį pataisyti neįmanoma, ji pakeičiama ekvivalentiška nauja;</w:t>
            </w:r>
          </w:p>
          <w:p w:rsidR="00E72897" w:rsidRPr="006321F1" w:rsidRDefault="00E72897" w:rsidP="00E72897">
            <w:pPr>
              <w:numPr>
                <w:ilvl w:val="0"/>
                <w:numId w:val="4"/>
              </w:numPr>
              <w:spacing w:line="200" w:lineRule="atLeast"/>
              <w:contextualSpacing/>
              <w:jc w:val="both"/>
              <w:rPr>
                <w:rFonts w:eastAsia="Calibri"/>
              </w:rPr>
            </w:pPr>
            <w:r w:rsidRPr="006321F1">
              <w:rPr>
                <w:rFonts w:eastAsia="Calibri"/>
              </w:rPr>
              <w:t>jei garantiniu laikotarpiu įranga yra už Lietuvos Respublikos ribų, garantinis remontas turi būti atliekamas tiekėjo (arba įrangos gamintojo) atstovo toje šalyje arba, jei ankstesni variantai neįmanomi, pirkėjui įrangą pristačius į vieną iš pirkėjo padalinių Lietuvos Respublikoje;</w:t>
            </w:r>
          </w:p>
          <w:p w:rsidR="00E72897" w:rsidRPr="006321F1" w:rsidRDefault="00E72897" w:rsidP="00E72897">
            <w:pPr>
              <w:numPr>
                <w:ilvl w:val="0"/>
                <w:numId w:val="4"/>
              </w:numPr>
              <w:spacing w:line="200" w:lineRule="atLeast"/>
              <w:contextualSpacing/>
              <w:jc w:val="both"/>
              <w:rPr>
                <w:rFonts w:eastAsia="Calibri"/>
              </w:rPr>
            </w:pPr>
            <w:r w:rsidRPr="006321F1">
              <w:rPr>
                <w:rFonts w:eastAsia="Calibri"/>
              </w:rPr>
              <w:t>garantinis laikotarpis skaičiuojamas nuo priėmimo–perdavimo akto pasirašymo datos.</w:t>
            </w:r>
          </w:p>
          <w:p w:rsidR="00E72897" w:rsidRPr="006321F1" w:rsidRDefault="00E72897" w:rsidP="00E72897">
            <w:pPr>
              <w:numPr>
                <w:ilvl w:val="0"/>
                <w:numId w:val="4"/>
              </w:numPr>
              <w:spacing w:line="200" w:lineRule="atLeast"/>
              <w:contextualSpacing/>
              <w:jc w:val="both"/>
              <w:rPr>
                <w:rFonts w:eastAsia="Calibri"/>
              </w:rPr>
            </w:pPr>
            <w:r w:rsidRPr="006321F1">
              <w:rPr>
                <w:rFonts w:eastAsia="Calibri"/>
              </w:rPr>
              <w:t>garantiniu laikotarpiu tiekėjas privalo atlikti darbus, remontuoti ar pakeisti sugedusią įrangą savo lėšomis, įskaitant transportavimo išlaidas.“</w:t>
            </w:r>
          </w:p>
        </w:tc>
      </w:tr>
    </w:tbl>
    <w:p w:rsidR="00E276A2" w:rsidRDefault="00E276A2" w:rsidP="00E276A2">
      <w:pPr>
        <w:pStyle w:val="ListParagraph"/>
        <w:ind w:right="566"/>
      </w:pPr>
    </w:p>
    <w:tbl>
      <w:tblPr>
        <w:tblStyle w:val="TableGrid1"/>
        <w:tblW w:w="9497" w:type="dxa"/>
        <w:tblInd w:w="137" w:type="dxa"/>
        <w:tblLayout w:type="fixed"/>
        <w:tblLook w:val="04A0" w:firstRow="1" w:lastRow="0" w:firstColumn="1" w:lastColumn="0" w:noHBand="0" w:noVBand="1"/>
      </w:tblPr>
      <w:tblGrid>
        <w:gridCol w:w="992"/>
        <w:gridCol w:w="1701"/>
        <w:gridCol w:w="6804"/>
      </w:tblGrid>
      <w:tr w:rsidR="00E72897" w:rsidRPr="00E72897" w:rsidTr="006129F5">
        <w:trPr>
          <w:trHeight w:val="255"/>
        </w:trPr>
        <w:tc>
          <w:tcPr>
            <w:tcW w:w="992" w:type="dxa"/>
          </w:tcPr>
          <w:p w:rsidR="00E72897" w:rsidRPr="00E72897" w:rsidRDefault="00E72897" w:rsidP="00E72897">
            <w:pPr>
              <w:widowControl w:val="0"/>
              <w:suppressAutoHyphens/>
              <w:adjustRightInd w:val="0"/>
              <w:ind w:firstLine="34"/>
              <w:jc w:val="center"/>
              <w:textAlignment w:val="baseline"/>
              <w:rPr>
                <w:b/>
                <w:color w:val="000000"/>
              </w:rPr>
            </w:pPr>
            <w:r w:rsidRPr="00E72897">
              <w:rPr>
                <w:b/>
                <w:color w:val="000000"/>
              </w:rPr>
              <w:t>2.</w:t>
            </w:r>
          </w:p>
        </w:tc>
        <w:tc>
          <w:tcPr>
            <w:tcW w:w="8505" w:type="dxa"/>
            <w:gridSpan w:val="2"/>
            <w:noWrap/>
            <w:vAlign w:val="center"/>
          </w:tcPr>
          <w:p w:rsidR="00E72897" w:rsidRPr="00E72897" w:rsidRDefault="00E72897" w:rsidP="00E72897">
            <w:pPr>
              <w:jc w:val="center"/>
              <w:rPr>
                <w:color w:val="000000"/>
              </w:rPr>
            </w:pPr>
            <w:r w:rsidRPr="00E72897">
              <w:rPr>
                <w:b/>
                <w:color w:val="000000"/>
              </w:rPr>
              <w:t>Techninė dalis</w:t>
            </w:r>
          </w:p>
        </w:tc>
      </w:tr>
      <w:tr w:rsidR="00E72897" w:rsidRPr="00E72897" w:rsidTr="006129F5">
        <w:trPr>
          <w:trHeight w:val="255"/>
        </w:trPr>
        <w:tc>
          <w:tcPr>
            <w:tcW w:w="992" w:type="dxa"/>
          </w:tcPr>
          <w:p w:rsidR="00E72897" w:rsidRPr="00E72897" w:rsidRDefault="00E72897" w:rsidP="00E72897">
            <w:pPr>
              <w:widowControl w:val="0"/>
              <w:suppressAutoHyphens/>
              <w:adjustRightInd w:val="0"/>
              <w:ind w:left="-108"/>
              <w:jc w:val="center"/>
              <w:textAlignment w:val="baseline"/>
              <w:rPr>
                <w:color w:val="000000"/>
              </w:rPr>
            </w:pPr>
            <w:r w:rsidRPr="00E72897">
              <w:rPr>
                <w:b/>
                <w:color w:val="000000"/>
              </w:rPr>
              <w:t>Eil. Nr.</w:t>
            </w:r>
          </w:p>
        </w:tc>
        <w:tc>
          <w:tcPr>
            <w:tcW w:w="1701" w:type="dxa"/>
            <w:noWrap/>
            <w:vAlign w:val="center"/>
          </w:tcPr>
          <w:p w:rsidR="00E72897" w:rsidRPr="00E72897" w:rsidRDefault="00E72897" w:rsidP="00E72897">
            <w:pPr>
              <w:widowControl w:val="0"/>
              <w:suppressAutoHyphens/>
              <w:adjustRightInd w:val="0"/>
              <w:ind w:left="-108"/>
              <w:jc w:val="center"/>
              <w:textAlignment w:val="baseline"/>
              <w:rPr>
                <w:color w:val="000000"/>
              </w:rPr>
            </w:pPr>
            <w:r w:rsidRPr="00E72897">
              <w:rPr>
                <w:b/>
                <w:color w:val="000000"/>
              </w:rPr>
              <w:t>Įranga</w:t>
            </w:r>
          </w:p>
        </w:tc>
        <w:tc>
          <w:tcPr>
            <w:tcW w:w="6804" w:type="dxa"/>
            <w:noWrap/>
            <w:vAlign w:val="center"/>
          </w:tcPr>
          <w:p w:rsidR="00E72897" w:rsidRPr="00E72897" w:rsidRDefault="00E72897" w:rsidP="00E72897">
            <w:pPr>
              <w:jc w:val="center"/>
              <w:rPr>
                <w:color w:val="000000"/>
              </w:rPr>
            </w:pPr>
            <w:r w:rsidRPr="00E72897">
              <w:rPr>
                <w:b/>
                <w:color w:val="000000"/>
              </w:rPr>
              <w:t>Reikalavimai</w:t>
            </w:r>
          </w:p>
        </w:tc>
      </w:tr>
      <w:tr w:rsidR="00E72897" w:rsidRPr="00E72897" w:rsidTr="00AF0BB8">
        <w:trPr>
          <w:trHeight w:val="557"/>
        </w:trPr>
        <w:tc>
          <w:tcPr>
            <w:tcW w:w="992" w:type="dxa"/>
            <w:tcBorders>
              <w:top w:val="single" w:sz="4" w:space="0" w:color="auto"/>
              <w:left w:val="single" w:sz="6" w:space="0" w:color="auto"/>
              <w:bottom w:val="single" w:sz="4" w:space="0" w:color="auto"/>
              <w:right w:val="single" w:sz="6" w:space="0" w:color="auto"/>
            </w:tcBorders>
          </w:tcPr>
          <w:p w:rsidR="00E72897" w:rsidRPr="002E24D8" w:rsidRDefault="00E72897" w:rsidP="00E72897">
            <w:pPr>
              <w:jc w:val="center"/>
              <w:rPr>
                <w:color w:val="000000" w:themeColor="text1"/>
              </w:rPr>
            </w:pPr>
            <w:r w:rsidRPr="002E24D8">
              <w:rPr>
                <w:color w:val="000000" w:themeColor="text1"/>
              </w:rPr>
              <w:t>2.1.</w:t>
            </w:r>
          </w:p>
        </w:tc>
        <w:tc>
          <w:tcPr>
            <w:tcW w:w="1701" w:type="dxa"/>
            <w:tcBorders>
              <w:top w:val="single" w:sz="4" w:space="0" w:color="auto"/>
              <w:left w:val="nil"/>
              <w:bottom w:val="single" w:sz="4" w:space="0" w:color="auto"/>
              <w:right w:val="single" w:sz="6" w:space="0" w:color="auto"/>
            </w:tcBorders>
          </w:tcPr>
          <w:p w:rsidR="00E72897" w:rsidRPr="002E24D8" w:rsidRDefault="00E72897" w:rsidP="00E72897">
            <w:pPr>
              <w:rPr>
                <w:color w:val="000000"/>
              </w:rPr>
            </w:pPr>
            <w:r>
              <w:rPr>
                <w:color w:val="000000"/>
              </w:rPr>
              <w:t>Tinklo komutatorius</w:t>
            </w:r>
          </w:p>
        </w:tc>
        <w:tc>
          <w:tcPr>
            <w:tcW w:w="6804" w:type="dxa"/>
            <w:tcBorders>
              <w:top w:val="single" w:sz="4" w:space="0" w:color="auto"/>
              <w:left w:val="nil"/>
              <w:bottom w:val="single" w:sz="4" w:space="0" w:color="auto"/>
              <w:right w:val="single" w:sz="6" w:space="0" w:color="auto"/>
            </w:tcBorders>
          </w:tcPr>
          <w:p w:rsidR="00E72897" w:rsidRPr="00161D82" w:rsidRDefault="00E72897" w:rsidP="00E72897">
            <w:pPr>
              <w:rPr>
                <w:bCs/>
                <w:color w:val="000000"/>
              </w:rPr>
            </w:pPr>
            <w:r w:rsidRPr="00161D82">
              <w:rPr>
                <w:bCs/>
                <w:color w:val="000000"/>
              </w:rPr>
              <w:t>Gamintojo Cisco C9200 serijos įrenginys arba lygiavertis, ne blogesnių parametrų kaip:</w:t>
            </w:r>
          </w:p>
          <w:p w:rsidR="00E72897" w:rsidRPr="00161D82" w:rsidRDefault="00E72897" w:rsidP="00E72897">
            <w:pPr>
              <w:rPr>
                <w:bCs/>
                <w:color w:val="000000"/>
              </w:rPr>
            </w:pPr>
            <w:r w:rsidRPr="00161D82">
              <w:rPr>
                <w:bCs/>
                <w:color w:val="000000"/>
              </w:rPr>
              <w:t xml:space="preserve">Tinklo komutatorius privalo turėti valdymo galimybę iš sistemų naudotojo turimos Cisco Prime programinės įrangos; </w:t>
            </w:r>
          </w:p>
          <w:p w:rsidR="00E72897" w:rsidRPr="00161D82" w:rsidRDefault="00E72897" w:rsidP="00E72897">
            <w:pPr>
              <w:rPr>
                <w:bCs/>
                <w:color w:val="000000"/>
              </w:rPr>
            </w:pPr>
            <w:r w:rsidRPr="00161D82">
              <w:rPr>
                <w:bCs/>
                <w:color w:val="000000"/>
              </w:rPr>
              <w:t>Ne žemesnio kaip 2 lygio (angl. Layer 2) pilnas funkcijų palaikymas;</w:t>
            </w:r>
          </w:p>
          <w:p w:rsidR="00E72897" w:rsidRPr="00161D82" w:rsidRDefault="00E72897" w:rsidP="00E72897">
            <w:pPr>
              <w:rPr>
                <w:bCs/>
                <w:color w:val="000000"/>
              </w:rPr>
            </w:pPr>
            <w:r w:rsidRPr="00161D82">
              <w:rPr>
                <w:bCs/>
                <w:color w:val="000000"/>
              </w:rPr>
              <w:t>Turi turėti galimybę aparatiškai (angl. hardware) sujungti ne mažiau kaip 8 komutatorius (angl. stacking) su 80 Gbps sujungimo sparta;</w:t>
            </w:r>
          </w:p>
          <w:p w:rsidR="00E72897" w:rsidRPr="00161D82" w:rsidRDefault="00E72897" w:rsidP="00E72897">
            <w:pPr>
              <w:rPr>
                <w:bCs/>
                <w:color w:val="000000"/>
              </w:rPr>
            </w:pPr>
            <w:r w:rsidRPr="00161D82">
              <w:rPr>
                <w:bCs/>
                <w:color w:val="000000"/>
              </w:rPr>
              <w:t xml:space="preserve">Prievadai: </w:t>
            </w:r>
          </w:p>
          <w:p w:rsidR="00E72897" w:rsidRPr="00161D82" w:rsidRDefault="00E72897" w:rsidP="00E72897">
            <w:pPr>
              <w:rPr>
                <w:bCs/>
                <w:color w:val="000000"/>
              </w:rPr>
            </w:pPr>
            <w:r w:rsidRPr="00161D82">
              <w:rPr>
                <w:bCs/>
                <w:color w:val="000000"/>
              </w:rPr>
              <w:t xml:space="preserve"> - ne mažiau kaip 24 </w:t>
            </w:r>
            <w:r>
              <w:rPr>
                <w:bCs/>
                <w:color w:val="000000"/>
              </w:rPr>
              <w:t xml:space="preserve">x </w:t>
            </w:r>
            <w:r w:rsidRPr="00161D82">
              <w:rPr>
                <w:bCs/>
                <w:color w:val="000000"/>
              </w:rPr>
              <w:t>10/100/1000 BaseT, PoE+, RJ45 tipo jungtys,</w:t>
            </w:r>
          </w:p>
          <w:p w:rsidR="00E72897" w:rsidRPr="00161D82" w:rsidRDefault="00E72897" w:rsidP="00E72897">
            <w:pPr>
              <w:rPr>
                <w:bCs/>
                <w:color w:val="000000"/>
              </w:rPr>
            </w:pPr>
            <w:r w:rsidRPr="00161D82">
              <w:rPr>
                <w:bCs/>
                <w:color w:val="000000"/>
              </w:rPr>
              <w:t xml:space="preserve"> - ne mažiau kaip 4 </w:t>
            </w:r>
            <w:r>
              <w:rPr>
                <w:bCs/>
                <w:color w:val="000000"/>
              </w:rPr>
              <w:t xml:space="preserve">x </w:t>
            </w:r>
            <w:r w:rsidRPr="00161D82">
              <w:rPr>
                <w:bCs/>
                <w:color w:val="000000"/>
              </w:rPr>
              <w:t>100/1000 BaseFX/SX/LX SFP fixed uplinks, LC tipo optinės jungtys;</w:t>
            </w:r>
          </w:p>
          <w:p w:rsidR="00E72897" w:rsidRPr="00161D82" w:rsidRDefault="00E72897" w:rsidP="00E72897">
            <w:pPr>
              <w:rPr>
                <w:bCs/>
                <w:color w:val="000000"/>
              </w:rPr>
            </w:pPr>
            <w:r w:rsidRPr="00161D82">
              <w:rPr>
                <w:bCs/>
                <w:color w:val="000000"/>
              </w:rPr>
              <w:t xml:space="preserve"> - RJ45 arba mini USB, RJ45 – DB9 valdymo jungtys;</w:t>
            </w:r>
          </w:p>
          <w:p w:rsidR="00E72897" w:rsidRPr="00161D82" w:rsidRDefault="00E72897" w:rsidP="00E72897">
            <w:pPr>
              <w:rPr>
                <w:bCs/>
                <w:color w:val="000000"/>
              </w:rPr>
            </w:pPr>
            <w:r w:rsidRPr="00161D82">
              <w:rPr>
                <w:bCs/>
                <w:color w:val="000000"/>
              </w:rPr>
              <w:t xml:space="preserve">Palaikomos funkcijos ir standartai: IEEE 802.1D Spanning Tree protokolas, IEEE 802.1w Rapid Spanning Tree protokolas, IEEE 802.1s Multiple Spanning Tree protokolas, IEEE 802.1Q VLAN, IEEE 802.1x autentifikacijai, IEEE 802.3x Flow Control, IEEE 802.3ad prievadų loginis apjungimas, IEEE 802.3 10BaseT,  IEEE 802.3u 100BaseTX,  IEEE 802.3ab 1000BaseT;  IEEE 802.3z 1000BaseX; IEEE </w:t>
            </w:r>
            <w:r w:rsidRPr="00161D82">
              <w:rPr>
                <w:bCs/>
                <w:color w:val="000000"/>
              </w:rPr>
              <w:lastRenderedPageBreak/>
              <w:t>802.3af, IEEE 802.3at, RMON I ir II, SNMP v1/v2c/v3, IEEE 802.1AE 128bit AES MACsec, CISCO-STACKWISE, SYSLOG;</w:t>
            </w:r>
          </w:p>
          <w:p w:rsidR="00E72897" w:rsidRPr="00161D82" w:rsidRDefault="00E72897" w:rsidP="00E72897">
            <w:pPr>
              <w:rPr>
                <w:bCs/>
                <w:color w:val="000000"/>
              </w:rPr>
            </w:pPr>
            <w:r w:rsidRPr="00161D82">
              <w:rPr>
                <w:bCs/>
                <w:color w:val="000000"/>
              </w:rPr>
              <w:t>Virtualūs tinklai (VLAN): iki 4094 VLAN ID palaikymas;</w:t>
            </w:r>
          </w:p>
          <w:p w:rsidR="00E72897" w:rsidRPr="00161D82" w:rsidRDefault="00E72897" w:rsidP="00E72897">
            <w:pPr>
              <w:rPr>
                <w:bCs/>
                <w:color w:val="000000"/>
              </w:rPr>
            </w:pPr>
            <w:r w:rsidRPr="00161D82">
              <w:rPr>
                <w:bCs/>
                <w:color w:val="000000"/>
              </w:rPr>
              <w:t>MAC adresų lentelės dydis: ≥16 K;</w:t>
            </w:r>
          </w:p>
          <w:p w:rsidR="00E72897" w:rsidRPr="00161D82" w:rsidRDefault="00E72897" w:rsidP="00E72897">
            <w:pPr>
              <w:rPr>
                <w:bCs/>
                <w:color w:val="000000"/>
              </w:rPr>
            </w:pPr>
            <w:r w:rsidRPr="00161D82">
              <w:rPr>
                <w:bCs/>
                <w:color w:val="000000"/>
              </w:rPr>
              <w:t>Paketų buferio dydis: ≥6 Mbits;</w:t>
            </w:r>
          </w:p>
          <w:p w:rsidR="00E72897" w:rsidRPr="00161D82" w:rsidRDefault="00E72897" w:rsidP="00E72897">
            <w:pPr>
              <w:rPr>
                <w:bCs/>
                <w:color w:val="000000"/>
              </w:rPr>
            </w:pPr>
            <w:r w:rsidRPr="00161D82">
              <w:rPr>
                <w:bCs/>
                <w:color w:val="000000"/>
              </w:rPr>
              <w:t>Atmintis: ≥2 GB DRAM ir ≥4 GB Flash;</w:t>
            </w:r>
          </w:p>
          <w:p w:rsidR="00E72897" w:rsidRPr="00161D82" w:rsidRDefault="00E72897" w:rsidP="00E72897">
            <w:pPr>
              <w:rPr>
                <w:bCs/>
                <w:color w:val="000000"/>
              </w:rPr>
            </w:pPr>
            <w:r w:rsidRPr="00161D82">
              <w:rPr>
                <w:bCs/>
                <w:color w:val="000000"/>
              </w:rPr>
              <w:t xml:space="preserve">Ethernet paketo (angl. Jumbo frames) dydis: ≥9100 baitų; </w:t>
            </w:r>
          </w:p>
          <w:p w:rsidR="00E72897" w:rsidRPr="00161D82" w:rsidRDefault="00E72897" w:rsidP="00E72897">
            <w:pPr>
              <w:rPr>
                <w:bCs/>
                <w:color w:val="000000"/>
              </w:rPr>
            </w:pPr>
            <w:r w:rsidRPr="00161D82">
              <w:rPr>
                <w:bCs/>
                <w:color w:val="000000"/>
              </w:rPr>
              <w:t xml:space="preserve">Komutavimo našumas: ne mažesnis kaip 120 Gbps; </w:t>
            </w:r>
          </w:p>
          <w:p w:rsidR="00E72897" w:rsidRPr="00161D82" w:rsidRDefault="00E72897" w:rsidP="00E72897">
            <w:pPr>
              <w:rPr>
                <w:bCs/>
                <w:color w:val="000000"/>
              </w:rPr>
            </w:pPr>
            <w:r w:rsidRPr="00161D82">
              <w:rPr>
                <w:bCs/>
                <w:color w:val="000000"/>
              </w:rPr>
              <w:t>Persiuntimo našumas: ne mažesnis kaip 90 Mbps;</w:t>
            </w:r>
          </w:p>
          <w:p w:rsidR="00E72897" w:rsidRPr="00161D82" w:rsidRDefault="00E72897" w:rsidP="00E72897">
            <w:pPr>
              <w:rPr>
                <w:bCs/>
                <w:color w:val="000000"/>
              </w:rPr>
            </w:pPr>
            <w:r w:rsidRPr="00161D82">
              <w:rPr>
                <w:bCs/>
                <w:color w:val="000000"/>
              </w:rPr>
              <w:t>Saugumo sertifikavimas: EN60950-1;</w:t>
            </w:r>
          </w:p>
          <w:p w:rsidR="00E72897" w:rsidRPr="00161D82" w:rsidRDefault="00E72897" w:rsidP="00E72897">
            <w:pPr>
              <w:rPr>
                <w:bCs/>
                <w:color w:val="000000"/>
              </w:rPr>
            </w:pPr>
            <w:r w:rsidRPr="00161D82">
              <w:rPr>
                <w:bCs/>
                <w:color w:val="000000"/>
              </w:rPr>
              <w:t>Elektromagnetinės spinduliuotės sertifikavimas: EN55032 Class A, CISPR 32 Class A, EN61000-3-2, EN61000-3-3, EN55035;</w:t>
            </w:r>
          </w:p>
          <w:p w:rsidR="00E72897" w:rsidRPr="00161D82" w:rsidRDefault="00E72897" w:rsidP="00E72897">
            <w:pPr>
              <w:rPr>
                <w:bCs/>
                <w:color w:val="000000"/>
              </w:rPr>
            </w:pPr>
            <w:r w:rsidRPr="00161D82">
              <w:rPr>
                <w:bCs/>
                <w:color w:val="000000"/>
              </w:rPr>
              <w:t>Į įrenginio kainą turi būti įtrauktos visos licencijos, reikalingos nurodytoms funkcijoms palaikyti (jei nenurodyta kitaip);</w:t>
            </w:r>
          </w:p>
          <w:p w:rsidR="00E72897" w:rsidRPr="00161D82" w:rsidRDefault="00E72897" w:rsidP="00E72897">
            <w:pPr>
              <w:rPr>
                <w:bCs/>
                <w:color w:val="000000"/>
              </w:rPr>
            </w:pPr>
            <w:r w:rsidRPr="00161D82">
              <w:rPr>
                <w:bCs/>
                <w:color w:val="000000"/>
              </w:rPr>
              <w:t>Komutatorius turi būti pritaikytas montuoti į 19 colių komutacinę spintą (montuoti reikalingos detalės turi būti pridedamos);</w:t>
            </w:r>
          </w:p>
          <w:p w:rsidR="00E72897" w:rsidRPr="00161D82" w:rsidRDefault="00E72897" w:rsidP="00E72897">
            <w:pPr>
              <w:rPr>
                <w:bCs/>
                <w:color w:val="000000"/>
              </w:rPr>
            </w:pPr>
            <w:r w:rsidRPr="00161D82">
              <w:rPr>
                <w:bCs/>
                <w:color w:val="000000"/>
              </w:rPr>
              <w:t>Aukštis ne didesnis kaip 1U;</w:t>
            </w:r>
          </w:p>
          <w:p w:rsidR="00E72897" w:rsidRPr="00161D82" w:rsidRDefault="00E72897" w:rsidP="00E72897">
            <w:pPr>
              <w:rPr>
                <w:bCs/>
                <w:color w:val="000000"/>
              </w:rPr>
            </w:pPr>
            <w:r w:rsidRPr="00161D82">
              <w:rPr>
                <w:bCs/>
                <w:color w:val="000000"/>
              </w:rPr>
              <w:t>Turi turėti galimybę sumontuoti du maitinimo šaltinius, keičiamus neišjungiant įrenginio (angl. hot swap);</w:t>
            </w:r>
          </w:p>
          <w:p w:rsidR="00E72897" w:rsidRPr="00161D82" w:rsidRDefault="00E72897" w:rsidP="00E72897">
            <w:pPr>
              <w:rPr>
                <w:bCs/>
                <w:color w:val="000000"/>
              </w:rPr>
            </w:pPr>
            <w:r w:rsidRPr="00161D82">
              <w:rPr>
                <w:bCs/>
                <w:color w:val="000000"/>
              </w:rPr>
              <w:t>PoE biudžetas ne mažesnis kaip 360 W, naudojant vieną maitinimo šaltinį;</w:t>
            </w:r>
          </w:p>
          <w:p w:rsidR="00E72897" w:rsidRPr="00161D82" w:rsidRDefault="00E72897" w:rsidP="00E72897">
            <w:pPr>
              <w:rPr>
                <w:bCs/>
                <w:color w:val="000000"/>
              </w:rPr>
            </w:pPr>
            <w:r w:rsidRPr="00161D82">
              <w:rPr>
                <w:bCs/>
                <w:color w:val="000000"/>
              </w:rPr>
              <w:t>Vieno prievado PoE galia ne maže</w:t>
            </w:r>
            <w:r>
              <w:rPr>
                <w:bCs/>
                <w:color w:val="000000"/>
              </w:rPr>
              <w:t>s</w:t>
            </w:r>
            <w:r w:rsidRPr="00161D82">
              <w:rPr>
                <w:bCs/>
                <w:color w:val="000000"/>
              </w:rPr>
              <w:t>nė kaip 15 W (visiems prievadams);</w:t>
            </w:r>
          </w:p>
          <w:p w:rsidR="00E72897" w:rsidRPr="00161D82" w:rsidRDefault="00E72897" w:rsidP="00E72897">
            <w:pPr>
              <w:rPr>
                <w:bCs/>
                <w:color w:val="000000"/>
              </w:rPr>
            </w:pPr>
            <w:r w:rsidRPr="00161D82">
              <w:rPr>
                <w:bCs/>
                <w:color w:val="000000"/>
              </w:rPr>
              <w:t>Darbo temperatūros diapazonas ne mažesnis kaip: nuo  0 °C iki +40 °C;</w:t>
            </w:r>
          </w:p>
          <w:p w:rsidR="00E72897" w:rsidRDefault="00E72897" w:rsidP="00E72897">
            <w:pPr>
              <w:rPr>
                <w:bCs/>
                <w:color w:val="000000"/>
              </w:rPr>
            </w:pPr>
            <w:r w:rsidRPr="00161D82">
              <w:rPr>
                <w:bCs/>
                <w:color w:val="000000"/>
              </w:rPr>
              <w:t>Turi būti komplektuojamas su vienu maitinimo šalt</w:t>
            </w:r>
            <w:r>
              <w:rPr>
                <w:bCs/>
                <w:color w:val="000000"/>
              </w:rPr>
              <w:t>iniu ir dviem 1GB SFP moduliais</w:t>
            </w:r>
            <w:r w:rsidRPr="00161D82">
              <w:rPr>
                <w:bCs/>
                <w:color w:val="000000"/>
              </w:rPr>
              <w:t>.</w:t>
            </w:r>
          </w:p>
          <w:p w:rsidR="00E72897" w:rsidRPr="002E6D91" w:rsidRDefault="00E72897" w:rsidP="00E72897">
            <w:pPr>
              <w:rPr>
                <w:color w:val="000000"/>
              </w:rPr>
            </w:pPr>
            <w:r w:rsidRPr="002E6D91">
              <w:rPr>
                <w:color w:val="000000"/>
              </w:rPr>
              <w:t>Prekė turi būti tiekiam</w:t>
            </w:r>
            <w:r>
              <w:rPr>
                <w:color w:val="000000"/>
              </w:rPr>
              <w:t>a</w:t>
            </w:r>
            <w:r w:rsidRPr="002E6D91">
              <w:rPr>
                <w:color w:val="000000"/>
              </w:rPr>
              <w:t xml:space="preserve"> </w:t>
            </w:r>
            <w:r>
              <w:rPr>
                <w:color w:val="000000"/>
              </w:rPr>
              <w:t>antrinėje pakuotėje.</w:t>
            </w:r>
          </w:p>
        </w:tc>
      </w:tr>
      <w:tr w:rsidR="00E72897" w:rsidRPr="00E72897" w:rsidTr="00AF0BB8">
        <w:trPr>
          <w:trHeight w:val="831"/>
        </w:trPr>
        <w:tc>
          <w:tcPr>
            <w:tcW w:w="992" w:type="dxa"/>
            <w:tcBorders>
              <w:top w:val="single" w:sz="4" w:space="0" w:color="auto"/>
              <w:left w:val="single" w:sz="6" w:space="0" w:color="auto"/>
              <w:bottom w:val="single" w:sz="4" w:space="0" w:color="auto"/>
              <w:right w:val="single" w:sz="6" w:space="0" w:color="auto"/>
            </w:tcBorders>
          </w:tcPr>
          <w:p w:rsidR="00E72897" w:rsidRPr="002E24D8" w:rsidRDefault="00E72897" w:rsidP="00E72897">
            <w:pPr>
              <w:jc w:val="center"/>
              <w:rPr>
                <w:color w:val="000000" w:themeColor="text1"/>
              </w:rPr>
            </w:pPr>
            <w:r>
              <w:rPr>
                <w:color w:val="000000" w:themeColor="text1"/>
              </w:rPr>
              <w:lastRenderedPageBreak/>
              <w:t>2.2.</w:t>
            </w:r>
          </w:p>
        </w:tc>
        <w:tc>
          <w:tcPr>
            <w:tcW w:w="1701" w:type="dxa"/>
            <w:tcBorders>
              <w:top w:val="single" w:sz="4" w:space="0" w:color="auto"/>
              <w:left w:val="nil"/>
              <w:bottom w:val="single" w:sz="4" w:space="0" w:color="auto"/>
              <w:right w:val="single" w:sz="6" w:space="0" w:color="auto"/>
            </w:tcBorders>
          </w:tcPr>
          <w:p w:rsidR="00E72897" w:rsidRPr="002E24D8" w:rsidRDefault="00E72897" w:rsidP="00E72897">
            <w:pPr>
              <w:rPr>
                <w:color w:val="000000"/>
              </w:rPr>
            </w:pPr>
            <w:r w:rsidRPr="002E24D8">
              <w:rPr>
                <w:color w:val="000000"/>
              </w:rPr>
              <w:t>Industrini</w:t>
            </w:r>
            <w:r>
              <w:rPr>
                <w:color w:val="000000"/>
              </w:rPr>
              <w:t>s</w:t>
            </w:r>
            <w:r w:rsidRPr="002E24D8">
              <w:rPr>
                <w:color w:val="000000"/>
              </w:rPr>
              <w:t xml:space="preserve"> tinklo komutatorius su PoE </w:t>
            </w:r>
          </w:p>
          <w:p w:rsidR="00E72897" w:rsidRPr="002E24D8" w:rsidRDefault="00E72897" w:rsidP="00E72897">
            <w:pPr>
              <w:rPr>
                <w:color w:val="000000"/>
              </w:rPr>
            </w:pPr>
          </w:p>
        </w:tc>
        <w:tc>
          <w:tcPr>
            <w:tcW w:w="6804" w:type="dxa"/>
            <w:tcBorders>
              <w:top w:val="single" w:sz="4" w:space="0" w:color="auto"/>
              <w:left w:val="nil"/>
              <w:bottom w:val="single" w:sz="4" w:space="0" w:color="auto"/>
              <w:right w:val="single" w:sz="6" w:space="0" w:color="auto"/>
            </w:tcBorders>
          </w:tcPr>
          <w:p w:rsidR="00E72897" w:rsidRPr="006344B6" w:rsidRDefault="00E72897" w:rsidP="00E72897">
            <w:pPr>
              <w:jc w:val="both"/>
            </w:pPr>
            <w:r w:rsidRPr="006344B6">
              <w:rPr>
                <w:i/>
              </w:rPr>
              <w:t>Gamintojo Cisco IE 1000 serijos įrenginys arba lygiavertis, ne blogesnių parametrų kaip:</w:t>
            </w:r>
          </w:p>
          <w:p w:rsidR="00E72897" w:rsidRPr="006344B6" w:rsidRDefault="00E72897" w:rsidP="00E72897">
            <w:r w:rsidRPr="006344B6">
              <w:t xml:space="preserve">Tinklo komutatorius privalo turėti valdymo galimybę iš sistemų naudotojo turimos Cisco Prime programinės įrangos; </w:t>
            </w:r>
          </w:p>
          <w:p w:rsidR="00E72897" w:rsidRPr="006344B6" w:rsidRDefault="00E72897" w:rsidP="00E72897">
            <w:r w:rsidRPr="006344B6">
              <w:t>T</w:t>
            </w:r>
            <w:r>
              <w:t>u</w:t>
            </w:r>
            <w:r w:rsidRPr="006344B6">
              <w:t>ri būti:</w:t>
            </w:r>
          </w:p>
          <w:p w:rsidR="00E72897" w:rsidRPr="006344B6" w:rsidRDefault="00E72897" w:rsidP="00E72897">
            <w:r w:rsidRPr="006344B6">
              <w:t xml:space="preserve">- ne mažiau kaip 4 </w:t>
            </w:r>
            <w:r w:rsidRPr="006344B6">
              <w:sym w:font="Symbol" w:char="F0B4"/>
            </w:r>
            <w:r w:rsidRPr="006344B6">
              <w:t xml:space="preserve"> 10/100/1000 BaseT, PoE+, RJ45 tipo jungtys,</w:t>
            </w:r>
          </w:p>
          <w:p w:rsidR="00E72897" w:rsidRPr="006344B6" w:rsidRDefault="00E72897" w:rsidP="00E72897">
            <w:r w:rsidRPr="006344B6">
              <w:t xml:space="preserve"> - ne mažiau kaip 2 </w:t>
            </w:r>
            <w:r w:rsidRPr="006344B6">
              <w:sym w:font="Symbol" w:char="F0B4"/>
            </w:r>
            <w:r w:rsidRPr="006344B6">
              <w:t xml:space="preserve"> 100/1000 BaseFX SFP, LC tipo optinės jungtys.</w:t>
            </w:r>
          </w:p>
          <w:p w:rsidR="00E72897" w:rsidRPr="006344B6" w:rsidRDefault="00E72897" w:rsidP="00E72897">
            <w:pPr>
              <w:rPr>
                <w:rFonts w:eastAsia="Calibri"/>
                <w:color w:val="000000"/>
              </w:rPr>
            </w:pPr>
            <w:r w:rsidRPr="006344B6">
              <w:t xml:space="preserve"> Palaikomos funkcijos ir standartai: IEEE 802.1D Spanning Tree protokolas, IEEE 802.1w Rapid Spanning Tree protokolas, IEEE 802.1s Multiple Spanning Tree protokolas, IEEE 802.1Q VLAN, </w:t>
            </w:r>
            <w:r w:rsidRPr="006344B6">
              <w:rPr>
                <w:rFonts w:eastAsia="Calibri"/>
                <w:color w:val="000000"/>
              </w:rPr>
              <w:t>IEEE 802.1x autentifikacijai,</w:t>
            </w:r>
            <w:r w:rsidRPr="006344B6">
              <w:t xml:space="preserve"> </w:t>
            </w:r>
            <w:r w:rsidRPr="006344B6">
              <w:rPr>
                <w:rFonts w:eastAsia="Calibri"/>
                <w:color w:val="000000"/>
              </w:rPr>
              <w:t xml:space="preserve">IEEE 802.3x Flow Control, IEEE 802.3ad prievadų loginis apjungimas, IEEE 802.3u 100BaseTX, IEEE 802.3ab 1000BaseT; IEEE 802.3z 1000BaseX; IGMP querier, SYSLOG, SNMP v2/v3, RADIUS, TACACS+, IEEE 802.3af, IEEE 802.3at. </w:t>
            </w:r>
          </w:p>
          <w:p w:rsidR="00E72897" w:rsidRPr="006344B6" w:rsidRDefault="00E72897" w:rsidP="00E72897">
            <w:pPr>
              <w:rPr>
                <w:rFonts w:eastAsia="Calibri"/>
                <w:color w:val="000000"/>
              </w:rPr>
            </w:pPr>
            <w:r w:rsidRPr="006344B6">
              <w:t xml:space="preserve">Atmintis: </w:t>
            </w:r>
            <w:r w:rsidRPr="006344B6">
              <w:rPr>
                <w:rFonts w:eastAsia="Calibri"/>
                <w:color w:val="000000"/>
              </w:rPr>
              <w:t>≥128 MB DRAM, 160 MB flash.</w:t>
            </w:r>
          </w:p>
          <w:p w:rsidR="00E72897" w:rsidRPr="006344B6" w:rsidRDefault="00E72897" w:rsidP="00E72897">
            <w:r w:rsidRPr="006344B6">
              <w:t>Saugumo sertifikavimas: EN 60079-0, EN 60079-15, EN 60950-1.</w:t>
            </w:r>
          </w:p>
          <w:p w:rsidR="00E72897" w:rsidRPr="006344B6" w:rsidRDefault="00E72897" w:rsidP="00E72897">
            <w:r w:rsidRPr="006344B6">
              <w:t>Elektromagnetinės spinduliuotės sertifikavimas: EN55022 Class A, CISPR 22 Class A, CISPR 11, Class A EN61000-4-2, EN61000-4-3,  EN61000-4-4, EN61000</w:t>
            </w:r>
            <w:r w:rsidRPr="006344B6">
              <w:noBreakHyphen/>
              <w:t>4</w:t>
            </w:r>
            <w:r w:rsidRPr="006344B6">
              <w:noBreakHyphen/>
              <w:t>5,  EN61000-4-6,  EN61000-4-8, EN55035.</w:t>
            </w:r>
          </w:p>
          <w:p w:rsidR="00E72897" w:rsidRPr="006344B6" w:rsidRDefault="00E72897" w:rsidP="00E72897">
            <w:r w:rsidRPr="006344B6">
              <w:lastRenderedPageBreak/>
              <w:t>Į įrenginio kainą turi būti įtrauktos visos licencijos, reikalingos nurodytoms funkcijoms palaikyti (jei nenurodyta kitaip).</w:t>
            </w:r>
          </w:p>
          <w:p w:rsidR="00E72897" w:rsidRPr="006344B6" w:rsidRDefault="00E72897" w:rsidP="00E72897">
            <w:r w:rsidRPr="006344B6">
              <w:t>Komutatorius turi būti pritaikytas montuoti ant DIN35 bėgelio (montuoti reikalingos detalės turi būti pridedamos).</w:t>
            </w:r>
          </w:p>
          <w:p w:rsidR="00E72897" w:rsidRPr="006344B6" w:rsidRDefault="00E72897" w:rsidP="00E72897">
            <w:r w:rsidRPr="006344B6">
              <w:t>PoE biudžetas ne mažesnis kaip 120 W.</w:t>
            </w:r>
          </w:p>
          <w:p w:rsidR="00E72897" w:rsidRDefault="00E72897" w:rsidP="00E72897">
            <w:r w:rsidRPr="006344B6">
              <w:t>Vieno prievado PoE galia ne maže</w:t>
            </w:r>
            <w:r>
              <w:t>s</w:t>
            </w:r>
            <w:r w:rsidRPr="006344B6">
              <w:t>nė kaip 15 W (visiems prievadams).</w:t>
            </w:r>
          </w:p>
          <w:p w:rsidR="00E72897" w:rsidRDefault="00E72897" w:rsidP="00E72897">
            <w:pPr>
              <w:rPr>
                <w:color w:val="000000"/>
              </w:rPr>
            </w:pPr>
            <w:r w:rsidRPr="002E6D91">
              <w:rPr>
                <w:color w:val="000000"/>
              </w:rPr>
              <w:t>Prekė turi būti tiekiam</w:t>
            </w:r>
            <w:r>
              <w:rPr>
                <w:color w:val="000000"/>
              </w:rPr>
              <w:t>a</w:t>
            </w:r>
            <w:r w:rsidRPr="002E6D91">
              <w:rPr>
                <w:color w:val="000000"/>
              </w:rPr>
              <w:t xml:space="preserve"> </w:t>
            </w:r>
            <w:r>
              <w:rPr>
                <w:color w:val="000000"/>
              </w:rPr>
              <w:t>antrinėje pakuotėje.</w:t>
            </w:r>
          </w:p>
          <w:p w:rsidR="00E72897" w:rsidRPr="006344B6" w:rsidRDefault="00E72897" w:rsidP="00E72897">
            <w:pPr>
              <w:rPr>
                <w:color w:val="000000"/>
              </w:rPr>
            </w:pPr>
            <w:r w:rsidRPr="006344B6">
              <w:t>Darbo temperatūros diapazonas ne mažesnis kaip: nuo  -40 °C iki +60 °C.</w:t>
            </w:r>
          </w:p>
        </w:tc>
      </w:tr>
      <w:tr w:rsidR="00E72897" w:rsidRPr="00E72897" w:rsidTr="00AF0BB8">
        <w:trPr>
          <w:trHeight w:val="831"/>
        </w:trPr>
        <w:tc>
          <w:tcPr>
            <w:tcW w:w="992" w:type="dxa"/>
            <w:tcBorders>
              <w:top w:val="single" w:sz="4" w:space="0" w:color="auto"/>
              <w:left w:val="single" w:sz="6" w:space="0" w:color="auto"/>
              <w:bottom w:val="single" w:sz="4" w:space="0" w:color="auto"/>
              <w:right w:val="single" w:sz="6" w:space="0" w:color="auto"/>
            </w:tcBorders>
          </w:tcPr>
          <w:p w:rsidR="00E72897" w:rsidRPr="002E24D8" w:rsidRDefault="00E72897" w:rsidP="00E72897">
            <w:pPr>
              <w:jc w:val="center"/>
              <w:rPr>
                <w:color w:val="000000" w:themeColor="text1"/>
              </w:rPr>
            </w:pPr>
            <w:r w:rsidRPr="002E24D8">
              <w:rPr>
                <w:color w:val="000000" w:themeColor="text1"/>
              </w:rPr>
              <w:lastRenderedPageBreak/>
              <w:t>2.</w:t>
            </w:r>
            <w:r>
              <w:rPr>
                <w:color w:val="000000" w:themeColor="text1"/>
              </w:rPr>
              <w:t>3</w:t>
            </w:r>
            <w:r w:rsidRPr="002E24D8">
              <w:rPr>
                <w:color w:val="000000" w:themeColor="text1"/>
              </w:rPr>
              <w:t>.</w:t>
            </w:r>
          </w:p>
        </w:tc>
        <w:tc>
          <w:tcPr>
            <w:tcW w:w="1701" w:type="dxa"/>
            <w:tcBorders>
              <w:top w:val="single" w:sz="4" w:space="0" w:color="auto"/>
              <w:left w:val="nil"/>
              <w:bottom w:val="single" w:sz="4" w:space="0" w:color="auto"/>
              <w:right w:val="single" w:sz="6" w:space="0" w:color="auto"/>
            </w:tcBorders>
          </w:tcPr>
          <w:p w:rsidR="00E72897" w:rsidRPr="002E24D8" w:rsidRDefault="00E72897" w:rsidP="00E72897">
            <w:pPr>
              <w:rPr>
                <w:color w:val="000000"/>
              </w:rPr>
            </w:pPr>
            <w:r w:rsidRPr="002E24D8">
              <w:rPr>
                <w:color w:val="000000"/>
              </w:rPr>
              <w:t xml:space="preserve">SFP modulių komplektas </w:t>
            </w:r>
          </w:p>
          <w:p w:rsidR="00E72897" w:rsidRPr="002E24D8" w:rsidRDefault="00E72897" w:rsidP="00E72897">
            <w:pPr>
              <w:rPr>
                <w:color w:val="000000"/>
              </w:rPr>
            </w:pPr>
          </w:p>
        </w:tc>
        <w:tc>
          <w:tcPr>
            <w:tcW w:w="6804" w:type="dxa"/>
            <w:tcBorders>
              <w:top w:val="single" w:sz="4" w:space="0" w:color="auto"/>
              <w:left w:val="nil"/>
              <w:bottom w:val="single" w:sz="4" w:space="0" w:color="auto"/>
              <w:right w:val="single" w:sz="6" w:space="0" w:color="auto"/>
            </w:tcBorders>
          </w:tcPr>
          <w:p w:rsidR="00E72897" w:rsidRDefault="00E72897" w:rsidP="00E72897">
            <w:pPr>
              <w:rPr>
                <w:color w:val="000000"/>
              </w:rPr>
            </w:pPr>
            <w:r w:rsidRPr="002E24D8">
              <w:rPr>
                <w:color w:val="000000"/>
              </w:rPr>
              <w:t>SFP modulių komplektas skirtas vienamodžiam optiniam kabeliui, ne mažesniam kaip 1000 Mbps greičiui ir ne mažiau kaip 10 km atstumui. Prievadas simplex LC. Darbo temperatūrų diapazonas ne mažesnis kaip –30 °C iki +70°C.</w:t>
            </w:r>
          </w:p>
          <w:p w:rsidR="00E72897" w:rsidRPr="002E24D8" w:rsidRDefault="00E72897" w:rsidP="00E72897">
            <w:pPr>
              <w:rPr>
                <w:color w:val="000000"/>
              </w:rPr>
            </w:pPr>
            <w:r w:rsidRPr="002E24D8">
              <w:rPr>
                <w:color w:val="000000"/>
              </w:rPr>
              <w:t>Bangos ilgiai:</w:t>
            </w:r>
          </w:p>
          <w:p w:rsidR="009662F8" w:rsidRDefault="00E72897" w:rsidP="009662F8">
            <w:pPr>
              <w:rPr>
                <w:color w:val="000000"/>
              </w:rPr>
            </w:pPr>
            <w:r w:rsidRPr="002E24D8">
              <w:rPr>
                <w:color w:val="000000"/>
              </w:rPr>
              <w:t>TX: 1310 nm, RX: 1550 nm;</w:t>
            </w:r>
          </w:p>
          <w:p w:rsidR="00E72897" w:rsidRDefault="009662F8" w:rsidP="00E72897">
            <w:pPr>
              <w:rPr>
                <w:color w:val="000000"/>
              </w:rPr>
            </w:pPr>
            <w:r w:rsidRPr="002E24D8">
              <w:rPr>
                <w:color w:val="000000"/>
              </w:rPr>
              <w:t>TX: 1550 nm, RX: 1310 nm.</w:t>
            </w:r>
          </w:p>
          <w:p w:rsidR="00E72897" w:rsidRPr="002E24D8" w:rsidRDefault="00E72897" w:rsidP="00E72897">
            <w:pPr>
              <w:rPr>
                <w:color w:val="000000"/>
              </w:rPr>
            </w:pPr>
            <w:r w:rsidRPr="002E6D91">
              <w:rPr>
                <w:color w:val="000000"/>
              </w:rPr>
              <w:t>Prekė turi būti tiekiam</w:t>
            </w:r>
            <w:r>
              <w:rPr>
                <w:color w:val="000000"/>
              </w:rPr>
              <w:t>a</w:t>
            </w:r>
            <w:r w:rsidRPr="002E6D91">
              <w:rPr>
                <w:color w:val="000000"/>
              </w:rPr>
              <w:t xml:space="preserve"> </w:t>
            </w:r>
            <w:r>
              <w:rPr>
                <w:color w:val="000000"/>
              </w:rPr>
              <w:t>antrinėje pakuotėje.</w:t>
            </w:r>
          </w:p>
          <w:p w:rsidR="00E72897" w:rsidRPr="002E24D8" w:rsidRDefault="00E72897" w:rsidP="00E72897">
            <w:pPr>
              <w:rPr>
                <w:color w:val="000000"/>
              </w:rPr>
            </w:pPr>
            <w:r w:rsidRPr="002E24D8">
              <w:rPr>
                <w:color w:val="000000"/>
              </w:rPr>
              <w:t xml:space="preserve">Komplektas turi būti suderinamas darbui su </w:t>
            </w:r>
            <w:r>
              <w:rPr>
                <w:color w:val="000000"/>
              </w:rPr>
              <w:t>tinklo komutatoriumi</w:t>
            </w:r>
            <w:r w:rsidRPr="002E24D8">
              <w:rPr>
                <w:color w:val="000000"/>
              </w:rPr>
              <w:t xml:space="preserve"> (punktas 2.1) ir industrini</w:t>
            </w:r>
            <w:r>
              <w:rPr>
                <w:color w:val="000000"/>
              </w:rPr>
              <w:t>u</w:t>
            </w:r>
            <w:r w:rsidRPr="002E24D8">
              <w:rPr>
                <w:color w:val="000000"/>
              </w:rPr>
              <w:t xml:space="preserve"> tinklo komutatori</w:t>
            </w:r>
            <w:r>
              <w:rPr>
                <w:color w:val="000000"/>
              </w:rPr>
              <w:t>umi</w:t>
            </w:r>
            <w:r w:rsidRPr="002E24D8">
              <w:rPr>
                <w:color w:val="000000"/>
              </w:rPr>
              <w:t xml:space="preserve"> su PoE (punkta</w:t>
            </w:r>
            <w:r>
              <w:rPr>
                <w:color w:val="000000"/>
              </w:rPr>
              <w:t>s</w:t>
            </w:r>
            <w:r w:rsidRPr="002E24D8">
              <w:rPr>
                <w:color w:val="000000"/>
              </w:rPr>
              <w:t xml:space="preserve"> 2.2).</w:t>
            </w:r>
          </w:p>
        </w:tc>
      </w:tr>
      <w:tr w:rsidR="00E72897" w:rsidRPr="00E72897" w:rsidTr="00AF0BB8">
        <w:trPr>
          <w:trHeight w:val="831"/>
        </w:trPr>
        <w:tc>
          <w:tcPr>
            <w:tcW w:w="992" w:type="dxa"/>
            <w:tcBorders>
              <w:top w:val="single" w:sz="4" w:space="0" w:color="auto"/>
              <w:left w:val="single" w:sz="6" w:space="0" w:color="auto"/>
              <w:bottom w:val="single" w:sz="4" w:space="0" w:color="auto"/>
              <w:right w:val="single" w:sz="6" w:space="0" w:color="auto"/>
            </w:tcBorders>
          </w:tcPr>
          <w:p w:rsidR="00E72897" w:rsidRPr="002E24D8" w:rsidRDefault="00E72897" w:rsidP="00E72897">
            <w:pPr>
              <w:jc w:val="center"/>
              <w:rPr>
                <w:color w:val="000000" w:themeColor="text1"/>
              </w:rPr>
            </w:pPr>
            <w:r w:rsidRPr="002E24D8">
              <w:rPr>
                <w:color w:val="000000" w:themeColor="text1"/>
              </w:rPr>
              <w:t>2.</w:t>
            </w:r>
            <w:r>
              <w:rPr>
                <w:color w:val="000000" w:themeColor="text1"/>
              </w:rPr>
              <w:t>4</w:t>
            </w:r>
            <w:r w:rsidRPr="002E24D8">
              <w:rPr>
                <w:color w:val="000000" w:themeColor="text1"/>
              </w:rPr>
              <w:t>.</w:t>
            </w:r>
          </w:p>
        </w:tc>
        <w:tc>
          <w:tcPr>
            <w:tcW w:w="1701" w:type="dxa"/>
            <w:tcBorders>
              <w:top w:val="single" w:sz="4" w:space="0" w:color="auto"/>
              <w:left w:val="nil"/>
              <w:bottom w:val="single" w:sz="4" w:space="0" w:color="auto"/>
              <w:right w:val="single" w:sz="6" w:space="0" w:color="auto"/>
            </w:tcBorders>
          </w:tcPr>
          <w:p w:rsidR="00E72897" w:rsidRPr="002E24D8" w:rsidRDefault="00E72897" w:rsidP="00E72897">
            <w:pPr>
              <w:rPr>
                <w:color w:val="000000"/>
              </w:rPr>
            </w:pPr>
            <w:r w:rsidRPr="002E24D8">
              <w:rPr>
                <w:color w:val="000000"/>
              </w:rPr>
              <w:t xml:space="preserve">SFP modulis </w:t>
            </w:r>
          </w:p>
        </w:tc>
        <w:tc>
          <w:tcPr>
            <w:tcW w:w="6804" w:type="dxa"/>
            <w:tcBorders>
              <w:top w:val="single" w:sz="4" w:space="0" w:color="auto"/>
              <w:left w:val="nil"/>
              <w:bottom w:val="single" w:sz="4" w:space="0" w:color="auto"/>
              <w:right w:val="single" w:sz="6" w:space="0" w:color="auto"/>
            </w:tcBorders>
          </w:tcPr>
          <w:p w:rsidR="00E72897" w:rsidRPr="002E24D8" w:rsidRDefault="00E72897" w:rsidP="00E72897">
            <w:pPr>
              <w:rPr>
                <w:color w:val="000000"/>
              </w:rPr>
            </w:pPr>
            <w:r w:rsidRPr="002E24D8">
              <w:rPr>
                <w:color w:val="000000"/>
              </w:rPr>
              <w:t>SFP modulis skirtas vienamodžiam optiniam kabeliui, ne mažesniam kaip 1000 Mbps greičiui ir ne mažiau kaip 10 km atstumui. Prievadas dual LC. Darbo temperatūrų diapazonas ne mažesnis kaip –30 °C iki +70°C.</w:t>
            </w:r>
          </w:p>
          <w:p w:rsidR="009662F8" w:rsidRDefault="00E72897" w:rsidP="009662F8">
            <w:pPr>
              <w:rPr>
                <w:color w:val="000000"/>
              </w:rPr>
            </w:pPr>
            <w:r w:rsidRPr="002E24D8">
              <w:rPr>
                <w:color w:val="000000"/>
              </w:rPr>
              <w:t>Bangos ilgis: 1310 nm.</w:t>
            </w:r>
          </w:p>
          <w:p w:rsidR="009662F8" w:rsidRDefault="009662F8" w:rsidP="009662F8">
            <w:pPr>
              <w:rPr>
                <w:color w:val="000000"/>
              </w:rPr>
            </w:pPr>
            <w:r w:rsidRPr="002E6D91">
              <w:rPr>
                <w:color w:val="000000"/>
              </w:rPr>
              <w:t>Prekė turi būti tiekiam</w:t>
            </w:r>
            <w:r>
              <w:rPr>
                <w:color w:val="000000"/>
              </w:rPr>
              <w:t>a</w:t>
            </w:r>
            <w:r w:rsidRPr="002E6D91">
              <w:rPr>
                <w:color w:val="000000"/>
              </w:rPr>
              <w:t xml:space="preserve"> </w:t>
            </w:r>
            <w:r>
              <w:rPr>
                <w:color w:val="000000"/>
              </w:rPr>
              <w:t>antrinėje pakuotėje.</w:t>
            </w:r>
          </w:p>
          <w:p w:rsidR="00E72897" w:rsidRDefault="00E72897" w:rsidP="00E72897">
            <w:pPr>
              <w:rPr>
                <w:color w:val="000000"/>
              </w:rPr>
            </w:pPr>
            <w:r w:rsidRPr="002E24D8">
              <w:rPr>
                <w:color w:val="000000"/>
              </w:rPr>
              <w:t xml:space="preserve">Modulis turi būti suderinamas darbui su </w:t>
            </w:r>
            <w:r>
              <w:rPr>
                <w:color w:val="000000"/>
              </w:rPr>
              <w:t>tinklo komutatoriumi</w:t>
            </w:r>
            <w:r w:rsidRPr="002E24D8">
              <w:rPr>
                <w:color w:val="000000"/>
              </w:rPr>
              <w:t xml:space="preserve"> (punktas 2.1) ir industrini</w:t>
            </w:r>
            <w:r>
              <w:rPr>
                <w:color w:val="000000"/>
              </w:rPr>
              <w:t>u</w:t>
            </w:r>
            <w:r w:rsidRPr="002E24D8">
              <w:rPr>
                <w:color w:val="000000"/>
              </w:rPr>
              <w:t xml:space="preserve"> tinklo komutatori</w:t>
            </w:r>
            <w:r>
              <w:rPr>
                <w:color w:val="000000"/>
              </w:rPr>
              <w:t>umi</w:t>
            </w:r>
            <w:r w:rsidRPr="002E24D8">
              <w:rPr>
                <w:color w:val="000000"/>
              </w:rPr>
              <w:t xml:space="preserve"> su PoE (punkta</w:t>
            </w:r>
            <w:r>
              <w:rPr>
                <w:color w:val="000000"/>
              </w:rPr>
              <w:t>s</w:t>
            </w:r>
            <w:r w:rsidRPr="002E24D8">
              <w:rPr>
                <w:color w:val="000000"/>
              </w:rPr>
              <w:t xml:space="preserve"> 2.2).</w:t>
            </w:r>
          </w:p>
          <w:p w:rsidR="00E72897" w:rsidRPr="002E24D8" w:rsidRDefault="00E72897" w:rsidP="009662F8">
            <w:pPr>
              <w:rPr>
                <w:color w:val="000000"/>
              </w:rPr>
            </w:pPr>
          </w:p>
        </w:tc>
      </w:tr>
    </w:tbl>
    <w:p w:rsidR="00E72897" w:rsidRDefault="00E72897" w:rsidP="00E276A2">
      <w:pPr>
        <w:pStyle w:val="ListParagraph"/>
        <w:ind w:right="566"/>
      </w:pPr>
    </w:p>
    <w:p w:rsidR="00E72897" w:rsidRDefault="00E72897" w:rsidP="00E276A2">
      <w:pPr>
        <w:pStyle w:val="ListParagraph"/>
        <w:ind w:right="566"/>
      </w:pPr>
    </w:p>
    <w:p w:rsidR="009662F8" w:rsidRDefault="009662F8" w:rsidP="00E276A2">
      <w:pPr>
        <w:pStyle w:val="ListParagraph"/>
        <w:ind w:right="566"/>
      </w:pPr>
    </w:p>
    <w:p w:rsidR="009662F8" w:rsidRDefault="009662F8" w:rsidP="00E276A2">
      <w:pPr>
        <w:pStyle w:val="ListParagraph"/>
        <w:ind w:right="566"/>
      </w:pPr>
    </w:p>
    <w:p w:rsidR="009662F8" w:rsidRPr="002E24D8" w:rsidRDefault="009662F8" w:rsidP="009662F8">
      <w:pPr>
        <w:ind w:left="34"/>
        <w:rPr>
          <w:rFonts w:eastAsia="Calibri"/>
        </w:rPr>
      </w:pPr>
      <w:r w:rsidRPr="002E24D8">
        <w:rPr>
          <w:rFonts w:eastAsia="Calibri"/>
        </w:rPr>
        <w:t>Parengė</w:t>
      </w:r>
    </w:p>
    <w:p w:rsidR="009662F8" w:rsidRPr="002E24D8" w:rsidRDefault="009662F8" w:rsidP="009662F8">
      <w:pPr>
        <w:ind w:left="34"/>
        <w:rPr>
          <w:rFonts w:eastAsia="Calibri"/>
        </w:rPr>
      </w:pPr>
    </w:p>
    <w:p w:rsidR="009662F8" w:rsidRPr="002E24D8" w:rsidRDefault="009662F8" w:rsidP="009662F8">
      <w:pPr>
        <w:ind w:left="34"/>
        <w:rPr>
          <w:rFonts w:eastAsia="Calibri"/>
        </w:rPr>
      </w:pPr>
      <w:r w:rsidRPr="002E24D8">
        <w:rPr>
          <w:rFonts w:eastAsia="Calibri"/>
        </w:rPr>
        <w:t>Elektroninių apsaugos sistemų skyriaus</w:t>
      </w:r>
    </w:p>
    <w:p w:rsidR="009662F8" w:rsidRDefault="009662F8" w:rsidP="009662F8">
      <w:pPr>
        <w:ind w:left="34"/>
        <w:rPr>
          <w:rFonts w:eastAsia="Calibri"/>
        </w:rPr>
      </w:pPr>
      <w:r w:rsidRPr="002E24D8">
        <w:rPr>
          <w:rFonts w:eastAsia="Calibri"/>
        </w:rPr>
        <w:t>elektronikos ir telekomunikacijų inžinierius</w:t>
      </w:r>
      <w:r w:rsidRPr="002E24D8">
        <w:rPr>
          <w:rFonts w:eastAsia="Calibri"/>
        </w:rPr>
        <w:tab/>
      </w:r>
      <w:r w:rsidRPr="002E24D8">
        <w:rPr>
          <w:rFonts w:eastAsia="Calibri"/>
        </w:rPr>
        <w:tab/>
      </w:r>
      <w:r>
        <w:rPr>
          <w:rFonts w:eastAsia="Calibri"/>
        </w:rPr>
        <w:tab/>
      </w:r>
      <w:r>
        <w:rPr>
          <w:rFonts w:eastAsia="Calibri"/>
        </w:rPr>
        <w:tab/>
      </w:r>
      <w:r w:rsidRPr="002E24D8">
        <w:rPr>
          <w:rFonts w:eastAsia="Calibri"/>
        </w:rPr>
        <w:tab/>
      </w:r>
      <w:r>
        <w:rPr>
          <w:rFonts w:eastAsia="Calibri"/>
        </w:rPr>
        <w:t>Vytautas Tarnauskas</w:t>
      </w:r>
    </w:p>
    <w:p w:rsidR="00E276A2" w:rsidRDefault="00E276A2" w:rsidP="00E276A2">
      <w:pPr>
        <w:pStyle w:val="ListParagraph"/>
        <w:ind w:right="566"/>
      </w:pPr>
    </w:p>
    <w:p w:rsidR="00E276A2" w:rsidRDefault="00E276A2" w:rsidP="00E276A2">
      <w:pPr>
        <w:pStyle w:val="ListParagraph"/>
        <w:ind w:right="566"/>
      </w:pPr>
    </w:p>
    <w:p w:rsidR="00E276A2" w:rsidRDefault="00E276A2" w:rsidP="00E276A2">
      <w:pPr>
        <w:pStyle w:val="ListParagraph"/>
        <w:ind w:right="566"/>
      </w:pPr>
    </w:p>
    <w:p w:rsidR="006D71DE" w:rsidRPr="0075600E" w:rsidRDefault="006D71DE" w:rsidP="006D71DE">
      <w:pPr>
        <w:jc w:val="center"/>
        <w:rPr>
          <w:b/>
          <w:bCs/>
          <w:caps/>
        </w:rPr>
      </w:pPr>
    </w:p>
    <w:sectPr w:rsidR="006D71DE" w:rsidRPr="0075600E" w:rsidSect="00E14027">
      <w:headerReference w:type="default" r:id="rId7"/>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06B5" w:rsidRDefault="005206B5" w:rsidP="00E14027">
      <w:r>
        <w:separator/>
      </w:r>
    </w:p>
  </w:endnote>
  <w:endnote w:type="continuationSeparator" w:id="0">
    <w:p w:rsidR="005206B5" w:rsidRDefault="005206B5" w:rsidP="00E140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06B5" w:rsidRDefault="005206B5" w:rsidP="00E14027">
      <w:r>
        <w:separator/>
      </w:r>
    </w:p>
  </w:footnote>
  <w:footnote w:type="continuationSeparator" w:id="0">
    <w:p w:rsidR="005206B5" w:rsidRDefault="005206B5" w:rsidP="00E140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000072"/>
      <w:docPartObj>
        <w:docPartGallery w:val="Page Numbers (Top of Page)"/>
        <w:docPartUnique/>
      </w:docPartObj>
    </w:sdtPr>
    <w:sdtEndPr>
      <w:rPr>
        <w:noProof/>
      </w:rPr>
    </w:sdtEndPr>
    <w:sdtContent>
      <w:p w:rsidR="00E14027" w:rsidRDefault="00E14027">
        <w:pPr>
          <w:pStyle w:val="Header"/>
          <w:jc w:val="center"/>
        </w:pPr>
        <w:r>
          <w:fldChar w:fldCharType="begin"/>
        </w:r>
        <w:r>
          <w:instrText xml:space="preserve"> PAGE   \* MERGEFORMAT </w:instrText>
        </w:r>
        <w:r>
          <w:fldChar w:fldCharType="separate"/>
        </w:r>
        <w:r w:rsidR="0082004A">
          <w:rPr>
            <w:noProof/>
          </w:rPr>
          <w:t>4</w:t>
        </w:r>
        <w:r>
          <w:rPr>
            <w:noProof/>
          </w:rPr>
          <w:fldChar w:fldCharType="end"/>
        </w:r>
      </w:p>
    </w:sdtContent>
  </w:sdt>
  <w:p w:rsidR="00E14027" w:rsidRDefault="00E140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CC3164"/>
    <w:multiLevelType w:val="hybridMultilevel"/>
    <w:tmpl w:val="FFFCF54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1F94B87"/>
    <w:multiLevelType w:val="hybridMultilevel"/>
    <w:tmpl w:val="ACC6A27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3A620D72"/>
    <w:multiLevelType w:val="hybridMultilevel"/>
    <w:tmpl w:val="D7A2DF2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 w15:restartNumberingAfterBreak="0">
    <w:nsid w:val="5C5A24BC"/>
    <w:multiLevelType w:val="hybridMultilevel"/>
    <w:tmpl w:val="D7A2DF2E"/>
    <w:lvl w:ilvl="0" w:tplc="0409000F">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1DE"/>
    <w:rsid w:val="00091A6F"/>
    <w:rsid w:val="000E633F"/>
    <w:rsid w:val="00131A6B"/>
    <w:rsid w:val="00147BE7"/>
    <w:rsid w:val="001520D9"/>
    <w:rsid w:val="0016325C"/>
    <w:rsid w:val="001A683B"/>
    <w:rsid w:val="001B4597"/>
    <w:rsid w:val="001D3E55"/>
    <w:rsid w:val="00241630"/>
    <w:rsid w:val="002D1A2E"/>
    <w:rsid w:val="002E1051"/>
    <w:rsid w:val="00301005"/>
    <w:rsid w:val="00322F6A"/>
    <w:rsid w:val="00336080"/>
    <w:rsid w:val="003719E1"/>
    <w:rsid w:val="003821E7"/>
    <w:rsid w:val="003A43DD"/>
    <w:rsid w:val="003B09D6"/>
    <w:rsid w:val="00446BC1"/>
    <w:rsid w:val="00454C5C"/>
    <w:rsid w:val="00476AF0"/>
    <w:rsid w:val="005206B5"/>
    <w:rsid w:val="00531932"/>
    <w:rsid w:val="00565BA6"/>
    <w:rsid w:val="005E1DCE"/>
    <w:rsid w:val="006425FA"/>
    <w:rsid w:val="00652877"/>
    <w:rsid w:val="00671179"/>
    <w:rsid w:val="006D2263"/>
    <w:rsid w:val="006D71DE"/>
    <w:rsid w:val="006F309E"/>
    <w:rsid w:val="00716FB6"/>
    <w:rsid w:val="00736F7F"/>
    <w:rsid w:val="00750E10"/>
    <w:rsid w:val="0075600E"/>
    <w:rsid w:val="00785BCD"/>
    <w:rsid w:val="007E2CC4"/>
    <w:rsid w:val="007F4C7A"/>
    <w:rsid w:val="00817BB7"/>
    <w:rsid w:val="0082004A"/>
    <w:rsid w:val="00846A1C"/>
    <w:rsid w:val="008620AB"/>
    <w:rsid w:val="008622CA"/>
    <w:rsid w:val="00863033"/>
    <w:rsid w:val="008A07EF"/>
    <w:rsid w:val="008D23FC"/>
    <w:rsid w:val="00905CB8"/>
    <w:rsid w:val="0091532E"/>
    <w:rsid w:val="00934A45"/>
    <w:rsid w:val="00950578"/>
    <w:rsid w:val="009662F8"/>
    <w:rsid w:val="00975B96"/>
    <w:rsid w:val="009D3A71"/>
    <w:rsid w:val="009F6409"/>
    <w:rsid w:val="00A02F47"/>
    <w:rsid w:val="00A3078B"/>
    <w:rsid w:val="00A43722"/>
    <w:rsid w:val="00A8269E"/>
    <w:rsid w:val="00A842B1"/>
    <w:rsid w:val="00B30EE8"/>
    <w:rsid w:val="00B3262D"/>
    <w:rsid w:val="00B40640"/>
    <w:rsid w:val="00B523E7"/>
    <w:rsid w:val="00B61F32"/>
    <w:rsid w:val="00B63105"/>
    <w:rsid w:val="00B7508C"/>
    <w:rsid w:val="00BD6E84"/>
    <w:rsid w:val="00BE0871"/>
    <w:rsid w:val="00C41678"/>
    <w:rsid w:val="00C46311"/>
    <w:rsid w:val="00C664D0"/>
    <w:rsid w:val="00C7127D"/>
    <w:rsid w:val="00CB7131"/>
    <w:rsid w:val="00CE1B35"/>
    <w:rsid w:val="00D436E4"/>
    <w:rsid w:val="00DD3367"/>
    <w:rsid w:val="00E14027"/>
    <w:rsid w:val="00E276A2"/>
    <w:rsid w:val="00E72897"/>
    <w:rsid w:val="00EC05C8"/>
    <w:rsid w:val="00F47C31"/>
    <w:rsid w:val="00F52BF1"/>
    <w:rsid w:val="00F63884"/>
    <w:rsid w:val="00F96EC9"/>
    <w:rsid w:val="00FD1359"/>
    <w:rsid w:val="00FD5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20E12"/>
  <w15:chartTrackingRefBased/>
  <w15:docId w15:val="{83D7946C-EEB4-4840-872D-63348D3F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1DE"/>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20AB"/>
    <w:rPr>
      <w:sz w:val="16"/>
      <w:szCs w:val="16"/>
    </w:rPr>
  </w:style>
  <w:style w:type="paragraph" w:styleId="CommentText">
    <w:name w:val="annotation text"/>
    <w:basedOn w:val="Normal"/>
    <w:link w:val="CommentTextChar"/>
    <w:uiPriority w:val="99"/>
    <w:semiHidden/>
    <w:unhideWhenUsed/>
    <w:rsid w:val="008620AB"/>
    <w:rPr>
      <w:sz w:val="20"/>
      <w:szCs w:val="20"/>
    </w:rPr>
  </w:style>
  <w:style w:type="character" w:customStyle="1" w:styleId="CommentTextChar">
    <w:name w:val="Comment Text Char"/>
    <w:basedOn w:val="DefaultParagraphFont"/>
    <w:link w:val="CommentText"/>
    <w:uiPriority w:val="99"/>
    <w:semiHidden/>
    <w:rsid w:val="008620AB"/>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8620AB"/>
    <w:rPr>
      <w:b/>
      <w:bCs/>
    </w:rPr>
  </w:style>
  <w:style w:type="character" w:customStyle="1" w:styleId="CommentSubjectChar">
    <w:name w:val="Comment Subject Char"/>
    <w:basedOn w:val="CommentTextChar"/>
    <w:link w:val="CommentSubject"/>
    <w:uiPriority w:val="99"/>
    <w:semiHidden/>
    <w:rsid w:val="008620AB"/>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8620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20AB"/>
    <w:rPr>
      <w:rFonts w:ascii="Segoe UI" w:eastAsia="Times New Roman" w:hAnsi="Segoe UI" w:cs="Segoe UI"/>
      <w:sz w:val="18"/>
      <w:szCs w:val="18"/>
      <w:lang w:val="lt-LT" w:eastAsia="lt-LT"/>
    </w:rPr>
  </w:style>
  <w:style w:type="paragraph" w:styleId="Header">
    <w:name w:val="header"/>
    <w:basedOn w:val="Normal"/>
    <w:link w:val="HeaderChar"/>
    <w:uiPriority w:val="99"/>
    <w:unhideWhenUsed/>
    <w:rsid w:val="00E14027"/>
    <w:pPr>
      <w:tabs>
        <w:tab w:val="center" w:pos="4986"/>
        <w:tab w:val="right" w:pos="9972"/>
      </w:tabs>
    </w:pPr>
  </w:style>
  <w:style w:type="character" w:customStyle="1" w:styleId="HeaderChar">
    <w:name w:val="Header Char"/>
    <w:basedOn w:val="DefaultParagraphFont"/>
    <w:link w:val="Header"/>
    <w:uiPriority w:val="99"/>
    <w:rsid w:val="00E14027"/>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E14027"/>
    <w:pPr>
      <w:tabs>
        <w:tab w:val="center" w:pos="4986"/>
        <w:tab w:val="right" w:pos="9972"/>
      </w:tabs>
    </w:pPr>
  </w:style>
  <w:style w:type="character" w:customStyle="1" w:styleId="FooterChar">
    <w:name w:val="Footer Char"/>
    <w:basedOn w:val="DefaultParagraphFont"/>
    <w:link w:val="Footer"/>
    <w:uiPriority w:val="99"/>
    <w:rsid w:val="00E14027"/>
    <w:rPr>
      <w:rFonts w:ascii="Times New Roman" w:eastAsia="Times New Roman" w:hAnsi="Times New Roman" w:cs="Times New Roman"/>
      <w:sz w:val="24"/>
      <w:szCs w:val="24"/>
      <w:lang w:val="lt-LT" w:eastAsia="lt-LT"/>
    </w:rPr>
  </w:style>
  <w:style w:type="paragraph" w:styleId="ListParagraph">
    <w:name w:val="List Paragraph"/>
    <w:basedOn w:val="Normal"/>
    <w:uiPriority w:val="34"/>
    <w:qFormat/>
    <w:rsid w:val="00E276A2"/>
    <w:pPr>
      <w:ind w:left="720"/>
      <w:contextualSpacing/>
    </w:pPr>
  </w:style>
  <w:style w:type="table" w:customStyle="1" w:styleId="TableGrid1">
    <w:name w:val="Table Grid1"/>
    <w:basedOn w:val="TableNormal"/>
    <w:next w:val="TableGrid"/>
    <w:uiPriority w:val="59"/>
    <w:rsid w:val="00E72897"/>
    <w:pPr>
      <w:spacing w:after="0" w:line="200" w:lineRule="atLeast"/>
      <w:ind w:left="34"/>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728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840695">
      <w:bodyDiv w:val="1"/>
      <w:marLeft w:val="0"/>
      <w:marRight w:val="0"/>
      <w:marTop w:val="0"/>
      <w:marBottom w:val="0"/>
      <w:divBdr>
        <w:top w:val="none" w:sz="0" w:space="0" w:color="auto"/>
        <w:left w:val="none" w:sz="0" w:space="0" w:color="auto"/>
        <w:bottom w:val="none" w:sz="0" w:space="0" w:color="auto"/>
        <w:right w:val="none" w:sz="0" w:space="0" w:color="auto"/>
      </w:divBdr>
    </w:div>
    <w:div w:id="63838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1297</Words>
  <Characters>7394</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Albertas Nargėla</dc:creator>
  <cp:lastModifiedBy>Windows User</cp:lastModifiedBy>
  <cp:revision>2</cp:revision>
  <dcterms:created xsi:type="dcterms:W3CDTF">2025-06-06T10:37:00Z</dcterms:created>
  <dcterms:modified xsi:type="dcterms:W3CDTF">2025-06-06T10:37:00Z</dcterms:modified>
</cp:coreProperties>
</file>