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6C64A2">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6C64A2"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bookmarkStart w:id="0" w:name="_GoBack"/>
      <w:bookmarkEnd w:id="0"/>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107A76" w:rsidP="007C7568">
      <w:pPr>
        <w:jc w:val="center"/>
        <w:rPr>
          <w:rFonts w:asciiTheme="majorHAnsi" w:hAnsiTheme="majorHAnsi"/>
          <w:sz w:val="22"/>
          <w:szCs w:val="22"/>
          <w:lang w:val="lt-LT"/>
        </w:rPr>
      </w:pPr>
      <w:r>
        <w:rPr>
          <w:rFonts w:asciiTheme="majorHAnsi" w:hAnsiTheme="majorHAnsi"/>
          <w:b/>
          <w:bCs/>
          <w:sz w:val="22"/>
          <w:szCs w:val="22"/>
          <w:lang w:val="lt-LT"/>
        </w:rPr>
        <w:t>MEDICINOS PAGALBOS PRIEMONĖS</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C70430">
        <w:rPr>
          <w:rFonts w:asciiTheme="majorHAnsi" w:hAnsiTheme="majorHAnsi"/>
          <w:b/>
          <w:sz w:val="22"/>
        </w:rPr>
        <w:lastRenderedPageBreak/>
        <w:t>BENDROSIOS NUOSTATOS</w:t>
      </w:r>
      <w:bookmarkEnd w:id="1"/>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107A76">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8" w:name="_Toc487805677"/>
      <w:bookmarkStart w:id="9" w:name="_Toc490665140"/>
      <w:r w:rsidRPr="00B17DF9">
        <w:rPr>
          <w:rFonts w:asciiTheme="majorHAnsi" w:hAnsiTheme="majorHAnsi"/>
          <w:b/>
          <w:sz w:val="22"/>
        </w:rPr>
        <w:t>PIRKIMO OBJEKTAS</w:t>
      </w:r>
      <w:bookmarkEnd w:id="8"/>
      <w:bookmarkEnd w:id="9"/>
    </w:p>
    <w:bookmarkEnd w:id="5"/>
    <w:bookmarkEnd w:id="6"/>
    <w:bookmarkEnd w:id="7"/>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107A76">
        <w:rPr>
          <w:rFonts w:asciiTheme="majorHAnsi" w:hAnsiTheme="majorHAnsi"/>
          <w:b/>
          <w:bCs/>
          <w:color w:val="548DD4" w:themeColor="text2" w:themeTint="99"/>
        </w:rPr>
        <w:t>Medicinos pagalbos priemonės</w:t>
      </w:r>
      <w:r w:rsidR="003173E6" w:rsidRPr="00C70430">
        <w:rPr>
          <w:rFonts w:asciiTheme="majorHAnsi" w:hAnsiTheme="majorHAnsi"/>
          <w:b/>
          <w:bCs/>
          <w:color w:val="548DD4" w:themeColor="text2" w:themeTint="99"/>
        </w:rPr>
        <w:t>.</w:t>
      </w:r>
    </w:p>
    <w:p w:rsidR="00107A76" w:rsidRDefault="0008206A"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107A76" w:rsidRPr="00107A76" w:rsidRDefault="00107A76"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sidRPr="00107A76">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sidRPr="00107A76">
        <w:rPr>
          <w:rFonts w:asciiTheme="majorHAnsi" w:hAnsiTheme="majorHAnsi"/>
          <w:b/>
          <w:bCs/>
          <w:color w:val="548DD4" w:themeColor="text2" w:themeTint="99"/>
          <w:sz w:val="22"/>
          <w:szCs w:val="22"/>
        </w:rPr>
        <w:t>medicinos pagalbos priemonių</w:t>
      </w:r>
      <w:proofErr w:type="gramStart"/>
      <w:r w:rsidRPr="00107A76">
        <w:rPr>
          <w:rFonts w:asciiTheme="majorHAnsi" w:hAnsiTheme="majorHAnsi"/>
          <w:iCs/>
          <w:sz w:val="22"/>
          <w:szCs w:val="22"/>
        </w:rPr>
        <w:t>“ (</w:t>
      </w:r>
      <w:proofErr w:type="gramEnd"/>
      <w:r w:rsidRPr="00107A76">
        <w:rPr>
          <w:rFonts w:asciiTheme="majorHAnsi" w:hAnsiTheme="majorHAnsi"/>
          <w:iCs/>
          <w:sz w:val="22"/>
          <w:szCs w:val="22"/>
        </w:rPr>
        <w:t xml:space="preserve">Nr. </w:t>
      </w:r>
      <w:r w:rsidR="003B5BD0">
        <w:rPr>
          <w:rFonts w:asciiTheme="majorHAnsi" w:hAnsiTheme="majorHAnsi"/>
          <w:iCs/>
          <w:sz w:val="22"/>
          <w:szCs w:val="22"/>
        </w:rPr>
        <w:t>2666787</w:t>
      </w:r>
      <w:r w:rsidRPr="00107A76">
        <w:rPr>
          <w:rFonts w:asciiTheme="majorHAnsi" w:hAnsiTheme="majorHAnsi"/>
          <w:iCs/>
          <w:sz w:val="22"/>
          <w:szCs w:val="22"/>
        </w:rPr>
        <w:t>).</w:t>
      </w:r>
    </w:p>
    <w:p w:rsidR="00107A76" w:rsidRPr="00B17DF9" w:rsidRDefault="00107A76" w:rsidP="00107A76">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2.4. Šis pirkimas yra skirstomas į atskiras pirkimo </w:t>
      </w:r>
      <w:proofErr w:type="gramStart"/>
      <w:r w:rsidRPr="00B17DF9">
        <w:rPr>
          <w:rFonts w:asciiTheme="majorHAnsi" w:hAnsiTheme="majorHAnsi"/>
          <w:sz w:val="22"/>
          <w:szCs w:val="22"/>
        </w:rPr>
        <w:t>dalis</w:t>
      </w:r>
      <w:proofErr w:type="gramEnd"/>
      <w:r w:rsidRPr="00B17DF9">
        <w:rPr>
          <w:rFonts w:asciiTheme="majorHAnsi" w:hAnsiTheme="majorHAnsi"/>
          <w:sz w:val="22"/>
          <w:szCs w:val="22"/>
        </w:rPr>
        <w:t xml:space="preserve"> (viso</w:t>
      </w:r>
      <w:r w:rsidR="00FC4493">
        <w:rPr>
          <w:rFonts w:asciiTheme="majorHAnsi" w:hAnsiTheme="majorHAnsi"/>
          <w:sz w:val="22"/>
          <w:szCs w:val="22"/>
        </w:rPr>
        <w:t xml:space="preserve"> 7</w:t>
      </w:r>
      <w:r>
        <w:rPr>
          <w:rFonts w:asciiTheme="majorHAnsi" w:hAnsiTheme="majorHAnsi"/>
          <w:sz w:val="22"/>
          <w:szCs w:val="22"/>
        </w:rPr>
        <w:t xml:space="preserve"> </w:t>
      </w:r>
      <w:r w:rsidRPr="00B17DF9">
        <w:rPr>
          <w:rFonts w:asciiTheme="majorHAnsi" w:hAnsiTheme="majorHAnsi"/>
          <w:sz w:val="22"/>
          <w:szCs w:val="22"/>
        </w:rPr>
        <w:t>pirkimo dal</w:t>
      </w:r>
      <w:r>
        <w:rPr>
          <w:rFonts w:asciiTheme="majorHAnsi" w:hAnsiTheme="majorHAnsi"/>
          <w:sz w:val="22"/>
          <w:szCs w:val="22"/>
        </w:rPr>
        <w:t>ys</w:t>
      </w:r>
      <w:r w:rsidRPr="00B17DF9">
        <w:rPr>
          <w:rFonts w:asciiTheme="majorHAnsi" w:hAnsiTheme="majorHAnsi"/>
          <w:sz w:val="22"/>
          <w:szCs w:val="22"/>
        </w:rPr>
        <w:t>).</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2.5. Dalyvis gali pateikti pasiūlymą vienai, kelioms </w:t>
      </w:r>
      <w:r w:rsidRPr="00B17DF9">
        <w:rPr>
          <w:rFonts w:asciiTheme="majorHAnsi" w:hAnsiTheme="majorHAnsi"/>
          <w:sz w:val="22"/>
          <w:szCs w:val="22"/>
        </w:rPr>
        <w:t>arba visoms pirkimo dalims</w:t>
      </w:r>
      <w:r w:rsidRPr="00B17DF9">
        <w:rPr>
          <w:rFonts w:asciiTheme="majorHAnsi" w:hAnsiTheme="majorHAnsi"/>
          <w:sz w:val="22"/>
          <w:szCs w:val="22"/>
          <w:lang w:eastAsia="lt-LT"/>
        </w:rPr>
        <w:t xml:space="preserve">. </w:t>
      </w:r>
      <w:r w:rsidRPr="00B17DF9">
        <w:rPr>
          <w:rFonts w:asciiTheme="majorHAnsi" w:hAnsiTheme="majorHAnsi"/>
          <w:sz w:val="22"/>
          <w:szCs w:val="22"/>
        </w:rPr>
        <w:t>Kiekvienai pirkimo daliai bus sudaroma atskira pirkimo sutartis arba viena bendra sutartis vieno tiekėjo laimėtoms pirkimo dalims. Pasiūlymas</w:t>
      </w:r>
      <w:r w:rsidRPr="00C70430">
        <w:rPr>
          <w:rFonts w:asciiTheme="majorHAnsi" w:hAnsiTheme="majorHAnsi"/>
          <w:sz w:val="22"/>
          <w:szCs w:val="22"/>
        </w:rPr>
        <w:t xml:space="preserve"> turi būti pateiktas visai siūlomos pirkimo dalies </w:t>
      </w:r>
      <w:r w:rsidRPr="00C70430">
        <w:rPr>
          <w:rFonts w:asciiTheme="majorHAnsi" w:hAnsiTheme="majorHAnsi"/>
          <w:sz w:val="22"/>
          <w:szCs w:val="22"/>
          <w:lang w:val="de-DE"/>
        </w:rPr>
        <w:t>technin</w:t>
      </w:r>
      <w:r w:rsidRPr="00C70430">
        <w:rPr>
          <w:rFonts w:asciiTheme="majorHAnsi" w:hAnsiTheme="majorHAnsi"/>
          <w:sz w:val="22"/>
          <w:szCs w:val="22"/>
        </w:rPr>
        <w:t xml:space="preserve">ėje specifikacijoje nurodytai apimčiai. </w:t>
      </w:r>
      <w:r w:rsidRPr="00C70430">
        <w:rPr>
          <w:rFonts w:asciiTheme="majorHAnsi" w:hAnsiTheme="majorHAnsi"/>
          <w:iCs/>
          <w:sz w:val="22"/>
          <w:szCs w:val="22"/>
        </w:rPr>
        <w:t xml:space="preserve">Konkurso dalyviui pateikus pasiūlymą, kuriame bus siūlomas nepilnas į pirkimo </w:t>
      </w:r>
      <w:proofErr w:type="gramStart"/>
      <w:r w:rsidRPr="00C70430">
        <w:rPr>
          <w:rFonts w:asciiTheme="majorHAnsi" w:hAnsiTheme="majorHAnsi"/>
          <w:iCs/>
          <w:sz w:val="22"/>
          <w:szCs w:val="22"/>
        </w:rPr>
        <w:t>dalį</w:t>
      </w:r>
      <w:proofErr w:type="gramEnd"/>
      <w:r w:rsidRPr="00C70430">
        <w:rPr>
          <w:rFonts w:asciiTheme="majorHAnsi" w:hAnsiTheme="majorHAnsi"/>
          <w:iCs/>
          <w:sz w:val="22"/>
          <w:szCs w:val="22"/>
        </w:rPr>
        <w:t xml:space="preserve"> patenkančių prekių asortimentas, pasiūlymas bus atmestas.</w:t>
      </w:r>
      <w:r w:rsidRPr="00C70430">
        <w:rPr>
          <w:rFonts w:asciiTheme="majorHAnsi" w:hAnsiTheme="majorHAnsi"/>
          <w:sz w:val="22"/>
          <w:szCs w:val="22"/>
          <w:lang w:eastAsia="lt-LT"/>
        </w:rPr>
        <w:t xml:space="preserve"> Alternatyvūs pasiūlymai negalimi.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Pr="00C70430">
        <w:rPr>
          <w:rFonts w:asciiTheme="majorHAnsi" w:hAnsiTheme="majorHAnsi"/>
          <w:sz w:val="22"/>
          <w:szCs w:val="22"/>
        </w:rPr>
        <w:t>2.6. Prekių pristatymo vieta yra Lietuvos sveikatos mokslų universiteto ligoninė Kauno klinikos, adresas Eivenių g. 2, LT-50161 Kaunas, Vaistinė.</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C70430">
        <w:rPr>
          <w:rFonts w:asciiTheme="majorHAnsi" w:hAnsiTheme="majorHAnsi"/>
          <w:sz w:val="22"/>
          <w:szCs w:val="20"/>
        </w:rPr>
        <w:t>dėl</w:t>
      </w:r>
      <w:proofErr w:type="gramEnd"/>
      <w:r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08206A" w:rsidRDefault="00107A76" w:rsidP="00107A76">
      <w:pPr>
        <w:pStyle w:val="NoSpacing"/>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2.9. Pasiūlymai vertinami pagal kainos kriterijų.</w:t>
      </w: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10"/>
      <w:bookmarkEnd w:id="11"/>
      <w:bookmarkEnd w:id="12"/>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D05A64"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05A64"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05A64"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D05A64"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D05A64"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554EB2">
        <w:rPr>
          <w:rFonts w:asciiTheme="majorHAnsi" w:hAnsiTheme="majorHAnsi"/>
          <w:b/>
          <w:iCs/>
          <w:color w:val="548DD4" w:themeColor="text2" w:themeTint="99"/>
        </w:rPr>
        <w:t>birželio</w:t>
      </w:r>
      <w:proofErr w:type="gramEnd"/>
      <w:r w:rsidR="00E10C59">
        <w:rPr>
          <w:rFonts w:asciiTheme="majorHAnsi" w:hAnsiTheme="majorHAnsi"/>
          <w:b/>
          <w:iCs/>
          <w:color w:val="548DD4" w:themeColor="text2" w:themeTint="99"/>
        </w:rPr>
        <w:t xml:space="preserve"> </w:t>
      </w:r>
      <w:r w:rsidR="00FC4493">
        <w:rPr>
          <w:rFonts w:asciiTheme="majorHAnsi" w:hAnsiTheme="majorHAnsi"/>
          <w:b/>
          <w:iCs/>
          <w:color w:val="548DD4" w:themeColor="text2" w:themeTint="99"/>
        </w:rPr>
        <w:t>23</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554EB2">
        <w:rPr>
          <w:rFonts w:asciiTheme="majorHAnsi" w:hAnsiTheme="majorHAnsi"/>
          <w:b/>
          <w:iCs/>
          <w:color w:val="548DD4" w:themeColor="text2" w:themeTint="99"/>
          <w:sz w:val="22"/>
          <w:szCs w:val="22"/>
          <w:u w:val="single"/>
        </w:rPr>
        <w:t>birželio</w:t>
      </w:r>
      <w:r w:rsidR="009B383E" w:rsidRPr="009B383E">
        <w:rPr>
          <w:rFonts w:asciiTheme="majorHAnsi" w:hAnsiTheme="majorHAnsi"/>
          <w:b/>
          <w:iCs/>
          <w:color w:val="548DD4" w:themeColor="text2" w:themeTint="99"/>
          <w:sz w:val="22"/>
          <w:szCs w:val="22"/>
          <w:u w:val="single"/>
        </w:rPr>
        <w:t xml:space="preserve"> </w:t>
      </w:r>
      <w:r w:rsidR="00FC4493">
        <w:rPr>
          <w:rFonts w:asciiTheme="majorHAnsi" w:hAnsiTheme="majorHAnsi"/>
          <w:b/>
          <w:iCs/>
          <w:color w:val="548DD4" w:themeColor="text2" w:themeTint="99"/>
          <w:sz w:val="22"/>
          <w:szCs w:val="22"/>
          <w:u w:val="single"/>
        </w:rPr>
        <w:t>23</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554EB2">
        <w:rPr>
          <w:rFonts w:asciiTheme="majorHAnsi" w:hAnsiTheme="majorHAnsi"/>
          <w:b/>
          <w:iCs/>
          <w:color w:val="548DD4" w:themeColor="text2" w:themeTint="99"/>
          <w:sz w:val="22"/>
          <w:szCs w:val="22"/>
          <w:u w:val="single"/>
        </w:rPr>
        <w:t>birželio</w:t>
      </w:r>
      <w:r w:rsidR="00554EB2" w:rsidRPr="009B383E">
        <w:rPr>
          <w:rFonts w:asciiTheme="majorHAnsi" w:hAnsiTheme="majorHAnsi"/>
          <w:b/>
          <w:iCs/>
          <w:color w:val="548DD4" w:themeColor="text2" w:themeTint="99"/>
          <w:sz w:val="22"/>
          <w:szCs w:val="22"/>
          <w:u w:val="single"/>
        </w:rPr>
        <w:t xml:space="preserve"> </w:t>
      </w:r>
      <w:r w:rsidR="00FC4493">
        <w:rPr>
          <w:rFonts w:asciiTheme="majorHAnsi" w:hAnsiTheme="majorHAnsi"/>
          <w:b/>
          <w:iCs/>
          <w:color w:val="548DD4" w:themeColor="text2" w:themeTint="99"/>
          <w:sz w:val="22"/>
          <w:szCs w:val="22"/>
          <w:u w:val="single"/>
        </w:rPr>
        <w:t>23</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 xml:space="preserve">16.11. Jeigu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 xml:space="preserve">ą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7" w:name="_Toc490665155"/>
      <w:r w:rsidRPr="00BC3216">
        <w:rPr>
          <w:rFonts w:ascii="Cambria" w:hAnsi="Cambria"/>
          <w:b/>
          <w:sz w:val="22"/>
        </w:rPr>
        <w:t>PIRKIMO SUTARTIES PASIRAŠYMAS IR SĄLYGOS</w:t>
      </w:r>
      <w:bookmarkEnd w:id="47"/>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w:t>
      </w:r>
    </w:p>
    <w:p w:rsidR="00C90080" w:rsidRPr="00BC3216" w:rsidRDefault="008013BC" w:rsidP="00554EB2">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B55A01" w:rsidRPr="00BC3216">
        <w:rPr>
          <w:rFonts w:ascii="Cambria" w:hAnsi="Cambria"/>
          <w:color w:val="000000"/>
          <w:sz w:val="22"/>
          <w:szCs w:val="22"/>
        </w:rPr>
        <w:t>Taikoma kainodara – fiksuotas įkainis</w:t>
      </w:r>
      <w:r w:rsidR="003D3206" w:rsidRPr="00BC3216">
        <w:rPr>
          <w:rFonts w:ascii="Cambria" w:hAnsi="Cambria"/>
          <w:color w:val="000000"/>
          <w:sz w:val="22"/>
          <w:szCs w:val="22"/>
        </w:rPr>
        <w:t>.</w:t>
      </w:r>
      <w:bookmarkEnd w:id="13"/>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A64" w:rsidRDefault="00D05A64" w:rsidP="00516023">
      <w:r>
        <w:separator/>
      </w:r>
    </w:p>
  </w:endnote>
  <w:endnote w:type="continuationSeparator" w:id="0">
    <w:p w:rsidR="00D05A64" w:rsidRDefault="00D05A64"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A64" w:rsidRDefault="00D05A64" w:rsidP="00516023">
      <w:r>
        <w:separator/>
      </w:r>
    </w:p>
  </w:footnote>
  <w:footnote w:type="continuationSeparator" w:id="0">
    <w:p w:rsidR="00D05A64" w:rsidRDefault="00D05A64"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134A"/>
    <w:rsid w:val="000227D7"/>
    <w:rsid w:val="0002593F"/>
    <w:rsid w:val="000279E6"/>
    <w:rsid w:val="00034BC8"/>
    <w:rsid w:val="00036379"/>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5BD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4A2"/>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A2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E7CF3"/>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05A64"/>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E1862"/>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835A1"/>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C4493"/>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017DF9-374B-4B1E-98D8-07C6EBA7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19</Pages>
  <Words>9022</Words>
  <Characters>51432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115</cp:revision>
  <cp:lastPrinted>2024-07-29T06:28:00Z</cp:lastPrinted>
  <dcterms:created xsi:type="dcterms:W3CDTF">2023-03-03T08:33:00Z</dcterms:created>
  <dcterms:modified xsi:type="dcterms:W3CDTF">2025-06-11T12:09:00Z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