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8F83" w14:textId="77777777" w:rsidR="00755EBF" w:rsidRPr="002632A7" w:rsidRDefault="00755EBF" w:rsidP="00755EBF">
      <w:pPr>
        <w:rPr>
          <w:lang w:val="lt-LT"/>
        </w:rPr>
      </w:pPr>
    </w:p>
    <w:tbl>
      <w:tblPr>
        <w:tblW w:w="10108" w:type="dxa"/>
        <w:tblLayout w:type="fixed"/>
        <w:tblLook w:val="0000" w:firstRow="0" w:lastRow="0" w:firstColumn="0" w:lastColumn="0" w:noHBand="0" w:noVBand="0"/>
      </w:tblPr>
      <w:tblGrid>
        <w:gridCol w:w="4820"/>
        <w:gridCol w:w="425"/>
        <w:gridCol w:w="1198"/>
        <w:gridCol w:w="503"/>
        <w:gridCol w:w="3162"/>
      </w:tblGrid>
      <w:tr w:rsidR="00755EBF" w:rsidRPr="002632A7" w14:paraId="70897B56" w14:textId="77777777" w:rsidTr="00251544">
        <w:tc>
          <w:tcPr>
            <w:tcW w:w="4820" w:type="dxa"/>
          </w:tcPr>
          <w:p w14:paraId="4B007A0B" w14:textId="4360E56D" w:rsidR="00755EBF" w:rsidRPr="002632A7" w:rsidRDefault="00755EBF" w:rsidP="00251544">
            <w:pPr>
              <w:pStyle w:val="Pagrindiniotekstotrauka2"/>
              <w:spacing w:after="0" w:line="240" w:lineRule="auto"/>
              <w:ind w:left="0"/>
              <w:rPr>
                <w:b/>
                <w:bCs/>
                <w:sz w:val="24"/>
                <w:szCs w:val="24"/>
                <w:lang w:val="lt-LT"/>
              </w:rPr>
            </w:pPr>
            <w:r w:rsidRPr="002632A7">
              <w:rPr>
                <w:b/>
                <w:bCs/>
                <w:sz w:val="24"/>
                <w:szCs w:val="24"/>
                <w:lang w:val="lt-LT"/>
              </w:rPr>
              <w:t>Tiekėjams</w:t>
            </w:r>
          </w:p>
        </w:tc>
        <w:tc>
          <w:tcPr>
            <w:tcW w:w="425" w:type="dxa"/>
          </w:tcPr>
          <w:p w14:paraId="6C56CF96" w14:textId="77777777" w:rsidR="00755EBF" w:rsidRPr="002632A7" w:rsidRDefault="00755EBF" w:rsidP="00251544">
            <w:pPr>
              <w:ind w:left="33" w:hanging="33"/>
              <w:rPr>
                <w:sz w:val="24"/>
                <w:szCs w:val="24"/>
                <w:lang w:val="lt-LT"/>
              </w:rPr>
            </w:pPr>
          </w:p>
        </w:tc>
        <w:tc>
          <w:tcPr>
            <w:tcW w:w="1198" w:type="dxa"/>
          </w:tcPr>
          <w:p w14:paraId="5966944B" w14:textId="0C9EEB06" w:rsidR="00755EBF" w:rsidRPr="002632A7" w:rsidRDefault="00755EBF" w:rsidP="00251544">
            <w:pPr>
              <w:ind w:right="-108" w:hanging="108"/>
              <w:rPr>
                <w:sz w:val="24"/>
                <w:szCs w:val="24"/>
                <w:lang w:val="lt-LT"/>
              </w:rPr>
            </w:pPr>
            <w:r w:rsidRPr="002632A7">
              <w:rPr>
                <w:sz w:val="24"/>
                <w:szCs w:val="24"/>
                <w:lang w:val="lt-LT"/>
              </w:rPr>
              <w:t>2025-06-12</w:t>
            </w:r>
          </w:p>
        </w:tc>
        <w:tc>
          <w:tcPr>
            <w:tcW w:w="503" w:type="dxa"/>
          </w:tcPr>
          <w:p w14:paraId="4F53E32D" w14:textId="77777777" w:rsidR="00755EBF" w:rsidRPr="002632A7" w:rsidRDefault="00755EBF" w:rsidP="00251544">
            <w:pPr>
              <w:ind w:right="-250"/>
              <w:rPr>
                <w:sz w:val="24"/>
                <w:szCs w:val="24"/>
                <w:lang w:val="lt-LT"/>
              </w:rPr>
            </w:pPr>
            <w:r w:rsidRPr="002632A7">
              <w:rPr>
                <w:sz w:val="24"/>
                <w:szCs w:val="24"/>
                <w:lang w:val="lt-LT"/>
              </w:rPr>
              <w:t>Nr.</w:t>
            </w:r>
          </w:p>
        </w:tc>
        <w:tc>
          <w:tcPr>
            <w:tcW w:w="3162" w:type="dxa"/>
          </w:tcPr>
          <w:p w14:paraId="603F1EB2" w14:textId="77777777" w:rsidR="00755EBF" w:rsidRPr="002632A7" w:rsidRDefault="00755EBF" w:rsidP="00251544">
            <w:pPr>
              <w:rPr>
                <w:sz w:val="24"/>
                <w:szCs w:val="24"/>
                <w:lang w:val="lt-LT"/>
              </w:rPr>
            </w:pPr>
          </w:p>
        </w:tc>
      </w:tr>
      <w:tr w:rsidR="00755EBF" w:rsidRPr="002632A7" w14:paraId="2E7BEF4C" w14:textId="77777777" w:rsidTr="00251544">
        <w:tc>
          <w:tcPr>
            <w:tcW w:w="4820" w:type="dxa"/>
          </w:tcPr>
          <w:p w14:paraId="654D88ED" w14:textId="77777777" w:rsidR="00755EBF" w:rsidRPr="002632A7" w:rsidRDefault="00755EBF" w:rsidP="00251544">
            <w:pPr>
              <w:pStyle w:val="Pagrindiniotekstotrauka2"/>
              <w:spacing w:after="0" w:line="240" w:lineRule="auto"/>
              <w:ind w:left="0"/>
              <w:rPr>
                <w:sz w:val="24"/>
                <w:szCs w:val="24"/>
                <w:lang w:val="lt-LT"/>
              </w:rPr>
            </w:pPr>
          </w:p>
        </w:tc>
        <w:tc>
          <w:tcPr>
            <w:tcW w:w="425" w:type="dxa"/>
          </w:tcPr>
          <w:p w14:paraId="6A8AE182" w14:textId="77777777" w:rsidR="00755EBF" w:rsidRPr="002632A7" w:rsidRDefault="00755EBF" w:rsidP="00251544">
            <w:pPr>
              <w:ind w:left="33" w:hanging="33"/>
              <w:rPr>
                <w:sz w:val="24"/>
                <w:szCs w:val="24"/>
                <w:lang w:val="lt-LT"/>
              </w:rPr>
            </w:pPr>
          </w:p>
        </w:tc>
        <w:tc>
          <w:tcPr>
            <w:tcW w:w="1198" w:type="dxa"/>
          </w:tcPr>
          <w:p w14:paraId="6CFA2A44" w14:textId="77777777" w:rsidR="00755EBF" w:rsidRPr="002632A7" w:rsidRDefault="00755EBF" w:rsidP="00251544">
            <w:pPr>
              <w:ind w:right="-108" w:hanging="108"/>
              <w:rPr>
                <w:sz w:val="24"/>
                <w:szCs w:val="24"/>
                <w:lang w:val="lt-LT"/>
              </w:rPr>
            </w:pPr>
          </w:p>
        </w:tc>
        <w:tc>
          <w:tcPr>
            <w:tcW w:w="503" w:type="dxa"/>
          </w:tcPr>
          <w:p w14:paraId="54345E13" w14:textId="77777777" w:rsidR="00755EBF" w:rsidRPr="002632A7" w:rsidRDefault="00755EBF" w:rsidP="00251544">
            <w:pPr>
              <w:ind w:right="-250"/>
              <w:rPr>
                <w:sz w:val="24"/>
                <w:szCs w:val="24"/>
                <w:lang w:val="lt-LT"/>
              </w:rPr>
            </w:pPr>
          </w:p>
        </w:tc>
        <w:tc>
          <w:tcPr>
            <w:tcW w:w="3162" w:type="dxa"/>
          </w:tcPr>
          <w:p w14:paraId="7809E3FA" w14:textId="77777777" w:rsidR="00755EBF" w:rsidRPr="002632A7" w:rsidRDefault="00755EBF" w:rsidP="00251544">
            <w:pPr>
              <w:tabs>
                <w:tab w:val="left" w:pos="1060"/>
              </w:tabs>
              <w:ind w:right="-109"/>
              <w:jc w:val="both"/>
              <w:rPr>
                <w:sz w:val="24"/>
                <w:szCs w:val="24"/>
                <w:lang w:val="lt-LT"/>
              </w:rPr>
            </w:pPr>
          </w:p>
        </w:tc>
      </w:tr>
    </w:tbl>
    <w:p w14:paraId="63980BA7" w14:textId="77777777" w:rsidR="00755EBF" w:rsidRPr="002632A7" w:rsidRDefault="00755EBF" w:rsidP="00755EBF">
      <w:pPr>
        <w:jc w:val="both"/>
        <w:rPr>
          <w:b/>
          <w:sz w:val="24"/>
          <w:szCs w:val="24"/>
          <w:lang w:val="lt-LT"/>
        </w:rPr>
      </w:pPr>
    </w:p>
    <w:p w14:paraId="5B03E5BA" w14:textId="2D2BDD24" w:rsidR="00755EBF" w:rsidRPr="002632A7" w:rsidRDefault="00755EBF" w:rsidP="00755EBF">
      <w:pPr>
        <w:jc w:val="both"/>
        <w:rPr>
          <w:b/>
          <w:sz w:val="24"/>
          <w:szCs w:val="24"/>
          <w:lang w:val="lt-LT"/>
        </w:rPr>
      </w:pPr>
      <w:r w:rsidRPr="002632A7">
        <w:rPr>
          <w:b/>
          <w:sz w:val="24"/>
          <w:szCs w:val="24"/>
          <w:lang w:val="lt-LT"/>
        </w:rPr>
        <w:t xml:space="preserve">DĖL </w:t>
      </w:r>
      <w:r w:rsidR="006E4812" w:rsidRPr="002632A7">
        <w:rPr>
          <w:b/>
          <w:sz w:val="24"/>
          <w:szCs w:val="24"/>
          <w:lang w:val="lt-LT"/>
        </w:rPr>
        <w:t>TECHNINĖS SPECIFIKACIJOS PROJEKTUI</w:t>
      </w:r>
      <w:r w:rsidRPr="002632A7">
        <w:rPr>
          <w:b/>
          <w:sz w:val="24"/>
          <w:szCs w:val="24"/>
          <w:lang w:val="lt-LT"/>
        </w:rPr>
        <w:t xml:space="preserve"> PATEIKTŲ </w:t>
      </w:r>
      <w:r w:rsidR="006E4812" w:rsidRPr="002632A7">
        <w:rPr>
          <w:b/>
          <w:sz w:val="24"/>
          <w:szCs w:val="24"/>
          <w:lang w:val="lt-LT"/>
        </w:rPr>
        <w:t>PASTABŲ</w:t>
      </w:r>
    </w:p>
    <w:p w14:paraId="3F90E52A" w14:textId="77777777" w:rsidR="00755EBF" w:rsidRPr="002632A7" w:rsidRDefault="00755EBF" w:rsidP="00755EBF">
      <w:pPr>
        <w:spacing w:line="276" w:lineRule="auto"/>
        <w:ind w:firstLine="720"/>
        <w:jc w:val="both"/>
        <w:rPr>
          <w:bCs/>
          <w:color w:val="000000" w:themeColor="text1"/>
          <w:sz w:val="24"/>
          <w:szCs w:val="24"/>
          <w:lang w:val="lt-LT"/>
        </w:rPr>
      </w:pPr>
      <w:bookmarkStart w:id="0" w:name="_Hlk51314505"/>
    </w:p>
    <w:bookmarkEnd w:id="0"/>
    <w:p w14:paraId="5F9343CE" w14:textId="60E1F4ED" w:rsidR="00DC1245" w:rsidRPr="002632A7" w:rsidRDefault="00755EBF" w:rsidP="00755EBF">
      <w:pPr>
        <w:ind w:firstLine="567"/>
        <w:jc w:val="both"/>
        <w:rPr>
          <w:bCs/>
          <w:color w:val="000000" w:themeColor="text1"/>
          <w:sz w:val="24"/>
          <w:szCs w:val="24"/>
          <w:lang w:val="lt-LT"/>
        </w:rPr>
      </w:pPr>
      <w:r w:rsidRPr="002632A7">
        <w:rPr>
          <w:bCs/>
          <w:color w:val="000000" w:themeColor="text1"/>
          <w:sz w:val="24"/>
          <w:szCs w:val="24"/>
          <w:lang w:val="lt-LT"/>
        </w:rPr>
        <w:t>Gaut</w:t>
      </w:r>
      <w:r w:rsidR="00AB3719" w:rsidRPr="002632A7">
        <w:rPr>
          <w:bCs/>
          <w:color w:val="000000" w:themeColor="text1"/>
          <w:sz w:val="24"/>
          <w:szCs w:val="24"/>
          <w:lang w:val="lt-LT"/>
        </w:rPr>
        <w:t>os</w:t>
      </w:r>
      <w:r w:rsidRPr="002632A7">
        <w:rPr>
          <w:bCs/>
          <w:color w:val="000000" w:themeColor="text1"/>
          <w:sz w:val="24"/>
          <w:szCs w:val="24"/>
          <w:lang w:val="lt-LT"/>
        </w:rPr>
        <w:t xml:space="preserve"> tiekėj</w:t>
      </w:r>
      <w:r w:rsidR="00AB3719" w:rsidRPr="002632A7">
        <w:rPr>
          <w:bCs/>
          <w:color w:val="000000" w:themeColor="text1"/>
          <w:sz w:val="24"/>
          <w:szCs w:val="24"/>
          <w:lang w:val="lt-LT"/>
        </w:rPr>
        <w:t>o pastabos</w:t>
      </w:r>
      <w:r w:rsidRPr="002632A7">
        <w:rPr>
          <w:bCs/>
          <w:color w:val="000000" w:themeColor="text1"/>
          <w:sz w:val="24"/>
          <w:szCs w:val="24"/>
          <w:lang w:val="lt-LT"/>
        </w:rPr>
        <w:t xml:space="preserve"> paskelbtam pirkimo dokumentų projektui dėl numatomo vykdyti pirkimo „</w:t>
      </w:r>
      <w:r w:rsidR="002632A7" w:rsidRPr="002632A7">
        <w:rPr>
          <w:sz w:val="24"/>
          <w:szCs w:val="24"/>
          <w:lang w:val="lt-LT"/>
        </w:rPr>
        <w:t>Grėsmės poveikio valdymo ir tamsiojo interneto (darkweb) platforma</w:t>
      </w:r>
      <w:r w:rsidRPr="002632A7">
        <w:rPr>
          <w:bCs/>
          <w:color w:val="000000" w:themeColor="text1"/>
          <w:sz w:val="24"/>
          <w:szCs w:val="24"/>
          <w:lang w:val="lt-LT"/>
        </w:rPr>
        <w:t xml:space="preserve">“: </w:t>
      </w:r>
      <w:r w:rsidR="00DC1245" w:rsidRPr="002632A7">
        <w:rPr>
          <w:bCs/>
          <w:color w:val="000000" w:themeColor="text1"/>
          <w:sz w:val="24"/>
          <w:szCs w:val="24"/>
          <w:lang w:val="lt-LT"/>
        </w:rPr>
        <w:t xml:space="preserve"> </w:t>
      </w:r>
    </w:p>
    <w:p w14:paraId="43269588" w14:textId="77777777" w:rsidR="00DC1245" w:rsidRPr="002632A7" w:rsidRDefault="00DC1245" w:rsidP="00755EBF">
      <w:pPr>
        <w:ind w:firstLine="567"/>
        <w:jc w:val="both"/>
        <w:rPr>
          <w:b/>
          <w:color w:val="000000" w:themeColor="text1"/>
          <w:sz w:val="24"/>
          <w:szCs w:val="24"/>
          <w:u w:val="single"/>
          <w:lang w:val="lt-LT"/>
        </w:rPr>
      </w:pPr>
      <w:r w:rsidRPr="002632A7">
        <w:rPr>
          <w:b/>
          <w:color w:val="000000" w:themeColor="text1"/>
          <w:sz w:val="24"/>
          <w:szCs w:val="24"/>
          <w:u w:val="single"/>
          <w:lang w:val="lt-LT"/>
        </w:rPr>
        <w:t>Tiekėjo pastabos:</w:t>
      </w:r>
    </w:p>
    <w:p w14:paraId="5C16DFEC" w14:textId="77777777" w:rsidR="00955A65" w:rsidRDefault="00DC1245" w:rsidP="00236D8F">
      <w:pPr>
        <w:ind w:firstLine="567"/>
        <w:jc w:val="both"/>
        <w:rPr>
          <w:bCs/>
          <w:color w:val="000000" w:themeColor="text1"/>
          <w:sz w:val="24"/>
          <w:szCs w:val="24"/>
          <w:lang w:val="lt-LT"/>
        </w:rPr>
      </w:pPr>
      <w:r w:rsidRPr="002632A7">
        <w:rPr>
          <w:bCs/>
          <w:color w:val="000000" w:themeColor="text1"/>
          <w:sz w:val="24"/>
          <w:szCs w:val="24"/>
          <w:lang w:val="lt-LT"/>
        </w:rPr>
        <w:t>„</w:t>
      </w:r>
      <w:r w:rsidR="00AE6A1A" w:rsidRPr="002632A7">
        <w:rPr>
          <w:bCs/>
          <w:color w:val="000000" w:themeColor="text1"/>
          <w:sz w:val="24"/>
          <w:szCs w:val="24"/>
          <w:lang w:val="lt-LT"/>
        </w:rPr>
        <w:t xml:space="preserve">&lt;…&gt; </w:t>
      </w:r>
      <w:r w:rsidR="00236D8F" w:rsidRPr="002632A7">
        <w:rPr>
          <w:bCs/>
          <w:color w:val="000000" w:themeColor="text1"/>
          <w:sz w:val="24"/>
          <w:szCs w:val="24"/>
          <w:lang w:val="lt-LT"/>
        </w:rPr>
        <w:t xml:space="preserve">Susipažinę su pateikta technine specifikacija, informuojame, kad ją atitinka tik vienas rinkoje esantis produktas. Šis faktas akivaizdus tiek iš specifikacijos failo pavadinimo, tiek iš jo turinio. Visa specifikacija iš esmės atkartoja produkto rinkodarinį aprašymą. Techninėje specifikacijoje yra gausu įvairių neesminių reikalavimų, tokių kaip: </w:t>
      </w:r>
    </w:p>
    <w:p w14:paraId="38710828" w14:textId="77777777" w:rsidR="00955A65" w:rsidRDefault="00236D8F" w:rsidP="00236D8F">
      <w:pPr>
        <w:ind w:firstLine="567"/>
        <w:jc w:val="both"/>
        <w:rPr>
          <w:bCs/>
          <w:color w:val="000000" w:themeColor="text1"/>
          <w:sz w:val="24"/>
          <w:szCs w:val="24"/>
          <w:lang w:val="lt-LT"/>
        </w:rPr>
      </w:pPr>
      <w:r w:rsidRPr="002632A7">
        <w:rPr>
          <w:bCs/>
          <w:color w:val="000000" w:themeColor="text1"/>
          <w:sz w:val="24"/>
          <w:szCs w:val="24"/>
          <w:lang w:val="lt-LT"/>
        </w:rPr>
        <w:t xml:space="preserve">1. Nurodomas kainodaros modelis, nepateikiant konkrečių reikalaujamų verčių aktualių perkančiajai organizacija kainodarai nustatyti, pvz.: stebimo turto kiekis vienetais. </w:t>
      </w:r>
    </w:p>
    <w:p w14:paraId="7893CF37" w14:textId="77777777" w:rsidR="00955A65" w:rsidRDefault="00236D8F" w:rsidP="00236D8F">
      <w:pPr>
        <w:ind w:firstLine="567"/>
        <w:jc w:val="both"/>
        <w:rPr>
          <w:bCs/>
          <w:color w:val="000000" w:themeColor="text1"/>
          <w:sz w:val="24"/>
          <w:szCs w:val="24"/>
          <w:lang w:val="lt-LT"/>
        </w:rPr>
      </w:pPr>
      <w:r w:rsidRPr="002632A7">
        <w:rPr>
          <w:bCs/>
          <w:color w:val="000000" w:themeColor="text1"/>
          <w:sz w:val="24"/>
          <w:szCs w:val="24"/>
          <w:lang w:val="lt-LT"/>
        </w:rPr>
        <w:t xml:space="preserve">2. Reikalaujama ISO, GDPR ir pan., bet nenurodoma, kas juos turi atitikti - tiekėjas, produktas ar gamintojas. Pvz., ar gamintojas turi turėti ISO 27001 sertifikatą, ar ataskaitos turi būti teikiamos pagal šį standartą? </w:t>
      </w:r>
    </w:p>
    <w:p w14:paraId="54FFB3E8" w14:textId="77777777" w:rsidR="00955A65" w:rsidRDefault="00236D8F" w:rsidP="00236D8F">
      <w:pPr>
        <w:ind w:firstLine="567"/>
        <w:jc w:val="both"/>
        <w:rPr>
          <w:bCs/>
          <w:color w:val="000000" w:themeColor="text1"/>
          <w:sz w:val="24"/>
          <w:szCs w:val="24"/>
          <w:lang w:val="lt-LT"/>
        </w:rPr>
      </w:pPr>
      <w:r w:rsidRPr="002632A7">
        <w:rPr>
          <w:bCs/>
          <w:color w:val="000000" w:themeColor="text1"/>
          <w:sz w:val="24"/>
          <w:szCs w:val="24"/>
          <w:lang w:val="lt-LT"/>
        </w:rPr>
        <w:t xml:space="preserve">3. Pertekliniai techninės pagalbos reikalavimai. Nurodomi techninės pagalbos atsakymo laikai, tačiau nėra aprašoma kaip, pagal kokius požymius turėtų būti klasifikuojami incidentų lygiai. Kiti gamintojai gali neturėti incidentų lygio, o taikyti visiems incidentams aukščiausią lygį. </w:t>
      </w:r>
    </w:p>
    <w:p w14:paraId="20E42398" w14:textId="77777777" w:rsidR="00955A65" w:rsidRDefault="00236D8F" w:rsidP="00236D8F">
      <w:pPr>
        <w:ind w:firstLine="567"/>
        <w:jc w:val="both"/>
        <w:rPr>
          <w:bCs/>
          <w:color w:val="000000" w:themeColor="text1"/>
          <w:sz w:val="24"/>
          <w:szCs w:val="24"/>
          <w:lang w:val="lt-LT"/>
        </w:rPr>
      </w:pPr>
      <w:r w:rsidRPr="002632A7">
        <w:rPr>
          <w:bCs/>
          <w:color w:val="000000" w:themeColor="text1"/>
          <w:sz w:val="24"/>
          <w:szCs w:val="24"/>
          <w:lang w:val="lt-LT"/>
        </w:rPr>
        <w:t xml:space="preserve">4. Aprašomos integracijos galimybės, nenurodant konkrečių perkančiosios organizacijos naudojamų įrankių. Taip nustatomi pertekliniai reikalavimai iš tikrųjų neaktualūs perkančiajai organizacijai. </w:t>
      </w:r>
    </w:p>
    <w:p w14:paraId="1DBD960E" w14:textId="77777777" w:rsidR="00955A65" w:rsidRDefault="00236D8F" w:rsidP="00236D8F">
      <w:pPr>
        <w:ind w:firstLine="567"/>
        <w:jc w:val="both"/>
        <w:rPr>
          <w:bCs/>
          <w:color w:val="000000" w:themeColor="text1"/>
          <w:sz w:val="24"/>
          <w:szCs w:val="24"/>
          <w:lang w:val="lt-LT"/>
        </w:rPr>
      </w:pPr>
      <w:r w:rsidRPr="002632A7">
        <w:rPr>
          <w:bCs/>
          <w:color w:val="000000" w:themeColor="text1"/>
          <w:sz w:val="24"/>
          <w:szCs w:val="24"/>
          <w:lang w:val="lt-LT"/>
        </w:rPr>
        <w:t xml:space="preserve">5. Detaliai aprašomi duomenų saugojimo ir apdorojimo reikalavimai, kurie nesuteikia jokios pridėtinės vertės perkančiajai organizacijai. Reikalaujama moderni architektūra, nors perkančiajai organizacijai jokio skirtumo ar sprendimas pagrįstas pvz.: klasikine monolitine architektūra, ar beserverinėmis technologijomis. Naudojami abstraktūs terminai, pvz.: „moderni architektūra“, nors nėra jokio objektyviai pritaikomo standarto pagal kurį būtų galima nustatyti ar sprendimas modernus ar ne. </w:t>
      </w:r>
    </w:p>
    <w:p w14:paraId="159E6A55" w14:textId="77777777" w:rsidR="002E789E" w:rsidRDefault="00236D8F" w:rsidP="00236D8F">
      <w:pPr>
        <w:ind w:firstLine="567"/>
        <w:jc w:val="both"/>
        <w:rPr>
          <w:bCs/>
          <w:color w:val="000000" w:themeColor="text1"/>
          <w:sz w:val="24"/>
          <w:szCs w:val="24"/>
          <w:lang w:val="lt-LT"/>
        </w:rPr>
      </w:pPr>
      <w:r w:rsidRPr="002632A7">
        <w:rPr>
          <w:bCs/>
          <w:color w:val="000000" w:themeColor="text1"/>
          <w:sz w:val="24"/>
          <w:szCs w:val="24"/>
          <w:lang w:val="lt-LT"/>
        </w:rPr>
        <w:t xml:space="preserve">6. Techninėje specifikacijoje nurodyti abstraktūs reikalavimai, pvz.: „gerai dokumentuota“, „moderni architektūra“, „patogi, intuityvi valdymo panelė“, „aiškios ataskaitos“, „išsami dokumentacija“ ir pn. būdinga rinkodariniams aprašymams, o ne pagal Lietuvos respublikos viešųjų pirkimų įstatymą vykdomiems viešiesiems pirkimams. </w:t>
      </w:r>
    </w:p>
    <w:p w14:paraId="3FA96710" w14:textId="77777777" w:rsidR="002E789E" w:rsidRDefault="00236D8F" w:rsidP="00236D8F">
      <w:pPr>
        <w:ind w:firstLine="567"/>
        <w:jc w:val="both"/>
        <w:rPr>
          <w:bCs/>
          <w:color w:val="000000" w:themeColor="text1"/>
          <w:sz w:val="24"/>
          <w:szCs w:val="24"/>
          <w:lang w:val="lt-LT"/>
        </w:rPr>
      </w:pPr>
      <w:r w:rsidRPr="002632A7">
        <w:rPr>
          <w:bCs/>
          <w:color w:val="000000" w:themeColor="text1"/>
          <w:sz w:val="24"/>
          <w:szCs w:val="24"/>
          <w:lang w:val="lt-LT"/>
        </w:rPr>
        <w:t xml:space="preserve">7. Reikalaujami pertekliniai, realybėje nerealizuojami, nepatikrinami, rinkodarinius šūkius atitinkantys parametrai, pvz.: 99,9% SLA, dubliuota infrastruktūra ir pn. </w:t>
      </w:r>
    </w:p>
    <w:p w14:paraId="11AB3E62" w14:textId="79620010" w:rsidR="00AB3719" w:rsidRPr="002632A7" w:rsidRDefault="00236D8F" w:rsidP="00236D8F">
      <w:pPr>
        <w:ind w:firstLine="567"/>
        <w:jc w:val="both"/>
        <w:rPr>
          <w:bCs/>
          <w:color w:val="000000" w:themeColor="text1"/>
          <w:sz w:val="24"/>
          <w:szCs w:val="24"/>
          <w:lang w:val="lt-LT"/>
        </w:rPr>
      </w:pPr>
      <w:r w:rsidRPr="002632A7">
        <w:rPr>
          <w:bCs/>
          <w:color w:val="000000" w:themeColor="text1"/>
          <w:sz w:val="24"/>
          <w:szCs w:val="24"/>
          <w:lang w:val="lt-LT"/>
        </w:rPr>
        <w:t>8. Reikalavimai, kaip „aptikimas realiu laiku“, „greitas apdorojimas“, „gedimų tolerancija“, neturi praktinės prasmės, jei kartu nėra nurodomi realūs aptikimo laikai, apdorojimo greitis, ar prieinamumo lygis. Raginame perkančiąją organizaciją iš naujo peržiūrėti techninės specifikacijos projektą ir jį koreguoti, nurodant realius, aiškiai apibrėžtus, objektyviai patikrinamus funkcionalumų reikalavimus, kurie yra realiai aktualūs perkančiosios organizacijos veiklai. Siūlome atsisakyti specifikacijų, paremtų konkretaus produkto rinkodarine medžiaga, ir vietoj to suformuluoti neutralias, tiekėjams vienodai pritaikomas sąlygas, kurios leistų pasiūlyti skirtingus, bet funkcionaliai tinkamus sprendimus.</w:t>
      </w:r>
      <w:r w:rsidR="002D4224" w:rsidRPr="002632A7">
        <w:rPr>
          <w:bCs/>
          <w:color w:val="000000" w:themeColor="text1"/>
          <w:sz w:val="24"/>
          <w:szCs w:val="24"/>
          <w:lang w:val="lt-LT"/>
        </w:rPr>
        <w:t>“.</w:t>
      </w:r>
    </w:p>
    <w:p w14:paraId="5311C8C3" w14:textId="26CC9635" w:rsidR="00755EBF" w:rsidRPr="002632A7" w:rsidRDefault="00755EBF" w:rsidP="00755EBF">
      <w:pPr>
        <w:ind w:firstLine="567"/>
        <w:jc w:val="both"/>
        <w:rPr>
          <w:b/>
          <w:bCs/>
          <w:color w:val="000000" w:themeColor="text1"/>
          <w:sz w:val="24"/>
          <w:szCs w:val="24"/>
          <w:lang w:val="lt-LT"/>
        </w:rPr>
      </w:pPr>
      <w:r w:rsidRPr="002632A7">
        <w:rPr>
          <w:b/>
          <w:bCs/>
          <w:color w:val="000000" w:themeColor="text1"/>
          <w:sz w:val="24"/>
          <w:szCs w:val="24"/>
          <w:lang w:val="lt-LT"/>
        </w:rPr>
        <w:t>Atsakymas:</w:t>
      </w:r>
    </w:p>
    <w:p w14:paraId="6C4FB1AF" w14:textId="7590011D" w:rsidR="00755EBF" w:rsidRPr="002632A7" w:rsidRDefault="00755EBF" w:rsidP="00755EBF">
      <w:pPr>
        <w:ind w:firstLine="567"/>
        <w:jc w:val="both"/>
        <w:rPr>
          <w:b/>
          <w:bCs/>
          <w:color w:val="000000" w:themeColor="text1"/>
          <w:sz w:val="24"/>
          <w:szCs w:val="24"/>
          <w:lang w:val="lt-LT"/>
        </w:rPr>
      </w:pPr>
      <w:r w:rsidRPr="002632A7">
        <w:rPr>
          <w:sz w:val="24"/>
          <w:szCs w:val="24"/>
          <w:lang w:val="lt-LT"/>
        </w:rPr>
        <w:t xml:space="preserve">Perkančioji organizacija susipažino su tiekėjo gautais pasiūlymais ir pastabomis paskelbtam </w:t>
      </w:r>
      <w:r w:rsidR="00430B0A">
        <w:rPr>
          <w:sz w:val="24"/>
          <w:szCs w:val="24"/>
          <w:lang w:val="lt-LT"/>
        </w:rPr>
        <w:t>techninės specifikacijos</w:t>
      </w:r>
      <w:r w:rsidRPr="002632A7">
        <w:rPr>
          <w:sz w:val="24"/>
          <w:szCs w:val="24"/>
          <w:lang w:val="lt-LT"/>
        </w:rPr>
        <w:t xml:space="preserve"> projektui. Informuojame, kad perkančioji organizacija įvertinusi tiekėjo pateiktus pasiūlymus bei pastabas spręs dėl techninės specifikacijos tikslinimo.</w:t>
      </w:r>
    </w:p>
    <w:p w14:paraId="5C9DA394" w14:textId="77777777" w:rsidR="00943A33" w:rsidRPr="002632A7" w:rsidRDefault="00943A33">
      <w:pPr>
        <w:rPr>
          <w:lang w:val="lt-LT"/>
        </w:rPr>
      </w:pPr>
    </w:p>
    <w:sectPr w:rsidR="00943A33" w:rsidRPr="002632A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BF"/>
    <w:rsid w:val="00083DBA"/>
    <w:rsid w:val="001B14E8"/>
    <w:rsid w:val="00236D8F"/>
    <w:rsid w:val="002632A7"/>
    <w:rsid w:val="002D4224"/>
    <w:rsid w:val="002E789E"/>
    <w:rsid w:val="00430B0A"/>
    <w:rsid w:val="004B4757"/>
    <w:rsid w:val="006E4812"/>
    <w:rsid w:val="00755EBF"/>
    <w:rsid w:val="00943A33"/>
    <w:rsid w:val="00955A65"/>
    <w:rsid w:val="00AB3719"/>
    <w:rsid w:val="00AE6A1A"/>
    <w:rsid w:val="00DA2BF8"/>
    <w:rsid w:val="00DC1245"/>
    <w:rsid w:val="00E039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6BBB"/>
  <w15:chartTrackingRefBased/>
  <w15:docId w15:val="{CE2C1E83-A3B6-4ED2-AD8C-997FEB0C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EBF"/>
    <w:pPr>
      <w:spacing w:after="0" w:line="240" w:lineRule="auto"/>
    </w:pPr>
    <w:rPr>
      <w:rFonts w:ascii="Times New Roman" w:eastAsia="Times New Roman" w:hAnsi="Times New Roman" w:cs="Times New Roman"/>
      <w:kern w:val="0"/>
      <w:sz w:val="20"/>
      <w:szCs w:val="20"/>
      <w:lang w:val="en-US"/>
      <w14:ligatures w14:val="none"/>
    </w:rPr>
  </w:style>
  <w:style w:type="paragraph" w:styleId="Antrat1">
    <w:name w:val="heading 1"/>
    <w:basedOn w:val="prastasis"/>
    <w:next w:val="prastasis"/>
    <w:link w:val="Antrat1Diagrama"/>
    <w:uiPriority w:val="9"/>
    <w:qFormat/>
    <w:rsid w:val="00755EB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755EB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755EB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755EB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755EB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755EB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755EB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755EB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755EB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5E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5E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5E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5E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5E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5E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5E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5E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5E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5EBF"/>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755E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5EB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755E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5EB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755EBF"/>
    <w:rPr>
      <w:i/>
      <w:iCs/>
      <w:color w:val="404040" w:themeColor="text1" w:themeTint="BF"/>
    </w:rPr>
  </w:style>
  <w:style w:type="paragraph" w:styleId="Sraopastraipa">
    <w:name w:val="List Paragraph"/>
    <w:basedOn w:val="prastasis"/>
    <w:uiPriority w:val="34"/>
    <w:qFormat/>
    <w:rsid w:val="00755EBF"/>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755EBF"/>
    <w:rPr>
      <w:i/>
      <w:iCs/>
      <w:color w:val="0F4761" w:themeColor="accent1" w:themeShade="BF"/>
    </w:rPr>
  </w:style>
  <w:style w:type="paragraph" w:styleId="Iskirtacitata">
    <w:name w:val="Intense Quote"/>
    <w:basedOn w:val="prastasis"/>
    <w:next w:val="prastasis"/>
    <w:link w:val="IskirtacitataDiagrama"/>
    <w:uiPriority w:val="30"/>
    <w:qFormat/>
    <w:rsid w:val="00755EB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755EBF"/>
    <w:rPr>
      <w:i/>
      <w:iCs/>
      <w:color w:val="0F4761" w:themeColor="accent1" w:themeShade="BF"/>
    </w:rPr>
  </w:style>
  <w:style w:type="character" w:styleId="Rykinuoroda">
    <w:name w:val="Intense Reference"/>
    <w:basedOn w:val="Numatytasispastraiposriftas"/>
    <w:uiPriority w:val="32"/>
    <w:qFormat/>
    <w:rsid w:val="00755EBF"/>
    <w:rPr>
      <w:b/>
      <w:bCs/>
      <w:smallCaps/>
      <w:color w:val="0F4761" w:themeColor="accent1" w:themeShade="BF"/>
      <w:spacing w:val="5"/>
    </w:rPr>
  </w:style>
  <w:style w:type="paragraph" w:styleId="Pagrindiniotekstotrauka2">
    <w:name w:val="Body Text Indent 2"/>
    <w:basedOn w:val="prastasis"/>
    <w:link w:val="Pagrindiniotekstotrauka2Diagrama"/>
    <w:rsid w:val="00755EBF"/>
    <w:pPr>
      <w:suppressAutoHyphens/>
      <w:autoSpaceDN w:val="0"/>
      <w:spacing w:after="120" w:line="480" w:lineRule="auto"/>
      <w:ind w:left="283"/>
      <w:textAlignment w:val="baseline"/>
    </w:pPr>
  </w:style>
  <w:style w:type="character" w:customStyle="1" w:styleId="Pagrindiniotekstotrauka2Diagrama">
    <w:name w:val="Pagrindinio teksto įtrauka 2 Diagrama"/>
    <w:basedOn w:val="Numatytasispastraiposriftas"/>
    <w:link w:val="Pagrindiniotekstotrauka2"/>
    <w:rsid w:val="00755EBF"/>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2219</Words>
  <Characters>1265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Janina Škoda</cp:lastModifiedBy>
  <cp:revision>10</cp:revision>
  <dcterms:created xsi:type="dcterms:W3CDTF">2025-06-12T10:20:00Z</dcterms:created>
  <dcterms:modified xsi:type="dcterms:W3CDTF">2025-06-12T11:40:00Z</dcterms:modified>
</cp:coreProperties>
</file>