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E8223" w14:textId="77777777" w:rsidR="00850235" w:rsidRPr="00855CA2" w:rsidRDefault="00850235" w:rsidP="00850235">
      <w:pPr>
        <w:tabs>
          <w:tab w:val="left" w:pos="1134"/>
        </w:tabs>
        <w:rPr>
          <w:rFonts w:ascii="Verdana" w:hAnsi="Verdana"/>
          <w:b/>
          <w:bCs/>
          <w:sz w:val="20"/>
        </w:rPr>
      </w:pPr>
      <w:r w:rsidRPr="00855CA2">
        <w:rPr>
          <w:rFonts w:ascii="Verdana" w:hAnsi="Verdana"/>
          <w:b/>
          <w:bCs/>
          <w:sz w:val="20"/>
        </w:rPr>
        <w:t>DĖL PIRKIMO DOKUMENTŲ PAAIŠKINIMO</w:t>
      </w:r>
    </w:p>
    <w:p w14:paraId="05F3497E" w14:textId="77777777" w:rsidR="00850235" w:rsidRPr="00855CA2" w:rsidRDefault="00850235" w:rsidP="00850235">
      <w:pPr>
        <w:tabs>
          <w:tab w:val="left" w:pos="1134"/>
        </w:tabs>
        <w:ind w:firstLine="567"/>
        <w:jc w:val="both"/>
        <w:rPr>
          <w:rFonts w:ascii="Verdana" w:hAnsi="Verdana"/>
          <w:sz w:val="20"/>
        </w:rPr>
      </w:pPr>
    </w:p>
    <w:p w14:paraId="615712E8" w14:textId="4A7C41F0" w:rsidR="00850235" w:rsidRPr="00855CA2" w:rsidRDefault="00850235" w:rsidP="00850235">
      <w:pPr>
        <w:tabs>
          <w:tab w:val="left" w:pos="1134"/>
        </w:tabs>
        <w:ind w:firstLine="567"/>
        <w:jc w:val="both"/>
        <w:rPr>
          <w:rFonts w:ascii="Verdana" w:hAnsi="Verdana"/>
          <w:sz w:val="20"/>
        </w:rPr>
      </w:pPr>
      <w:r w:rsidRPr="00855CA2">
        <w:rPr>
          <w:rFonts w:ascii="Verdana" w:hAnsi="Verdana"/>
          <w:sz w:val="20"/>
        </w:rPr>
        <w:t xml:space="preserve">VšĮ Lietuvos nacionalinis radijas ir televizija (toliau – LRT arba Perkančioji organizacija) vykdo tarptautinį </w:t>
      </w:r>
      <w:r>
        <w:rPr>
          <w:rFonts w:ascii="Verdana" w:hAnsi="Verdana"/>
          <w:sz w:val="20"/>
        </w:rPr>
        <w:t>v</w:t>
      </w:r>
      <w:r w:rsidRPr="00850235">
        <w:rPr>
          <w:rFonts w:ascii="Verdana" w:hAnsi="Verdana"/>
          <w:sz w:val="20"/>
        </w:rPr>
        <w:t>idaus patalpų ir lauko teritorijos valymo ir priežiūros paslaug</w:t>
      </w:r>
      <w:r>
        <w:rPr>
          <w:rFonts w:ascii="Verdana" w:hAnsi="Verdana"/>
          <w:sz w:val="20"/>
        </w:rPr>
        <w:t xml:space="preserve">ų </w:t>
      </w:r>
      <w:r w:rsidRPr="00855CA2">
        <w:rPr>
          <w:rFonts w:ascii="Verdana" w:hAnsi="Verdana"/>
          <w:sz w:val="20"/>
        </w:rPr>
        <w:t xml:space="preserve">pirkimą atviro konkurso būdu (pirkimo ID </w:t>
      </w:r>
      <w:r w:rsidRPr="00850235">
        <w:rPr>
          <w:rFonts w:ascii="Verdana" w:hAnsi="Verdana"/>
          <w:sz w:val="20"/>
        </w:rPr>
        <w:t>2750706</w:t>
      </w:r>
      <w:r w:rsidRPr="00855CA2">
        <w:rPr>
          <w:rFonts w:ascii="Verdana" w:hAnsi="Verdana"/>
          <w:sz w:val="20"/>
        </w:rPr>
        <w:t>) (toliau – Pirkimas).</w:t>
      </w:r>
    </w:p>
    <w:p w14:paraId="647D2798" w14:textId="2631FC78" w:rsidR="00850235" w:rsidRDefault="00850235" w:rsidP="00850235">
      <w:pPr>
        <w:spacing w:line="264" w:lineRule="auto"/>
        <w:ind w:firstLine="567"/>
        <w:jc w:val="both"/>
        <w:rPr>
          <w:rFonts w:ascii="Verdana" w:hAnsi="Verdana"/>
          <w:noProof/>
          <w:sz w:val="20"/>
        </w:rPr>
      </w:pPr>
      <w:r w:rsidRPr="00855CA2">
        <w:rPr>
          <w:rFonts w:ascii="Verdana" w:hAnsi="Verdana"/>
          <w:noProof/>
          <w:sz w:val="20"/>
        </w:rPr>
        <w:t xml:space="preserve">Informuojame, </w:t>
      </w:r>
      <w:r w:rsidR="003779D1">
        <w:rPr>
          <w:rFonts w:ascii="Verdana" w:hAnsi="Verdana"/>
          <w:noProof/>
          <w:sz w:val="20"/>
        </w:rPr>
        <w:t>kad</w:t>
      </w:r>
      <w:r w:rsidRPr="00855CA2">
        <w:rPr>
          <w:rFonts w:ascii="Verdana" w:hAnsi="Verdana"/>
          <w:noProof/>
          <w:sz w:val="20"/>
        </w:rPr>
        <w:t xml:space="preserve"> LRT Viešųjų pirkimų komisija (toliau – Komisija) gavo tiekėj</w:t>
      </w:r>
      <w:r>
        <w:rPr>
          <w:rFonts w:ascii="Verdana" w:hAnsi="Verdana"/>
          <w:noProof/>
          <w:sz w:val="20"/>
        </w:rPr>
        <w:t>o</w:t>
      </w:r>
      <w:r w:rsidRPr="00855CA2">
        <w:rPr>
          <w:rFonts w:ascii="Verdana" w:hAnsi="Verdana"/>
          <w:noProof/>
          <w:sz w:val="20"/>
        </w:rPr>
        <w:t xml:space="preserve"> klausim</w:t>
      </w:r>
      <w:r w:rsidR="00F23B95">
        <w:rPr>
          <w:rFonts w:ascii="Verdana" w:hAnsi="Verdana"/>
          <w:noProof/>
          <w:sz w:val="20"/>
        </w:rPr>
        <w:t>ą</w:t>
      </w:r>
      <w:r w:rsidRPr="00855CA2">
        <w:rPr>
          <w:rFonts w:ascii="Verdana" w:hAnsi="Verdana"/>
          <w:noProof/>
          <w:sz w:val="20"/>
        </w:rPr>
        <w:t xml:space="preserve"> dėl Pirkimo sąlygų </w:t>
      </w:r>
      <w:r>
        <w:rPr>
          <w:rFonts w:ascii="Verdana" w:hAnsi="Verdana"/>
          <w:noProof/>
          <w:sz w:val="20"/>
        </w:rPr>
        <w:t>7</w:t>
      </w:r>
      <w:r w:rsidRPr="00855CA2">
        <w:rPr>
          <w:rFonts w:ascii="Verdana" w:hAnsi="Verdana"/>
          <w:noProof/>
          <w:sz w:val="20"/>
        </w:rPr>
        <w:t xml:space="preserve"> priede „</w:t>
      </w:r>
      <w:r>
        <w:rPr>
          <w:rFonts w:ascii="Verdana" w:hAnsi="Verdana"/>
          <w:noProof/>
          <w:sz w:val="20"/>
        </w:rPr>
        <w:t>Pasiūlymų vertinimo kokybės kriterijai ir sąlygos</w:t>
      </w:r>
      <w:r w:rsidRPr="00855CA2">
        <w:rPr>
          <w:rFonts w:ascii="Verdana" w:hAnsi="Verdana"/>
          <w:noProof/>
          <w:sz w:val="20"/>
        </w:rPr>
        <w:t xml:space="preserve">“ (toliau – </w:t>
      </w:r>
      <w:r>
        <w:rPr>
          <w:rFonts w:ascii="Verdana" w:hAnsi="Verdana"/>
          <w:noProof/>
          <w:sz w:val="20"/>
        </w:rPr>
        <w:t>Pasiūlymų vertinimo tvarka</w:t>
      </w:r>
      <w:r w:rsidRPr="00855CA2">
        <w:rPr>
          <w:rFonts w:ascii="Verdana" w:hAnsi="Verdana"/>
          <w:noProof/>
          <w:sz w:val="20"/>
        </w:rPr>
        <w:t>) nustaty</w:t>
      </w:r>
      <w:r>
        <w:rPr>
          <w:rFonts w:ascii="Verdana" w:hAnsi="Verdana"/>
          <w:noProof/>
          <w:sz w:val="20"/>
        </w:rPr>
        <w:t>tos tvarkos</w:t>
      </w:r>
      <w:r w:rsidRPr="00855CA2">
        <w:rPr>
          <w:rFonts w:ascii="Verdana" w:hAnsi="Verdana"/>
          <w:noProof/>
          <w:sz w:val="20"/>
        </w:rPr>
        <w:t>. Komisija išnagrinėjo klausim</w:t>
      </w:r>
      <w:r>
        <w:rPr>
          <w:rFonts w:ascii="Verdana" w:hAnsi="Verdana"/>
          <w:noProof/>
          <w:sz w:val="20"/>
        </w:rPr>
        <w:t>ą</w:t>
      </w:r>
      <w:r w:rsidRPr="00855CA2">
        <w:rPr>
          <w:rFonts w:ascii="Verdana" w:hAnsi="Verdana"/>
          <w:noProof/>
          <w:sz w:val="20"/>
        </w:rPr>
        <w:t xml:space="preserve"> ir teikia atsakym</w:t>
      </w:r>
      <w:r>
        <w:rPr>
          <w:rFonts w:ascii="Verdana" w:hAnsi="Verdana"/>
          <w:noProof/>
          <w:sz w:val="20"/>
        </w:rPr>
        <w:t>ą</w:t>
      </w:r>
      <w:r w:rsidRPr="00855CA2">
        <w:rPr>
          <w:rFonts w:ascii="Verdana" w:hAnsi="Verdana"/>
          <w:noProof/>
          <w:sz w:val="20"/>
        </w:rPr>
        <w:t>.</w:t>
      </w:r>
    </w:p>
    <w:p w14:paraId="3064DFD7" w14:textId="77777777" w:rsidR="00850235" w:rsidRDefault="00850235" w:rsidP="00850235">
      <w:pPr>
        <w:spacing w:line="264" w:lineRule="auto"/>
        <w:ind w:firstLine="567"/>
        <w:jc w:val="both"/>
        <w:rPr>
          <w:rFonts w:ascii="Verdana" w:hAnsi="Verdana"/>
          <w:noProof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5947"/>
      </w:tblGrid>
      <w:tr w:rsidR="00850235" w:rsidRPr="00855CA2" w14:paraId="77F7095C" w14:textId="77777777" w:rsidTr="001439AA">
        <w:tc>
          <w:tcPr>
            <w:tcW w:w="562" w:type="dxa"/>
            <w:shd w:val="clear" w:color="auto" w:fill="auto"/>
          </w:tcPr>
          <w:p w14:paraId="28EC0AFB" w14:textId="77777777" w:rsidR="00850235" w:rsidRPr="00AE4448" w:rsidRDefault="00850235" w:rsidP="009378D7">
            <w:pPr>
              <w:spacing w:line="264" w:lineRule="auto"/>
              <w:jc w:val="both"/>
              <w:rPr>
                <w:rFonts w:ascii="Verdana" w:hAnsi="Verdana"/>
                <w:b/>
                <w:bCs/>
                <w:noProof/>
                <w:sz w:val="20"/>
              </w:rPr>
            </w:pPr>
            <w:r w:rsidRPr="00AE4448">
              <w:rPr>
                <w:rFonts w:ascii="Verdana" w:hAnsi="Verdana"/>
                <w:b/>
                <w:bCs/>
                <w:noProof/>
                <w:sz w:val="20"/>
              </w:rPr>
              <w:t>Eil. Nr.</w:t>
            </w:r>
          </w:p>
        </w:tc>
        <w:tc>
          <w:tcPr>
            <w:tcW w:w="3119" w:type="dxa"/>
            <w:shd w:val="clear" w:color="auto" w:fill="auto"/>
          </w:tcPr>
          <w:p w14:paraId="026E0ACA" w14:textId="77777777" w:rsidR="00850235" w:rsidRPr="00AE4448" w:rsidRDefault="00850235" w:rsidP="009378D7">
            <w:pPr>
              <w:spacing w:line="264" w:lineRule="auto"/>
              <w:jc w:val="both"/>
              <w:rPr>
                <w:rFonts w:ascii="Verdana" w:hAnsi="Verdana"/>
                <w:b/>
                <w:bCs/>
                <w:noProof/>
                <w:sz w:val="20"/>
              </w:rPr>
            </w:pPr>
            <w:r w:rsidRPr="00AE4448">
              <w:rPr>
                <w:rFonts w:ascii="Verdana" w:hAnsi="Verdana"/>
                <w:b/>
                <w:bCs/>
                <w:noProof/>
                <w:sz w:val="20"/>
              </w:rPr>
              <w:t>Klausimas</w:t>
            </w:r>
          </w:p>
        </w:tc>
        <w:tc>
          <w:tcPr>
            <w:tcW w:w="5947" w:type="dxa"/>
            <w:shd w:val="clear" w:color="auto" w:fill="auto"/>
          </w:tcPr>
          <w:p w14:paraId="52A0A56C" w14:textId="77777777" w:rsidR="00850235" w:rsidRPr="00AE4448" w:rsidRDefault="00850235" w:rsidP="009378D7">
            <w:pPr>
              <w:spacing w:line="264" w:lineRule="auto"/>
              <w:jc w:val="both"/>
              <w:rPr>
                <w:rFonts w:ascii="Verdana" w:hAnsi="Verdana"/>
                <w:b/>
                <w:bCs/>
                <w:noProof/>
                <w:sz w:val="20"/>
              </w:rPr>
            </w:pPr>
            <w:r w:rsidRPr="00AE4448">
              <w:rPr>
                <w:rFonts w:ascii="Verdana" w:hAnsi="Verdana"/>
                <w:b/>
                <w:bCs/>
                <w:noProof/>
                <w:sz w:val="20"/>
              </w:rPr>
              <w:t>Atsakymas</w:t>
            </w:r>
          </w:p>
        </w:tc>
      </w:tr>
      <w:tr w:rsidR="00850235" w:rsidRPr="00855CA2" w14:paraId="331784E6" w14:textId="77777777" w:rsidTr="001439AA">
        <w:tc>
          <w:tcPr>
            <w:tcW w:w="562" w:type="dxa"/>
            <w:shd w:val="clear" w:color="auto" w:fill="auto"/>
          </w:tcPr>
          <w:p w14:paraId="5B2EF932" w14:textId="77777777" w:rsidR="00850235" w:rsidRPr="00AE4448" w:rsidRDefault="00850235" w:rsidP="009378D7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AE4448">
              <w:rPr>
                <w:rFonts w:ascii="Verdana" w:hAnsi="Verdana"/>
                <w:noProof/>
                <w:sz w:val="20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14:paraId="2E6A54A0" w14:textId="29CAD0C4" w:rsidR="00850235" w:rsidRPr="00AE4448" w:rsidRDefault="00850235" w:rsidP="009378D7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850235">
              <w:rPr>
                <w:rFonts w:ascii="Verdana" w:hAnsi="Verdana"/>
                <w:noProof/>
                <w:sz w:val="20"/>
              </w:rPr>
              <w:t>Norime pasiteirauti dėl medianos.</w:t>
            </w:r>
            <w:r w:rsidRPr="00850235">
              <w:rPr>
                <w:rFonts w:ascii="Verdana" w:hAnsi="Verdana"/>
                <w:noProof/>
                <w:sz w:val="20"/>
              </w:rPr>
              <w:br/>
              <w:t>Ar gerai suprantame, kad valandinis darbo užmokestis darbuotojui negali būti mažesnis nei 0,1(Su_tiek), bet negali būti didesnis nei 1,95(Su_maks)?</w:t>
            </w:r>
          </w:p>
        </w:tc>
        <w:tc>
          <w:tcPr>
            <w:tcW w:w="5947" w:type="dxa"/>
            <w:shd w:val="clear" w:color="auto" w:fill="auto"/>
          </w:tcPr>
          <w:p w14:paraId="11916F45" w14:textId="0177E5F6" w:rsidR="00850235" w:rsidRPr="001439AA" w:rsidRDefault="00850235" w:rsidP="009378D7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1439AA">
              <w:rPr>
                <w:rFonts w:ascii="Verdana" w:hAnsi="Verdana"/>
                <w:noProof/>
                <w:sz w:val="20"/>
              </w:rPr>
              <w:t>Pasiūlymų vertinimo tvarkos 2.1 punkte esančios lentelės stulpelyje „Vertinimo tvarka“, apibūdinant socialinio kriterijaus S „</w:t>
            </w:r>
            <w:r w:rsidRPr="001439AA">
              <w:rPr>
                <w:rFonts w:ascii="Verdana" w:hAnsi="Verdana"/>
                <w:bCs/>
                <w:noProof/>
                <w:sz w:val="20"/>
              </w:rPr>
              <w:t xml:space="preserve">Paslaugas teikiančių darbuotojų darbo užmokestis“ vertinimo taisykles, </w:t>
            </w:r>
            <w:r w:rsidRPr="001439AA">
              <w:rPr>
                <w:rFonts w:ascii="Verdana" w:hAnsi="Verdana"/>
                <w:noProof/>
                <w:sz w:val="20"/>
              </w:rPr>
              <w:t>nurodyta:</w:t>
            </w:r>
          </w:p>
          <w:p w14:paraId="5F69AF51" w14:textId="02A4728D" w:rsidR="00850235" w:rsidRPr="00850235" w:rsidRDefault="00850235" w:rsidP="00850235">
            <w:pPr>
              <w:spacing w:line="264" w:lineRule="auto"/>
              <w:jc w:val="both"/>
              <w:rPr>
                <w:rFonts w:ascii="Verdana" w:hAnsi="Verdana"/>
                <w:bCs/>
                <w:i/>
                <w:iCs/>
                <w:noProof/>
                <w:sz w:val="20"/>
              </w:rPr>
            </w:pPr>
            <w:r w:rsidRPr="001439AA">
              <w:rPr>
                <w:rFonts w:ascii="Verdana" w:hAnsi="Verdana"/>
                <w:bCs/>
                <w:i/>
                <w:iCs/>
                <w:noProof/>
                <w:sz w:val="20"/>
              </w:rPr>
              <w:t>„</w:t>
            </w:r>
            <w:r w:rsidRPr="00850235">
              <w:rPr>
                <w:rFonts w:ascii="Verdana" w:hAnsi="Verdana"/>
                <w:bCs/>
                <w:i/>
                <w:iCs/>
                <w:noProof/>
                <w:sz w:val="20"/>
              </w:rPr>
              <w:t xml:space="preserve">1) jei vertinant pasiūlymą nustatoma, kad vertinamo pasiūlymo kriterijaus reikšmė yra mažesnė nei nurodyta minimali (vertinama) reikšmė, </w:t>
            </w:r>
            <w:r w:rsidRPr="00850235">
              <w:rPr>
                <w:rFonts w:ascii="Verdana" w:hAnsi="Verdana"/>
                <w:bCs/>
                <w:i/>
                <w:iCs/>
                <w:noProof/>
                <w:sz w:val="20"/>
              </w:rPr>
              <w:sym w:font="Symbol" w:char="F02D"/>
            </w:r>
            <w:r w:rsidRPr="00850235">
              <w:rPr>
                <w:rFonts w:ascii="Verdana" w:hAnsi="Verdana"/>
                <w:bCs/>
                <w:i/>
                <w:iCs/>
                <w:noProof/>
                <w:sz w:val="20"/>
              </w:rPr>
              <w:t xml:space="preserve"> balai neskiriami.</w:t>
            </w:r>
          </w:p>
          <w:p w14:paraId="2973578D" w14:textId="6DF16BED" w:rsidR="00850235" w:rsidRPr="00850235" w:rsidRDefault="00850235" w:rsidP="00850235">
            <w:pPr>
              <w:spacing w:line="264" w:lineRule="auto"/>
              <w:jc w:val="both"/>
              <w:rPr>
                <w:rFonts w:ascii="Verdana" w:hAnsi="Verdana"/>
                <w:bCs/>
                <w:i/>
                <w:iCs/>
                <w:noProof/>
                <w:sz w:val="20"/>
              </w:rPr>
            </w:pPr>
            <w:r w:rsidRPr="00850235">
              <w:rPr>
                <w:rFonts w:ascii="Verdana" w:hAnsi="Verdana"/>
                <w:bCs/>
                <w:i/>
                <w:iCs/>
                <w:noProof/>
                <w:sz w:val="20"/>
              </w:rPr>
              <w:t xml:space="preserve">2) Jei vertinant pasiūlymą nustatoma, kad vertinamo pasiūlymo kriterijaus reikšmė yra didesnė, nei šioje lentelėje nurodyta maksimali vertinama reikšmė, </w:t>
            </w:r>
            <w:r w:rsidRPr="00850235">
              <w:rPr>
                <w:rFonts w:ascii="Verdana" w:hAnsi="Verdana"/>
                <w:bCs/>
                <w:i/>
                <w:iCs/>
                <w:noProof/>
                <w:sz w:val="20"/>
              </w:rPr>
              <w:sym w:font="Symbol" w:char="F02D"/>
            </w:r>
            <w:r w:rsidRPr="00850235">
              <w:rPr>
                <w:rFonts w:ascii="Verdana" w:hAnsi="Verdana"/>
                <w:bCs/>
                <w:i/>
                <w:iCs/>
                <w:noProof/>
                <w:sz w:val="20"/>
              </w:rPr>
              <w:t xml:space="preserve"> vertinamo pasiūlymo </w:t>
            </w:r>
            <w:r w:rsidRPr="00850235">
              <w:rPr>
                <w:rFonts w:ascii="Verdana" w:hAnsi="Verdana"/>
                <w:i/>
                <w:iCs/>
                <w:noProof/>
                <w:sz w:val="20"/>
              </w:rPr>
              <w:t>reikšme laikoma m</w:t>
            </w:r>
            <w:r w:rsidRPr="00850235">
              <w:rPr>
                <w:rFonts w:ascii="Verdana" w:hAnsi="Verdana"/>
                <w:bCs/>
                <w:i/>
                <w:iCs/>
                <w:noProof/>
                <w:sz w:val="20"/>
              </w:rPr>
              <w:t>aksimali vertinama reikšmė.</w:t>
            </w:r>
            <w:r w:rsidRPr="001439AA">
              <w:rPr>
                <w:rFonts w:ascii="Verdana" w:hAnsi="Verdana"/>
                <w:bCs/>
                <w:i/>
                <w:iCs/>
                <w:noProof/>
                <w:sz w:val="20"/>
              </w:rPr>
              <w:t>“</w:t>
            </w:r>
          </w:p>
          <w:p w14:paraId="080E3A54" w14:textId="77777777" w:rsidR="00850235" w:rsidRPr="001439AA" w:rsidRDefault="00850235" w:rsidP="009378D7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</w:p>
          <w:p w14:paraId="3155692D" w14:textId="77777777" w:rsidR="001439AA" w:rsidRPr="001439AA" w:rsidRDefault="00850235" w:rsidP="00850235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1439AA">
              <w:rPr>
                <w:rFonts w:ascii="Verdana" w:hAnsi="Verdana"/>
                <w:noProof/>
                <w:sz w:val="20"/>
              </w:rPr>
              <w:t xml:space="preserve">Atsižvelgiant į tai, paaiškiname, jog vertinamame pasiūlyme tiekėjo pasiūlytas valandinio atlygio   </w:t>
            </w:r>
            <w:r w:rsidRPr="001439AA">
              <w:rPr>
                <w:rFonts w:ascii="Verdana" w:hAnsi="Verdana"/>
                <w:b/>
                <w:bCs/>
                <w:noProof/>
                <w:sz w:val="20"/>
                <w:u w:val="single"/>
              </w:rPr>
              <w:t>medianos</w:t>
            </w:r>
            <w:r w:rsidRPr="001439AA">
              <w:rPr>
                <w:rFonts w:ascii="Verdana" w:hAnsi="Verdana"/>
                <w:noProof/>
                <w:sz w:val="20"/>
              </w:rPr>
              <w:t xml:space="preserve"> (t. y. ne darbo užmokesčio) ir Lietuvos Respublikoje nustatyto valandinio atlygio skirtumas (Su_tiek) gali būti mažesnis nei minimali nurodyta reikšmė (0,01), tačiau </w:t>
            </w:r>
            <w:r w:rsidR="001439AA" w:rsidRPr="001439AA">
              <w:rPr>
                <w:rFonts w:ascii="Verdana" w:hAnsi="Verdana"/>
                <w:noProof/>
                <w:sz w:val="20"/>
              </w:rPr>
              <w:t xml:space="preserve">tokiu atveju </w:t>
            </w:r>
            <w:r w:rsidRPr="001439AA">
              <w:rPr>
                <w:rFonts w:ascii="Verdana" w:hAnsi="Verdana"/>
                <w:noProof/>
                <w:sz w:val="20"/>
              </w:rPr>
              <w:t xml:space="preserve">tai bus laikoma mažesne nei nurodyta minimali (vertinama) reikšmė ir balai nebus skiriami. </w:t>
            </w:r>
          </w:p>
          <w:p w14:paraId="79C43E36" w14:textId="77777777" w:rsidR="001439AA" w:rsidRPr="001439AA" w:rsidRDefault="001439AA" w:rsidP="00850235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</w:p>
          <w:p w14:paraId="0BCC2E43" w14:textId="3B97DEC2" w:rsidR="00850235" w:rsidRPr="00AE4448" w:rsidRDefault="00850235" w:rsidP="00850235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1439AA">
              <w:rPr>
                <w:rFonts w:ascii="Verdana" w:hAnsi="Verdana"/>
                <w:noProof/>
                <w:sz w:val="20"/>
              </w:rPr>
              <w:t>Maksimali vertinama pasiūlyto darbo užmokesčio valandos medianos ir Lietuvos Respublikoje nustatyto minimalaus valandinio atlygio skirtum</w:t>
            </w:r>
            <w:r w:rsidR="001439AA" w:rsidRPr="001439AA">
              <w:rPr>
                <w:rFonts w:ascii="Verdana" w:hAnsi="Verdana"/>
                <w:noProof/>
                <w:sz w:val="20"/>
              </w:rPr>
              <w:t>as</w:t>
            </w:r>
            <w:r w:rsidRPr="001439AA">
              <w:rPr>
                <w:rFonts w:ascii="Verdana" w:hAnsi="Verdana"/>
                <w:noProof/>
                <w:sz w:val="20"/>
              </w:rPr>
              <w:t xml:space="preserve"> (Su_maks) gali būti didesn</w:t>
            </w:r>
            <w:r w:rsidR="001439AA" w:rsidRPr="001439AA">
              <w:rPr>
                <w:rFonts w:ascii="Verdana" w:hAnsi="Verdana"/>
                <w:noProof/>
                <w:sz w:val="20"/>
              </w:rPr>
              <w:t>is nei maksimali vertinama reikšmė (1,95)</w:t>
            </w:r>
            <w:r w:rsidRPr="001439AA">
              <w:rPr>
                <w:rFonts w:ascii="Verdana" w:hAnsi="Verdana"/>
                <w:noProof/>
                <w:sz w:val="20"/>
              </w:rPr>
              <w:t xml:space="preserve">, </w:t>
            </w:r>
            <w:r w:rsidR="001439AA" w:rsidRPr="001439AA">
              <w:rPr>
                <w:rFonts w:ascii="Verdana" w:hAnsi="Verdana"/>
                <w:noProof/>
                <w:sz w:val="20"/>
              </w:rPr>
              <w:t xml:space="preserve">tačiau tokiu atveju </w:t>
            </w:r>
            <w:r w:rsidRPr="001439AA">
              <w:rPr>
                <w:rFonts w:ascii="Verdana" w:hAnsi="Verdana"/>
                <w:noProof/>
                <w:sz w:val="20"/>
              </w:rPr>
              <w:t>vertinant pasiūlymą</w:t>
            </w:r>
            <w:r w:rsidR="001439AA" w:rsidRPr="001439AA">
              <w:rPr>
                <w:rFonts w:ascii="Verdana" w:hAnsi="Verdana"/>
                <w:noProof/>
                <w:sz w:val="20"/>
              </w:rPr>
              <w:t xml:space="preserve"> vertinamo pasiūlymo reikšme</w:t>
            </w:r>
            <w:r w:rsidRPr="001439AA">
              <w:rPr>
                <w:rFonts w:ascii="Verdana" w:hAnsi="Verdana"/>
                <w:noProof/>
                <w:sz w:val="20"/>
              </w:rPr>
              <w:t xml:space="preserve"> bus </w:t>
            </w:r>
            <w:r w:rsidR="001439AA" w:rsidRPr="001439AA">
              <w:rPr>
                <w:rFonts w:ascii="Verdana" w:hAnsi="Verdana"/>
                <w:noProof/>
                <w:sz w:val="20"/>
              </w:rPr>
              <w:t xml:space="preserve">laikoma </w:t>
            </w:r>
            <w:r w:rsidRPr="001439AA">
              <w:rPr>
                <w:rFonts w:ascii="Verdana" w:hAnsi="Verdana"/>
                <w:noProof/>
                <w:sz w:val="20"/>
              </w:rPr>
              <w:t>maksimali vertinama reikšmė, t.</w:t>
            </w:r>
            <w:r w:rsidR="001439AA" w:rsidRPr="001439AA">
              <w:rPr>
                <w:rFonts w:ascii="Verdana" w:hAnsi="Verdana"/>
                <w:noProof/>
                <w:sz w:val="20"/>
              </w:rPr>
              <w:t xml:space="preserve"> </w:t>
            </w:r>
            <w:r w:rsidRPr="001439AA">
              <w:rPr>
                <w:rFonts w:ascii="Verdana" w:hAnsi="Verdana"/>
                <w:noProof/>
                <w:sz w:val="20"/>
              </w:rPr>
              <w:t>y. jeigu tiekėj</w:t>
            </w:r>
            <w:r w:rsidR="001439AA" w:rsidRPr="001439AA">
              <w:rPr>
                <w:rFonts w:ascii="Verdana" w:hAnsi="Verdana"/>
                <w:noProof/>
                <w:sz w:val="20"/>
              </w:rPr>
              <w:t>o pasiūlymo reikšmė</w:t>
            </w:r>
            <w:r w:rsidRPr="001439AA">
              <w:rPr>
                <w:rFonts w:ascii="Verdana" w:hAnsi="Verdana"/>
                <w:noProof/>
                <w:sz w:val="20"/>
              </w:rPr>
              <w:t xml:space="preserve"> </w:t>
            </w:r>
            <w:r w:rsidR="001439AA" w:rsidRPr="001439AA">
              <w:rPr>
                <w:rFonts w:ascii="Verdana" w:hAnsi="Verdana"/>
                <w:noProof/>
                <w:sz w:val="20"/>
              </w:rPr>
              <w:t>bus</w:t>
            </w:r>
            <w:r w:rsidR="00B501C8">
              <w:rPr>
                <w:rFonts w:ascii="Verdana" w:hAnsi="Verdana"/>
                <w:noProof/>
                <w:sz w:val="20"/>
              </w:rPr>
              <w:t>, pavyzdžiui,</w:t>
            </w:r>
            <w:r w:rsidRPr="001439AA">
              <w:rPr>
                <w:rFonts w:ascii="Verdana" w:hAnsi="Verdana"/>
                <w:noProof/>
                <w:sz w:val="20"/>
              </w:rPr>
              <w:t xml:space="preserve"> 1,99, vertinama reikšmė vis tiek bus 1,95.</w:t>
            </w:r>
            <w:r w:rsidRPr="00850235">
              <w:rPr>
                <w:rFonts w:ascii="Verdana" w:hAnsi="Verdana"/>
                <w:noProof/>
                <w:sz w:val="20"/>
              </w:rPr>
              <w:t xml:space="preserve">  </w:t>
            </w:r>
          </w:p>
        </w:tc>
      </w:tr>
    </w:tbl>
    <w:p w14:paraId="070C5884" w14:textId="77777777" w:rsidR="003B2DC8" w:rsidRDefault="003B2DC8" w:rsidP="00850235">
      <w:pPr>
        <w:ind w:firstLine="567"/>
        <w:jc w:val="both"/>
      </w:pPr>
    </w:p>
    <w:sectPr w:rsidR="003B2DC8" w:rsidSect="000258D5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81C79" w14:textId="77777777" w:rsidR="000258D5" w:rsidRDefault="000258D5" w:rsidP="000258D5">
      <w:r>
        <w:separator/>
      </w:r>
    </w:p>
  </w:endnote>
  <w:endnote w:type="continuationSeparator" w:id="0">
    <w:p w14:paraId="51F9A95A" w14:textId="77777777" w:rsidR="000258D5" w:rsidRDefault="000258D5" w:rsidP="0002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0634" w14:textId="77777777" w:rsidR="000513F5" w:rsidRDefault="000513F5" w:rsidP="00155219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5FEDE888" w14:textId="77777777" w:rsidR="000513F5" w:rsidRDefault="000513F5" w:rsidP="00C171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6EE1" w14:textId="77777777" w:rsidR="000513F5" w:rsidRPr="00E6229E" w:rsidRDefault="000513F5">
    <w:pPr>
      <w:pStyle w:val="Footer"/>
      <w:jc w:val="right"/>
      <w:rPr>
        <w:rFonts w:ascii="Verdana" w:hAnsi="Verdana"/>
        <w:sz w:val="20"/>
      </w:rPr>
    </w:pPr>
    <w:r w:rsidRPr="00E6229E">
      <w:rPr>
        <w:rFonts w:ascii="Verdana" w:hAnsi="Verdana"/>
        <w:sz w:val="20"/>
      </w:rPr>
      <w:fldChar w:fldCharType="begin"/>
    </w:r>
    <w:r w:rsidRPr="00E6229E">
      <w:rPr>
        <w:rFonts w:ascii="Verdana" w:hAnsi="Verdana"/>
        <w:sz w:val="20"/>
      </w:rPr>
      <w:instrText xml:space="preserve"> PAGE   \* MERGEFORMAT </w:instrText>
    </w:r>
    <w:r w:rsidRPr="00E6229E">
      <w:rPr>
        <w:rFonts w:ascii="Verdana" w:hAnsi="Verdana"/>
        <w:sz w:val="20"/>
      </w:rPr>
      <w:fldChar w:fldCharType="separate"/>
    </w:r>
    <w:r w:rsidRPr="00E6229E">
      <w:rPr>
        <w:rFonts w:ascii="Verdana" w:hAnsi="Verdana"/>
        <w:noProof/>
        <w:sz w:val="20"/>
      </w:rPr>
      <w:t>2</w:t>
    </w:r>
    <w:r w:rsidRPr="00E6229E">
      <w:rPr>
        <w:rFonts w:ascii="Verdana" w:hAnsi="Verdana"/>
        <w:noProof/>
        <w:sz w:val="20"/>
      </w:rPr>
      <w:fldChar w:fldCharType="end"/>
    </w:r>
  </w:p>
  <w:p w14:paraId="36549C42" w14:textId="77777777" w:rsidR="000513F5" w:rsidRDefault="000513F5" w:rsidP="00C171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E1B0B" w14:textId="77777777" w:rsidR="000258D5" w:rsidRDefault="000258D5" w:rsidP="000258D5">
      <w:r>
        <w:separator/>
      </w:r>
    </w:p>
  </w:footnote>
  <w:footnote w:type="continuationSeparator" w:id="0">
    <w:p w14:paraId="686E0600" w14:textId="77777777" w:rsidR="000258D5" w:rsidRDefault="000258D5" w:rsidP="00025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1F7A" w14:textId="77777777" w:rsidR="000513F5" w:rsidRPr="00E2021B" w:rsidRDefault="000513F5" w:rsidP="003879B2">
    <w:pPr>
      <w:jc w:val="center"/>
      <w:rPr>
        <w:rFonts w:ascii="Verdana" w:hAnsi="Verdana"/>
        <w:b/>
        <w:bCs/>
        <w:noProof/>
        <w:color w:val="000000"/>
        <w:sz w:val="20"/>
      </w:rPr>
    </w:pPr>
    <w:r w:rsidRPr="00E2021B">
      <w:rPr>
        <w:rFonts w:ascii="Verdana" w:hAnsi="Verdana"/>
        <w:b/>
        <w:bCs/>
        <w:noProof/>
        <w:color w:val="000000"/>
        <w:sz w:val="20"/>
      </w:rPr>
      <w:t>VIEŠOJI ĮSTAIGA LIETUVOS NACIONALINIS RADIJAS IR TELEVIZIJA</w:t>
    </w:r>
  </w:p>
  <w:p w14:paraId="70CB4BC2" w14:textId="77777777" w:rsidR="000513F5" w:rsidRDefault="000513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4DC5" w14:textId="089C3910" w:rsidR="000513F5" w:rsidRDefault="000258D5">
    <w:pPr>
      <w:pStyle w:val="Heading1"/>
      <w:ind w:right="-154"/>
      <w:jc w:val="center"/>
      <w:rPr>
        <w:sz w:val="24"/>
      </w:rPr>
    </w:pPr>
    <w:r>
      <w:rPr>
        <w:noProof/>
      </w:rPr>
      <w:drawing>
        <wp:inline distT="0" distB="0" distL="0" distR="0" wp14:anchorId="55D2E54A" wp14:editId="165CFE80">
          <wp:extent cx="3170555" cy="320675"/>
          <wp:effectExtent l="0" t="0" r="0" b="3175"/>
          <wp:docPr id="5926811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055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E70CB"/>
    <w:multiLevelType w:val="hybridMultilevel"/>
    <w:tmpl w:val="4D980F30"/>
    <w:lvl w:ilvl="0" w:tplc="2ED05C6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07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00"/>
    <w:rsid w:val="000258D5"/>
    <w:rsid w:val="000513F5"/>
    <w:rsid w:val="001439AA"/>
    <w:rsid w:val="002009A1"/>
    <w:rsid w:val="002D6B5D"/>
    <w:rsid w:val="003269A2"/>
    <w:rsid w:val="003779D1"/>
    <w:rsid w:val="003B2DC8"/>
    <w:rsid w:val="0041113D"/>
    <w:rsid w:val="004131A9"/>
    <w:rsid w:val="00461F8B"/>
    <w:rsid w:val="004C3893"/>
    <w:rsid w:val="00622762"/>
    <w:rsid w:val="00850235"/>
    <w:rsid w:val="008876A0"/>
    <w:rsid w:val="00A71F7F"/>
    <w:rsid w:val="00A75DE7"/>
    <w:rsid w:val="00AB1600"/>
    <w:rsid w:val="00B07D50"/>
    <w:rsid w:val="00B501C8"/>
    <w:rsid w:val="00C97AB3"/>
    <w:rsid w:val="00E4365F"/>
    <w:rsid w:val="00E439AA"/>
    <w:rsid w:val="00F23B95"/>
    <w:rsid w:val="00F91619"/>
    <w:rsid w:val="00F9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942E"/>
  <w15:chartTrackingRefBased/>
  <w15:docId w15:val="{E2B6CD9D-1313-45C9-98D1-B31817B6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8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AB1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6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6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6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60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60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60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6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60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60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60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6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6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6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60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6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6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6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6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6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60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0258D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258D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rsid w:val="000258D5"/>
    <w:pPr>
      <w:ind w:firstLine="426"/>
    </w:pPr>
    <w:rPr>
      <w:rFonts w:ascii="Arial" w:hAnsi="Arial"/>
      <w:sz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258D5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rsid w:val="000258D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8D5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rsid w:val="000258D5"/>
  </w:style>
  <w:style w:type="paragraph" w:customStyle="1" w:styleId="Heading">
    <w:name w:val="Heading"/>
    <w:next w:val="Normal"/>
    <w:rsid w:val="000258D5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lang w:val="en-US"/>
    </w:rPr>
  </w:style>
  <w:style w:type="paragraph" w:styleId="FootnoteText">
    <w:name w:val="footnote text"/>
    <w:basedOn w:val="Normal"/>
    <w:link w:val="FootnoteTextChar"/>
    <w:rsid w:val="000258D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258D5"/>
    <w:rPr>
      <w:rFonts w:ascii="Times New Roman" w:eastAsia="Times New Roman" w:hAnsi="Times New Roman" w:cs="Times New Roman"/>
      <w:szCs w:val="20"/>
      <w:lang w:eastAsia="lt-LT"/>
    </w:rPr>
  </w:style>
  <w:style w:type="character" w:styleId="FootnoteReference">
    <w:name w:val="footnote reference"/>
    <w:rsid w:val="000258D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16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3CD44B2C3424B993D0E797CAA31E6" ma:contentTypeVersion="4" ma:contentTypeDescription="Create a new document." ma:contentTypeScope="" ma:versionID="f1e4aef76d47e706db63d2d77a4c2983">
  <xsd:schema xmlns:xsd="http://www.w3.org/2001/XMLSchema" xmlns:xs="http://www.w3.org/2001/XMLSchema" xmlns:p="http://schemas.microsoft.com/office/2006/metadata/properties" xmlns:ns2="f6abb329-b201-456b-8b46-b1bf0175f3dd" targetNamespace="http://schemas.microsoft.com/office/2006/metadata/properties" ma:root="true" ma:fieldsID="4ad6a47b09e03fd56b6b9b107a0c5766" ns2:_="">
    <xsd:import namespace="f6abb329-b201-456b-8b46-b1bf0175f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bb329-b201-456b-8b46-b1bf0175f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946871-8991-4950-B286-69AC0F625A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494CE-E216-4F44-8357-C3DEA5A8F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bb329-b201-456b-8b46-b1bf0175f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63D7D3-B315-49F9-A60E-599F9B7CA216}">
  <ds:schemaRefs>
    <ds:schemaRef ds:uri="f6abb329-b201-456b-8b46-b1bf0175f3dd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Vainauskaitė</dc:creator>
  <cp:keywords/>
  <dc:description/>
  <cp:lastModifiedBy>Agnė Urbelionytė</cp:lastModifiedBy>
  <cp:revision>8</cp:revision>
  <cp:lastPrinted>2025-06-12T13:08:00Z</cp:lastPrinted>
  <dcterms:created xsi:type="dcterms:W3CDTF">2025-05-15T06:14:00Z</dcterms:created>
  <dcterms:modified xsi:type="dcterms:W3CDTF">2025-06-12T13:10:00Z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0x0101004D33CD44B2C3424B993D0E797CAA31E6</vt:lpwstr>
  </property>
</Properties>
</file>