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parengti techninį darbo projektą ir kitus reikalingus dokumentus</w:t>
      </w:r>
      <w:r w:rsidR="00E31506" w:rsidRPr="00ED4EE5">
        <w:rPr>
          <w:sz w:val="18"/>
          <w:szCs w:val="18"/>
        </w:rPr>
        <w:t xml:space="preserve"> pagal Užsakovo užduotį</w:t>
      </w:r>
      <w:r w:rsidR="00696459" w:rsidRPr="00ED4EE5">
        <w:rPr>
          <w:sz w:val="18"/>
          <w:szCs w:val="18"/>
        </w:rPr>
        <w:t>,</w:t>
      </w:r>
      <w:r w:rsidR="00D134E0" w:rsidRPr="00ED4EE5">
        <w:rPr>
          <w:sz w:val="18"/>
          <w:szCs w:val="18"/>
        </w:rPr>
        <w:t xml:space="preserve"> keisti su Užsakovu suderintus projektinius sprendinius tik gavus jo ra</w:t>
      </w:r>
      <w:r w:rsidR="00F01E1C" w:rsidRPr="00ED4EE5">
        <w:rPr>
          <w:sz w:val="18"/>
          <w:szCs w:val="18"/>
        </w:rPr>
        <w:t>štišką sutikimą, o G</w:t>
      </w:r>
      <w:r w:rsidR="00D134E0" w:rsidRPr="00ED4EE5">
        <w:rPr>
          <w:sz w:val="18"/>
          <w:szCs w:val="18"/>
        </w:rPr>
        <w:t>rafiką, pasirašant papildomus susitarimus;</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Savo sąskaita atlikti projektinėje dokumentacijoje pakeitimus, iš esmės nekeičiančius statinio projektinių sprendimų, būtinų pirkimo objekto tinkamam funkcionalumui užtikrinti;</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K = IPb / IPr</w:t>
      </w:r>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r w:rsidRPr="00ED4EE5">
        <w:t>IPr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r w:rsidRPr="00ED4EE5">
        <w:t>IPb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(Uniform Rules for Demand Guarantees, URDG, ICC Publication No.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638"/>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44B"/>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934"/>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2ECC"/>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0A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2AD5"/>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75F"/>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6E3"/>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FF221AD-9DF2-4D23-BB3C-CD45125BA4BD}">
  <ds:schemaRefs>
    <ds:schemaRef ds:uri="http://www.imanage.com/work/xmlschema"/>
  </ds:schemaRefs>
</ds:datastoreItem>
</file>

<file path=customXml/itemProps4.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2025-06-11T04:53:00Z</dcterms:created>
  <dcterms:modified xsi:type="dcterms:W3CDTF">2025-06-11T04:53:00Z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