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CE83" w14:textId="70F19008" w:rsidR="007227D1" w:rsidRPr="00645DFE" w:rsidRDefault="0086343B" w:rsidP="000932BA">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LIETUVOS RESPUBLIKOS FINANSŲ MINISTERIJA</w:t>
      </w:r>
      <w:proofErr w:type="gramEnd"/>
    </w:p>
    <w:p w14:paraId="1D7DCE84" w14:textId="77777777" w:rsidR="00645DFE" w:rsidRPr="00645DFE" w:rsidRDefault="00645DFE" w:rsidP="000932BA">
      <w:pPr>
        <w:spacing w:after="0" w:line="240" w:lineRule="auto"/>
        <w:jc w:val="center"/>
        <w:rPr>
          <w:rFonts w:ascii="Times New Roman" w:hAnsi="Times New Roman" w:cs="Times New Roman"/>
          <w:b/>
          <w:sz w:val="24"/>
          <w:szCs w:val="24"/>
        </w:rPr>
      </w:pPr>
    </w:p>
    <w:p w14:paraId="1D7DCE85" w14:textId="77777777" w:rsidR="00645DFE" w:rsidRPr="00645DFE" w:rsidRDefault="000932BA" w:rsidP="00645DFE">
      <w:pPr>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KVIETIMAS DALYVAUTI VIEŠOJO PIRKIMO</w:t>
      </w:r>
    </w:p>
    <w:p w14:paraId="5480622D" w14:textId="6F2375AA" w:rsidR="00AB32BF" w:rsidRDefault="000932BA" w:rsidP="00713528">
      <w:pPr>
        <w:autoSpaceDE w:val="0"/>
        <w:autoSpaceDN w:val="0"/>
        <w:adjustRightInd w:val="0"/>
        <w:spacing w:after="0" w:line="240" w:lineRule="auto"/>
        <w:jc w:val="center"/>
        <w:rPr>
          <w:rFonts w:ascii="Times New Roman" w:hAnsi="Times New Roman" w:cs="Times New Roman"/>
          <w:b/>
          <w:sz w:val="24"/>
          <w:szCs w:val="24"/>
        </w:rPr>
      </w:pPr>
      <w:r w:rsidRPr="00645DFE">
        <w:rPr>
          <w:rFonts w:ascii="Times New Roman" w:hAnsi="Times New Roman" w:cs="Times New Roman"/>
          <w:b/>
          <w:sz w:val="24"/>
          <w:szCs w:val="24"/>
        </w:rPr>
        <w:t>„</w:t>
      </w:r>
      <w:r w:rsidR="00193B41" w:rsidRPr="00193B41">
        <w:rPr>
          <w:rFonts w:ascii="Times New Roman" w:hAnsi="Times New Roman" w:cs="Times New Roman"/>
          <w:b/>
          <w:caps/>
          <w:sz w:val="24"/>
          <w:szCs w:val="24"/>
        </w:rPr>
        <w:t>Apklausos "Mokinių atsiskaitymo negrynaisiais pinigais bendrojo ugdymo įstaigose padidėjimas</w:t>
      </w:r>
      <w:proofErr w:type="gramStart"/>
      <w:r w:rsidR="00193B41" w:rsidRPr="00193B41">
        <w:rPr>
          <w:rFonts w:ascii="Times New Roman" w:hAnsi="Times New Roman" w:cs="Times New Roman"/>
          <w:b/>
          <w:caps/>
          <w:sz w:val="24"/>
          <w:szCs w:val="24"/>
        </w:rPr>
        <w:t>" paslaugos</w:t>
      </w:r>
      <w:r w:rsidRPr="00645DFE">
        <w:rPr>
          <w:rFonts w:ascii="Times New Roman" w:hAnsi="Times New Roman" w:cs="Times New Roman"/>
          <w:b/>
          <w:sz w:val="24"/>
          <w:szCs w:val="24"/>
        </w:rPr>
        <w:t>“</w:t>
      </w:r>
      <w:proofErr w:type="gramEnd"/>
      <w:r w:rsidRPr="00645DFE">
        <w:rPr>
          <w:rFonts w:ascii="Times New Roman" w:hAnsi="Times New Roman" w:cs="Times New Roman"/>
          <w:b/>
          <w:sz w:val="24"/>
          <w:szCs w:val="24"/>
        </w:rPr>
        <w:t xml:space="preserve"> </w:t>
      </w:r>
    </w:p>
    <w:p w14:paraId="1D7DCE86" w14:textId="2E35796F" w:rsidR="00891CFD" w:rsidRPr="00713528" w:rsidRDefault="000932BA" w:rsidP="00713528">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645DFE">
        <w:rPr>
          <w:rFonts w:ascii="Times New Roman" w:hAnsi="Times New Roman" w:cs="Times New Roman"/>
          <w:b/>
          <w:sz w:val="24"/>
          <w:szCs w:val="24"/>
        </w:rPr>
        <w:t>RINKOS KONSULTACIJOJE</w:t>
      </w:r>
    </w:p>
    <w:p w14:paraId="1D7DCE87" w14:textId="77777777" w:rsidR="000932BA" w:rsidRPr="00645DFE" w:rsidRDefault="000932BA" w:rsidP="000932BA">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080"/>
        <w:gridCol w:w="7548"/>
      </w:tblGrid>
      <w:tr w:rsidR="004A2FC0" w:rsidRPr="00645DFE" w14:paraId="1D7DCE8A" w14:textId="77777777" w:rsidTr="00C40F5E">
        <w:tc>
          <w:tcPr>
            <w:tcW w:w="2080" w:type="dxa"/>
          </w:tcPr>
          <w:p w14:paraId="1D7DCE88"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Perkančioji organizacija</w:t>
            </w:r>
          </w:p>
        </w:tc>
        <w:tc>
          <w:tcPr>
            <w:tcW w:w="7548" w:type="dxa"/>
          </w:tcPr>
          <w:p w14:paraId="64B61EDB" w14:textId="5C385F81" w:rsidR="0086343B" w:rsidRPr="00D20DE9" w:rsidRDefault="00D20DE9" w:rsidP="0086343B">
            <w:pPr>
              <w:spacing w:after="0" w:line="240" w:lineRule="auto"/>
              <w:rPr>
                <w:rFonts w:ascii="Times New Roman" w:hAnsi="Times New Roman" w:cs="Times New Roman"/>
                <w:bCs/>
                <w:sz w:val="24"/>
                <w:szCs w:val="24"/>
              </w:rPr>
            </w:pPr>
            <w:r>
              <w:rPr>
                <w:rFonts w:ascii="Times New Roman" w:hAnsi="Times New Roman" w:cs="Times New Roman"/>
                <w:bCs/>
                <w:sz w:val="24"/>
                <w:szCs w:val="24"/>
              </w:rPr>
              <w:t>Lietuvos Respublikos finansų ministerija</w:t>
            </w:r>
          </w:p>
          <w:p w14:paraId="1D7DCE89" w14:textId="55B6E683" w:rsidR="004A2FC0" w:rsidRPr="00645DFE" w:rsidRDefault="004A2FC0" w:rsidP="00146893">
            <w:pPr>
              <w:spacing w:after="0" w:line="240" w:lineRule="auto"/>
              <w:rPr>
                <w:rFonts w:ascii="Times New Roman" w:hAnsi="Times New Roman" w:cs="Times New Roman"/>
                <w:sz w:val="24"/>
                <w:szCs w:val="24"/>
              </w:rPr>
            </w:pPr>
          </w:p>
        </w:tc>
      </w:tr>
      <w:tr w:rsidR="00DE3C9D" w:rsidRPr="00645DFE" w14:paraId="1D7DCE90" w14:textId="77777777" w:rsidTr="00C40F5E">
        <w:trPr>
          <w:trHeight w:val="1390"/>
        </w:trPr>
        <w:tc>
          <w:tcPr>
            <w:tcW w:w="2080" w:type="dxa"/>
          </w:tcPr>
          <w:p w14:paraId="1D7DCE8B" w14:textId="77777777" w:rsidR="00DE3C9D" w:rsidRPr="00645DFE" w:rsidRDefault="00DE3C9D"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Kontaktinis asmuo</w:t>
            </w:r>
          </w:p>
        </w:tc>
        <w:tc>
          <w:tcPr>
            <w:tcW w:w="7548" w:type="dxa"/>
          </w:tcPr>
          <w:p w14:paraId="1F1AEE80" w14:textId="77777777" w:rsidR="00C40F5E" w:rsidRDefault="00C40F5E" w:rsidP="00146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Veiklos valdymo departamento </w:t>
            </w:r>
          </w:p>
          <w:p w14:paraId="1D7DCE8C" w14:textId="1A67E723" w:rsidR="00DE3C9D" w:rsidRPr="00645DFE" w:rsidRDefault="00C40F5E" w:rsidP="00146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Viešųjų pirkimų skyriaus vyriausioji</w:t>
            </w:r>
            <w:r w:rsidR="00DE3C9D">
              <w:rPr>
                <w:rFonts w:ascii="Times New Roman" w:hAnsi="Times New Roman" w:cs="Times New Roman"/>
                <w:sz w:val="24"/>
                <w:szCs w:val="24"/>
              </w:rPr>
              <w:t xml:space="preserve"> specialistė</w:t>
            </w:r>
          </w:p>
          <w:p w14:paraId="1D7DCE8D" w14:textId="2F92EA1B" w:rsidR="00DE3C9D" w:rsidRPr="00645DFE" w:rsidRDefault="00754434" w:rsidP="00146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Edita Stankevičienė</w:t>
            </w:r>
          </w:p>
          <w:p w14:paraId="1D7DCE8E" w14:textId="46A4051E" w:rsidR="00DE3C9D" w:rsidRPr="00645DFE" w:rsidRDefault="00DE3C9D" w:rsidP="00146893">
            <w:p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Tel. </w:t>
            </w:r>
            <w:r>
              <w:rPr>
                <w:rFonts w:ascii="Times New Roman" w:hAnsi="Times New Roman" w:cs="Times New Roman"/>
                <w:sz w:val="24"/>
                <w:szCs w:val="24"/>
              </w:rPr>
              <w:t>+370</w:t>
            </w:r>
            <w:r w:rsidR="0086343B">
              <w:rPr>
                <w:rFonts w:ascii="Times New Roman" w:hAnsi="Times New Roman" w:cs="Times New Roman"/>
                <w:sz w:val="24"/>
                <w:szCs w:val="24"/>
              </w:rPr>
              <w:t> 690 32181</w:t>
            </w:r>
          </w:p>
          <w:p w14:paraId="1D7DCE8F" w14:textId="102620F9" w:rsidR="00DE3C9D" w:rsidRPr="00645DFE" w:rsidRDefault="00DE3C9D" w:rsidP="00146893">
            <w:pPr>
              <w:spacing w:after="0" w:line="240" w:lineRule="auto"/>
              <w:jc w:val="both"/>
              <w:rPr>
                <w:rFonts w:ascii="Times New Roman" w:hAnsi="Times New Roman" w:cs="Times New Roman"/>
                <w:b/>
                <w:sz w:val="24"/>
                <w:szCs w:val="24"/>
                <w:lang w:val="en-US"/>
              </w:rPr>
            </w:pPr>
            <w:r w:rsidRPr="00645DFE">
              <w:rPr>
                <w:rFonts w:ascii="Times New Roman" w:hAnsi="Times New Roman" w:cs="Times New Roman"/>
                <w:sz w:val="24"/>
                <w:szCs w:val="24"/>
              </w:rPr>
              <w:t>El.</w:t>
            </w:r>
            <w:r>
              <w:rPr>
                <w:rFonts w:ascii="Times New Roman" w:hAnsi="Times New Roman" w:cs="Times New Roman"/>
                <w:sz w:val="24"/>
                <w:szCs w:val="24"/>
              </w:rPr>
              <w:t xml:space="preserve"> </w:t>
            </w:r>
            <w:r w:rsidRPr="00645DFE">
              <w:rPr>
                <w:rFonts w:ascii="Times New Roman" w:hAnsi="Times New Roman" w:cs="Times New Roman"/>
                <w:sz w:val="24"/>
                <w:szCs w:val="24"/>
              </w:rPr>
              <w:t xml:space="preserve">p. </w:t>
            </w:r>
            <w:r w:rsidR="00754434">
              <w:rPr>
                <w:rFonts w:ascii="Times New Roman" w:hAnsi="Times New Roman" w:cs="Times New Roman"/>
                <w:sz w:val="24"/>
                <w:szCs w:val="24"/>
              </w:rPr>
              <w:t>edita.stankeviciene</w:t>
            </w:r>
            <w:r w:rsidRPr="00713528">
              <w:rPr>
                <w:rFonts w:ascii="Times New Roman" w:hAnsi="Times New Roman" w:cs="Times New Roman"/>
                <w:sz w:val="24"/>
                <w:szCs w:val="24"/>
              </w:rPr>
              <w:t>@</w:t>
            </w:r>
            <w:r w:rsidR="0086343B">
              <w:rPr>
                <w:rFonts w:ascii="Times New Roman" w:hAnsi="Times New Roman" w:cs="Times New Roman"/>
                <w:sz w:val="24"/>
                <w:szCs w:val="24"/>
              </w:rPr>
              <w:t>finmin.lt</w:t>
            </w:r>
          </w:p>
        </w:tc>
      </w:tr>
      <w:tr w:rsidR="004A2FC0" w:rsidRPr="00645DFE" w14:paraId="1D7DCE9A" w14:textId="77777777" w:rsidTr="00C40F5E">
        <w:tc>
          <w:tcPr>
            <w:tcW w:w="2080" w:type="dxa"/>
          </w:tcPr>
          <w:p w14:paraId="1D7DCE98"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Pirkimo objektas</w:t>
            </w:r>
          </w:p>
        </w:tc>
        <w:tc>
          <w:tcPr>
            <w:tcW w:w="7548" w:type="dxa"/>
          </w:tcPr>
          <w:p w14:paraId="1D7DCE99" w14:textId="06A1A430" w:rsidR="004A2FC0" w:rsidRPr="00754434" w:rsidRDefault="00D20DE9" w:rsidP="00754434">
            <w:pPr>
              <w:pStyle w:val="paragraph"/>
              <w:shd w:val="clear" w:color="auto" w:fill="FFFFFF" w:themeFill="background1"/>
              <w:spacing w:before="0" w:beforeAutospacing="0" w:after="0" w:afterAutospacing="0"/>
              <w:jc w:val="both"/>
              <w:textAlignment w:val="baseline"/>
            </w:pPr>
            <w:r>
              <w:rPr>
                <w:rStyle w:val="normaltextrun"/>
              </w:rPr>
              <w:t>Lietuvos</w:t>
            </w:r>
          </w:p>
        </w:tc>
      </w:tr>
      <w:tr w:rsidR="000932BA" w:rsidRPr="00645DFE" w14:paraId="1D7DCE9F" w14:textId="77777777" w:rsidTr="00C40F5E">
        <w:tc>
          <w:tcPr>
            <w:tcW w:w="2080" w:type="dxa"/>
          </w:tcPr>
          <w:p w14:paraId="1D7DCE9B" w14:textId="77777777" w:rsidR="000932BA" w:rsidRPr="00645DFE" w:rsidRDefault="000932BA" w:rsidP="00645DFE">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Rinkos konsultacijos tikslas</w:t>
            </w:r>
          </w:p>
        </w:tc>
        <w:tc>
          <w:tcPr>
            <w:tcW w:w="7548" w:type="dxa"/>
          </w:tcPr>
          <w:p w14:paraId="1D7DCE9C" w14:textId="77777777" w:rsidR="000932BA" w:rsidRPr="00645DFE" w:rsidRDefault="00F80F6B" w:rsidP="00645DFE">
            <w:pPr>
              <w:spacing w:after="0" w:line="240" w:lineRule="auto"/>
              <w:jc w:val="both"/>
              <w:rPr>
                <w:rFonts w:ascii="Times New Roman" w:hAnsi="Times New Roman" w:cs="Times New Roman"/>
                <w:b/>
                <w:sz w:val="24"/>
                <w:szCs w:val="24"/>
              </w:rPr>
            </w:pPr>
            <w:r w:rsidRPr="00645DFE">
              <w:rPr>
                <w:rFonts w:ascii="Times New Roman" w:hAnsi="Times New Roman" w:cs="Times New Roman"/>
                <w:b/>
                <w:sz w:val="24"/>
                <w:szCs w:val="24"/>
              </w:rPr>
              <w:t>Rinkos</w:t>
            </w:r>
            <w:r w:rsidR="000932BA" w:rsidRPr="00645DFE">
              <w:rPr>
                <w:rFonts w:ascii="Times New Roman" w:hAnsi="Times New Roman" w:cs="Times New Roman"/>
                <w:b/>
                <w:sz w:val="24"/>
                <w:szCs w:val="24"/>
              </w:rPr>
              <w:t xml:space="preserve"> konsultacij</w:t>
            </w:r>
            <w:r w:rsidRPr="00645DFE">
              <w:rPr>
                <w:rFonts w:ascii="Times New Roman" w:hAnsi="Times New Roman" w:cs="Times New Roman"/>
                <w:b/>
                <w:sz w:val="24"/>
                <w:szCs w:val="24"/>
              </w:rPr>
              <w:t>os</w:t>
            </w:r>
            <w:r w:rsidR="000932BA" w:rsidRPr="00645DFE">
              <w:rPr>
                <w:rFonts w:ascii="Times New Roman" w:hAnsi="Times New Roman" w:cs="Times New Roman"/>
                <w:b/>
                <w:sz w:val="24"/>
                <w:szCs w:val="24"/>
              </w:rPr>
              <w:t xml:space="preserve"> metu</w:t>
            </w:r>
            <w:r w:rsidR="00645DFE" w:rsidRPr="00645DFE">
              <w:rPr>
                <w:rFonts w:ascii="Times New Roman" w:hAnsi="Times New Roman" w:cs="Times New Roman"/>
                <w:b/>
                <w:sz w:val="24"/>
                <w:szCs w:val="24"/>
              </w:rPr>
              <w:t>,</w:t>
            </w:r>
            <w:r w:rsidR="000932BA" w:rsidRPr="00645DFE">
              <w:rPr>
                <w:rFonts w:ascii="Times New Roman" w:hAnsi="Times New Roman" w:cs="Times New Roman"/>
                <w:b/>
                <w:sz w:val="24"/>
                <w:szCs w:val="24"/>
              </w:rPr>
              <w:t xml:space="preserve"> siekiama:</w:t>
            </w:r>
          </w:p>
          <w:p w14:paraId="1D7DCE9D" w14:textId="77777777" w:rsidR="000932BA" w:rsidRPr="00645DFE" w:rsidRDefault="00645DFE" w:rsidP="00645DFE">
            <w:pPr>
              <w:pStyle w:val="Sraopastraipa"/>
              <w:numPr>
                <w:ilvl w:val="0"/>
                <w:numId w:val="5"/>
              </w:num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p</w:t>
            </w:r>
            <w:r w:rsidR="000932BA" w:rsidRPr="00645DFE">
              <w:rPr>
                <w:rFonts w:ascii="Times New Roman" w:hAnsi="Times New Roman" w:cs="Times New Roman"/>
                <w:sz w:val="24"/>
                <w:szCs w:val="24"/>
              </w:rPr>
              <w:t>ristatyti planuojamą</w:t>
            </w:r>
            <w:r w:rsidRPr="00645DFE">
              <w:rPr>
                <w:rFonts w:ascii="Times New Roman" w:hAnsi="Times New Roman" w:cs="Times New Roman"/>
                <w:sz w:val="24"/>
                <w:szCs w:val="24"/>
              </w:rPr>
              <w:t xml:space="preserve"> p</w:t>
            </w:r>
            <w:r w:rsidR="000932BA" w:rsidRPr="00645DFE">
              <w:rPr>
                <w:rFonts w:ascii="Times New Roman" w:hAnsi="Times New Roman" w:cs="Times New Roman"/>
                <w:sz w:val="24"/>
                <w:szCs w:val="24"/>
              </w:rPr>
              <w:t>irkimą rinkos dalyviams;</w:t>
            </w:r>
          </w:p>
          <w:p w14:paraId="4C424BE1" w14:textId="77777777" w:rsidR="000932BA" w:rsidRDefault="000932BA" w:rsidP="00713528">
            <w:pPr>
              <w:pStyle w:val="Sraopastraipa"/>
              <w:numPr>
                <w:ilvl w:val="0"/>
                <w:numId w:val="5"/>
              </w:numPr>
              <w:spacing w:after="0" w:line="240" w:lineRule="auto"/>
              <w:jc w:val="both"/>
              <w:rPr>
                <w:rFonts w:ascii="Times New Roman" w:hAnsi="Times New Roman" w:cs="Times New Roman"/>
                <w:sz w:val="24"/>
                <w:szCs w:val="24"/>
              </w:rPr>
            </w:pPr>
            <w:r w:rsidRPr="00645DFE">
              <w:rPr>
                <w:rFonts w:ascii="Times New Roman" w:hAnsi="Times New Roman" w:cs="Times New Roman"/>
                <w:sz w:val="24"/>
                <w:szCs w:val="24"/>
              </w:rPr>
              <w:t xml:space="preserve">gauti rinkos dalyvių konsultacijas bei pasiūlymus dėl </w:t>
            </w:r>
            <w:r w:rsidR="00645DFE" w:rsidRPr="00645DFE">
              <w:rPr>
                <w:rFonts w:ascii="Times New Roman" w:hAnsi="Times New Roman" w:cs="Times New Roman"/>
                <w:sz w:val="24"/>
                <w:szCs w:val="24"/>
              </w:rPr>
              <w:t>p</w:t>
            </w:r>
            <w:r w:rsidR="00713528">
              <w:rPr>
                <w:rFonts w:ascii="Times New Roman" w:hAnsi="Times New Roman" w:cs="Times New Roman"/>
                <w:sz w:val="24"/>
                <w:szCs w:val="24"/>
              </w:rPr>
              <w:t>irkimo techninės specifikacijos</w:t>
            </w:r>
            <w:r w:rsidR="004C028B">
              <w:rPr>
                <w:rFonts w:ascii="Times New Roman" w:hAnsi="Times New Roman" w:cs="Times New Roman"/>
                <w:sz w:val="24"/>
                <w:szCs w:val="24"/>
              </w:rPr>
              <w:t>;</w:t>
            </w:r>
          </w:p>
          <w:p w14:paraId="1D7DCE9E" w14:textId="0FA83F19" w:rsidR="004C028B" w:rsidRPr="00645DFE" w:rsidRDefault="004C028B" w:rsidP="00713528">
            <w:pPr>
              <w:pStyle w:val="Sraopastraip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gauti rinkos dalyvių konsultacijas dėl pirkimui skirto biudžeto.</w:t>
            </w:r>
          </w:p>
        </w:tc>
      </w:tr>
      <w:tr w:rsidR="004C028B" w:rsidRPr="00645DFE" w14:paraId="78714ACA" w14:textId="77777777" w:rsidTr="00883186">
        <w:trPr>
          <w:trHeight w:val="291"/>
        </w:trPr>
        <w:tc>
          <w:tcPr>
            <w:tcW w:w="2080" w:type="dxa"/>
          </w:tcPr>
          <w:p w14:paraId="4BCF90AF" w14:textId="77777777" w:rsidR="004C028B" w:rsidRPr="00645DFE" w:rsidRDefault="004C028B" w:rsidP="00883186">
            <w:pPr>
              <w:spacing w:after="0" w:line="240" w:lineRule="auto"/>
              <w:rPr>
                <w:rFonts w:ascii="Times New Roman" w:hAnsi="Times New Roman" w:cs="Times New Roman"/>
                <w:sz w:val="24"/>
                <w:szCs w:val="24"/>
              </w:rPr>
            </w:pPr>
            <w:r>
              <w:rPr>
                <w:rFonts w:ascii="Times New Roman" w:hAnsi="Times New Roman" w:cs="Times New Roman"/>
                <w:sz w:val="24"/>
                <w:szCs w:val="24"/>
              </w:rPr>
              <w:t>Pirkimo biudžetas</w:t>
            </w:r>
          </w:p>
        </w:tc>
        <w:tc>
          <w:tcPr>
            <w:tcW w:w="7548" w:type="dxa"/>
          </w:tcPr>
          <w:p w14:paraId="74EE63A3" w14:textId="05867566" w:rsidR="004C028B" w:rsidRPr="00691438" w:rsidRDefault="004C028B" w:rsidP="0088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Pirkimui skirtas biudžetas yra 12.100,00 Eur su PVM. Kaip manote, ar toks biudžetas yra pakankamas? </w:t>
            </w:r>
          </w:p>
        </w:tc>
      </w:tr>
      <w:tr w:rsidR="00193B41" w:rsidRPr="00645DFE" w14:paraId="1D7DCEA4" w14:textId="77777777" w:rsidTr="00193B41">
        <w:trPr>
          <w:trHeight w:val="1508"/>
        </w:trPr>
        <w:tc>
          <w:tcPr>
            <w:tcW w:w="2080" w:type="dxa"/>
            <w:vMerge w:val="restart"/>
          </w:tcPr>
          <w:p w14:paraId="1D7DCEA0" w14:textId="77777777" w:rsidR="00193B41" w:rsidRPr="00645DFE" w:rsidRDefault="00193B41"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Perkančiosios organizacijos klausimai tiekėjams</w:t>
            </w:r>
          </w:p>
        </w:tc>
        <w:tc>
          <w:tcPr>
            <w:tcW w:w="7548" w:type="dxa"/>
          </w:tcPr>
          <w:p w14:paraId="1D7DCEA1" w14:textId="1958FA49" w:rsidR="00193B41" w:rsidRPr="00645DFE" w:rsidRDefault="00193B41" w:rsidP="00146893">
            <w:pPr>
              <w:pStyle w:val="Sraopastraipa"/>
              <w:spacing w:after="0" w:line="240" w:lineRule="auto"/>
              <w:ind w:left="34"/>
              <w:jc w:val="both"/>
              <w:rPr>
                <w:rFonts w:ascii="Times New Roman" w:hAnsi="Times New Roman" w:cs="Times New Roman"/>
                <w:b/>
                <w:sz w:val="24"/>
                <w:szCs w:val="24"/>
              </w:rPr>
            </w:pPr>
            <w:r w:rsidRPr="00645DFE">
              <w:rPr>
                <w:rFonts w:ascii="Times New Roman" w:hAnsi="Times New Roman" w:cs="Times New Roman"/>
                <w:b/>
                <w:sz w:val="24"/>
                <w:szCs w:val="24"/>
              </w:rPr>
              <w:t>Dėl techninės specifikacijos:</w:t>
            </w:r>
          </w:p>
          <w:p w14:paraId="1D7DCEA2" w14:textId="465A7A83" w:rsidR="00193B41" w:rsidRPr="00645DFE" w:rsidRDefault="00193B41" w:rsidP="00146893">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645DFE">
              <w:rPr>
                <w:rFonts w:ascii="Times New Roman" w:hAnsi="Times New Roman" w:cs="Times New Roman"/>
                <w:sz w:val="24"/>
                <w:szCs w:val="24"/>
                <w:lang w:eastAsia="lt-LT"/>
              </w:rPr>
              <w:t xml:space="preserve">Ar techninėje specifikacijoje nurodyti reikalavimai ir sąlygos Jums yra priimtinos ir aiškios, ar teiktumėte pasiūlymą dėl šio pirkimo objekto? </w:t>
            </w:r>
          </w:p>
          <w:p w14:paraId="1D7DCEA3" w14:textId="7F9D4888" w:rsidR="00193B41" w:rsidRPr="00645DFE" w:rsidRDefault="00193B41" w:rsidP="00E74CE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Pr="00645DFE">
              <w:rPr>
                <w:rFonts w:ascii="Times New Roman" w:hAnsi="Times New Roman" w:cs="Times New Roman"/>
                <w:sz w:val="24"/>
                <w:szCs w:val="24"/>
                <w:lang w:eastAsia="lt-LT"/>
              </w:rPr>
              <w:t>Ar turite kitų pastabų dėl techninėje specifikacijoje nurodytų reikalavimų? Jeigu taip, prašome nurodyti punktus ir</w:t>
            </w:r>
            <w:r>
              <w:rPr>
                <w:rFonts w:ascii="Times New Roman" w:hAnsi="Times New Roman" w:cs="Times New Roman"/>
                <w:sz w:val="24"/>
                <w:szCs w:val="24"/>
                <w:lang w:eastAsia="lt-LT"/>
              </w:rPr>
              <w:t>/ar</w:t>
            </w:r>
            <w:r w:rsidRPr="00645DFE">
              <w:rPr>
                <w:rFonts w:ascii="Times New Roman" w:hAnsi="Times New Roman" w:cs="Times New Roman"/>
                <w:sz w:val="24"/>
                <w:szCs w:val="24"/>
                <w:lang w:eastAsia="lt-LT"/>
              </w:rPr>
              <w:t xml:space="preserve"> pastabas.</w:t>
            </w:r>
          </w:p>
        </w:tc>
      </w:tr>
      <w:tr w:rsidR="00C40F5E" w:rsidRPr="00645DFE" w14:paraId="1D7DCEAE" w14:textId="77777777" w:rsidTr="00C40F5E">
        <w:trPr>
          <w:trHeight w:val="671"/>
        </w:trPr>
        <w:tc>
          <w:tcPr>
            <w:tcW w:w="2080" w:type="dxa"/>
            <w:vMerge/>
          </w:tcPr>
          <w:p w14:paraId="1D7DCEAA" w14:textId="77777777" w:rsidR="00C40F5E" w:rsidRPr="00645DFE" w:rsidRDefault="00C40F5E" w:rsidP="00146893">
            <w:pPr>
              <w:spacing w:after="0" w:line="240" w:lineRule="auto"/>
              <w:rPr>
                <w:rFonts w:ascii="Times New Roman" w:hAnsi="Times New Roman" w:cs="Times New Roman"/>
                <w:sz w:val="24"/>
                <w:szCs w:val="24"/>
              </w:rPr>
            </w:pPr>
          </w:p>
        </w:tc>
        <w:tc>
          <w:tcPr>
            <w:tcW w:w="7548" w:type="dxa"/>
          </w:tcPr>
          <w:p w14:paraId="1D7DCEAD" w14:textId="2AE7330D" w:rsidR="00C40F5E" w:rsidRPr="00C40F5E" w:rsidRDefault="00C40F5E" w:rsidP="00691438">
            <w:pPr>
              <w:pStyle w:val="Sraopastraipa"/>
              <w:spacing w:after="0" w:line="240" w:lineRule="auto"/>
              <w:ind w:left="34"/>
              <w:jc w:val="both"/>
              <w:rPr>
                <w:rFonts w:ascii="Times New Roman" w:hAnsi="Times New Roman" w:cs="Times New Roman"/>
                <w:b/>
                <w:sz w:val="24"/>
                <w:szCs w:val="24"/>
              </w:rPr>
            </w:pPr>
            <w:r w:rsidRPr="00645DFE">
              <w:rPr>
                <w:rFonts w:ascii="Times New Roman" w:hAnsi="Times New Roman" w:cs="Times New Roman"/>
                <w:b/>
                <w:sz w:val="24"/>
                <w:szCs w:val="24"/>
              </w:rPr>
              <w:t>Kitos pastabos ir pasiūlymai:</w:t>
            </w:r>
            <w:r>
              <w:rPr>
                <w:rFonts w:ascii="Times New Roman" w:hAnsi="Times New Roman" w:cs="Times New Roman"/>
                <w:b/>
                <w:sz w:val="24"/>
                <w:szCs w:val="24"/>
              </w:rPr>
              <w:t xml:space="preserve"> </w:t>
            </w:r>
            <w:r w:rsidRPr="00645DFE">
              <w:rPr>
                <w:rFonts w:ascii="Times New Roman" w:hAnsi="Times New Roman" w:cs="Times New Roman"/>
                <w:sz w:val="24"/>
                <w:szCs w:val="24"/>
              </w:rPr>
              <w:t xml:space="preserve">Jei turite kitų pastabų ir pasiūlymų dėl numatomo </w:t>
            </w:r>
            <w:r>
              <w:rPr>
                <w:rFonts w:ascii="Times New Roman" w:hAnsi="Times New Roman" w:cs="Times New Roman"/>
                <w:sz w:val="24"/>
                <w:szCs w:val="24"/>
              </w:rPr>
              <w:t>paslaugų pirkimo,</w:t>
            </w:r>
            <w:r w:rsidRPr="00645DFE">
              <w:rPr>
                <w:rFonts w:ascii="Times New Roman" w:hAnsi="Times New Roman" w:cs="Times New Roman"/>
                <w:sz w:val="24"/>
                <w:szCs w:val="24"/>
              </w:rPr>
              <w:t xml:space="preserve"> prašome pateikti.</w:t>
            </w:r>
          </w:p>
        </w:tc>
      </w:tr>
      <w:tr w:rsidR="004A2FC0" w:rsidRPr="00645DFE" w14:paraId="1D7DCEB7" w14:textId="77777777" w:rsidTr="00193B41">
        <w:trPr>
          <w:trHeight w:val="291"/>
        </w:trPr>
        <w:tc>
          <w:tcPr>
            <w:tcW w:w="2080" w:type="dxa"/>
          </w:tcPr>
          <w:p w14:paraId="1D7DCEB3" w14:textId="77777777" w:rsidR="004A2FC0" w:rsidRPr="00645DFE" w:rsidRDefault="004A2FC0" w:rsidP="00146893">
            <w:pPr>
              <w:spacing w:after="0" w:line="240" w:lineRule="auto"/>
              <w:rPr>
                <w:rFonts w:ascii="Times New Roman" w:hAnsi="Times New Roman" w:cs="Times New Roman"/>
                <w:sz w:val="24"/>
                <w:szCs w:val="24"/>
              </w:rPr>
            </w:pPr>
            <w:r w:rsidRPr="00645DFE">
              <w:rPr>
                <w:rFonts w:ascii="Times New Roman" w:hAnsi="Times New Roman" w:cs="Times New Roman"/>
                <w:sz w:val="24"/>
                <w:szCs w:val="24"/>
              </w:rPr>
              <w:t>Priedai</w:t>
            </w:r>
          </w:p>
        </w:tc>
        <w:tc>
          <w:tcPr>
            <w:tcW w:w="7548" w:type="dxa"/>
          </w:tcPr>
          <w:p w14:paraId="79FE3216" w14:textId="0DB05875" w:rsidR="00691438" w:rsidRDefault="00D473E7" w:rsidP="00691438">
            <w:pPr>
              <w:spacing w:after="0" w:line="240" w:lineRule="auto"/>
              <w:jc w:val="both"/>
              <w:rPr>
                <w:rFonts w:ascii="Times New Roman" w:hAnsi="Times New Roman" w:cs="Times New Roman"/>
                <w:sz w:val="24"/>
                <w:szCs w:val="24"/>
              </w:rPr>
            </w:pPr>
            <w:r w:rsidRPr="00691438">
              <w:rPr>
                <w:rFonts w:ascii="Times New Roman" w:hAnsi="Times New Roman" w:cs="Times New Roman"/>
                <w:sz w:val="24"/>
                <w:szCs w:val="24"/>
              </w:rPr>
              <w:t>Techninė specifikacija</w:t>
            </w:r>
          </w:p>
          <w:p w14:paraId="1D7DCEB6" w14:textId="30B2FE31" w:rsidR="00146893" w:rsidRPr="005947EF" w:rsidRDefault="00146893" w:rsidP="00193B41">
            <w:pPr>
              <w:spacing w:after="0" w:line="240" w:lineRule="auto"/>
              <w:jc w:val="both"/>
              <w:rPr>
                <w:rFonts w:ascii="Times New Roman" w:hAnsi="Times New Roman" w:cs="Times New Roman"/>
                <w:sz w:val="24"/>
                <w:szCs w:val="24"/>
              </w:rPr>
            </w:pPr>
          </w:p>
        </w:tc>
      </w:tr>
    </w:tbl>
    <w:p w14:paraId="1D7DCEB9" w14:textId="00A8645B" w:rsidR="00E10064" w:rsidRDefault="00E10064" w:rsidP="005947EF">
      <w:pPr>
        <w:jc w:val="center"/>
        <w:rPr>
          <w:i/>
          <w:sz w:val="24"/>
          <w:szCs w:val="24"/>
        </w:rPr>
      </w:pPr>
    </w:p>
    <w:p w14:paraId="571EAF67" w14:textId="77777777" w:rsidR="00E10064" w:rsidRDefault="00E10064">
      <w:pPr>
        <w:spacing w:after="200" w:line="276" w:lineRule="auto"/>
        <w:rPr>
          <w:i/>
          <w:sz w:val="24"/>
          <w:szCs w:val="24"/>
        </w:rPr>
      </w:pPr>
      <w:r>
        <w:rPr>
          <w:i/>
          <w:sz w:val="24"/>
          <w:szCs w:val="24"/>
        </w:rPr>
        <w:br w:type="page"/>
      </w:r>
    </w:p>
    <w:p w14:paraId="211368CE" w14:textId="7FAD5654" w:rsidR="007D14AA" w:rsidRDefault="00E10064" w:rsidP="00E10064">
      <w:pPr>
        <w:ind w:left="6480" w:firstLine="1296"/>
        <w:jc w:val="center"/>
        <w:rPr>
          <w:rFonts w:ascii="Times New Roman" w:hAnsi="Times New Roman" w:cs="Times New Roman"/>
          <w:i/>
          <w:sz w:val="24"/>
          <w:szCs w:val="24"/>
        </w:rPr>
      </w:pPr>
      <w:r w:rsidRPr="00E10064">
        <w:rPr>
          <w:rFonts w:ascii="Times New Roman" w:hAnsi="Times New Roman" w:cs="Times New Roman"/>
          <w:i/>
          <w:sz w:val="24"/>
          <w:szCs w:val="24"/>
        </w:rPr>
        <w:lastRenderedPageBreak/>
        <w:t>Priedas</w:t>
      </w:r>
    </w:p>
    <w:p w14:paraId="5D8527B9" w14:textId="77777777" w:rsidR="00E10064" w:rsidRDefault="00E10064" w:rsidP="00E10064">
      <w:pPr>
        <w:ind w:left="6480" w:firstLine="1296"/>
        <w:jc w:val="center"/>
        <w:rPr>
          <w:rFonts w:ascii="Times New Roman" w:hAnsi="Times New Roman" w:cs="Times New Roman"/>
          <w:i/>
          <w:sz w:val="24"/>
          <w:szCs w:val="24"/>
        </w:rPr>
      </w:pPr>
    </w:p>
    <w:p w14:paraId="47210DA5" w14:textId="77777777" w:rsidR="00E10064" w:rsidRDefault="00E10064" w:rsidP="00E10064">
      <w:pPr>
        <w:spacing w:after="0" w:line="240" w:lineRule="auto"/>
        <w:rPr>
          <w:rFonts w:ascii="Times New Roman" w:hAnsi="Times New Roman" w:cs="Times New Roman"/>
          <w:sz w:val="24"/>
          <w:szCs w:val="24"/>
        </w:rPr>
      </w:pPr>
    </w:p>
    <w:p w14:paraId="5A154D01" w14:textId="77777777" w:rsidR="00E10064" w:rsidRPr="00713BC9" w:rsidRDefault="00E10064" w:rsidP="00E10064">
      <w:pPr>
        <w:spacing w:after="0" w:line="240" w:lineRule="auto"/>
        <w:jc w:val="center"/>
        <w:rPr>
          <w:rFonts w:ascii="Times New Roman" w:eastAsia="Times New Roman" w:hAnsi="Times New Roman" w:cs="Times New Roman"/>
          <w:b/>
          <w:sz w:val="24"/>
          <w:szCs w:val="24"/>
          <w:lang w:eastAsia="lt-LT"/>
        </w:rPr>
      </w:pPr>
      <w:r w:rsidRPr="00671B87">
        <w:rPr>
          <w:rFonts w:ascii="Times New Roman" w:eastAsia="Times New Roman" w:hAnsi="Times New Roman" w:cs="Times New Roman"/>
          <w:b/>
          <w:sz w:val="24"/>
          <w:szCs w:val="24"/>
          <w:lang w:eastAsia="lt-LT"/>
        </w:rPr>
        <w:t>APKLAUS</w:t>
      </w:r>
      <w:r>
        <w:rPr>
          <w:rFonts w:ascii="Times New Roman" w:eastAsia="Times New Roman" w:hAnsi="Times New Roman" w:cs="Times New Roman"/>
          <w:b/>
          <w:sz w:val="24"/>
          <w:szCs w:val="24"/>
          <w:lang w:eastAsia="lt-LT"/>
        </w:rPr>
        <w:t>OS</w:t>
      </w:r>
      <w:r w:rsidRPr="00671B87">
        <w:rPr>
          <w:rFonts w:ascii="Times New Roman" w:eastAsia="Times New Roman" w:hAnsi="Times New Roman" w:cs="Times New Roman"/>
          <w:b/>
          <w:sz w:val="24"/>
          <w:szCs w:val="24"/>
          <w:lang w:eastAsia="lt-LT"/>
        </w:rPr>
        <w:t xml:space="preserve"> "MOKINIŲ ATSISKAITYMO NEGRYNAISIAIS PINIGAIS BENDROJO UGDYMO ĮSTAIGOSE PADIDĖJIMAS"</w:t>
      </w:r>
      <w:r w:rsidRPr="00713BC9">
        <w:rPr>
          <w:rFonts w:ascii="Times New Roman" w:eastAsia="Times New Roman" w:hAnsi="Times New Roman" w:cs="Times New Roman"/>
          <w:b/>
          <w:sz w:val="24"/>
          <w:szCs w:val="24"/>
          <w:lang w:eastAsia="lt-LT"/>
        </w:rPr>
        <w:t xml:space="preserve"> TECHNINĖ SPECIFIKACIJA</w:t>
      </w:r>
    </w:p>
    <w:p w14:paraId="7E3805F0" w14:textId="77777777" w:rsidR="00E10064" w:rsidRDefault="00E10064" w:rsidP="00E10064">
      <w:pPr>
        <w:spacing w:after="0" w:line="240" w:lineRule="auto"/>
        <w:jc w:val="center"/>
        <w:rPr>
          <w:rFonts w:ascii="Times New Roman" w:eastAsia="Times New Roman" w:hAnsi="Times New Roman" w:cs="Times New Roman"/>
          <w:b/>
          <w:sz w:val="24"/>
          <w:szCs w:val="24"/>
          <w:lang w:eastAsia="lt-LT"/>
        </w:rPr>
      </w:pPr>
    </w:p>
    <w:p w14:paraId="4648BB94" w14:textId="77777777" w:rsidR="00E10064" w:rsidRPr="006322C0" w:rsidRDefault="00E10064" w:rsidP="00E10064">
      <w:pPr>
        <w:spacing w:after="0" w:line="240" w:lineRule="auto"/>
        <w:ind w:firstLine="900"/>
        <w:jc w:val="center"/>
        <w:rPr>
          <w:rFonts w:ascii="Times New Roman" w:eastAsia="Times New Roman" w:hAnsi="Times New Roman" w:cs="Times New Roman"/>
          <w:b/>
          <w:sz w:val="24"/>
          <w:szCs w:val="24"/>
          <w:lang w:eastAsia="lt-LT"/>
        </w:rPr>
      </w:pPr>
      <w:r w:rsidRPr="006322C0">
        <w:rPr>
          <w:rFonts w:ascii="Times New Roman" w:eastAsia="Times New Roman" w:hAnsi="Times New Roman" w:cs="Times New Roman"/>
          <w:b/>
          <w:sz w:val="24"/>
          <w:szCs w:val="24"/>
          <w:lang w:eastAsia="lt-LT"/>
        </w:rPr>
        <w:t>I. BENDROSIOS NUOSTATOS</w:t>
      </w:r>
    </w:p>
    <w:p w14:paraId="6F50EC1D" w14:textId="77777777" w:rsidR="00E10064" w:rsidRPr="006322C0" w:rsidRDefault="00E10064" w:rsidP="00E10064">
      <w:pPr>
        <w:spacing w:after="0" w:line="240" w:lineRule="auto"/>
        <w:ind w:firstLine="900"/>
        <w:jc w:val="center"/>
        <w:rPr>
          <w:rFonts w:ascii="Times New Roman" w:eastAsia="Times New Roman" w:hAnsi="Times New Roman" w:cs="Times New Roman"/>
          <w:sz w:val="16"/>
          <w:szCs w:val="16"/>
          <w:lang w:eastAsia="lt-LT"/>
        </w:rPr>
      </w:pPr>
    </w:p>
    <w:p w14:paraId="0E7EFC17" w14:textId="77777777" w:rsidR="00E10064" w:rsidRPr="00947C9F" w:rsidRDefault="00E10064" w:rsidP="00E10064">
      <w:pPr>
        <w:pStyle w:val="Sraopastraipa"/>
        <w:numPr>
          <w:ilvl w:val="0"/>
          <w:numId w:val="6"/>
        </w:numPr>
        <w:spacing w:after="0" w:line="240" w:lineRule="auto"/>
        <w:ind w:left="0" w:firstLine="360"/>
        <w:jc w:val="both"/>
        <w:rPr>
          <w:rFonts w:ascii="Times New Roman" w:eastAsia="Times New Roman" w:hAnsi="Times New Roman" w:cs="Times New Roman"/>
          <w:sz w:val="24"/>
          <w:szCs w:val="24"/>
          <w:lang w:eastAsia="lt-LT"/>
        </w:rPr>
      </w:pPr>
      <w:r w:rsidRPr="00947C9F">
        <w:rPr>
          <w:rFonts w:ascii="Times New Roman" w:eastAsia="Times New Roman" w:hAnsi="Times New Roman" w:cs="Times New Roman"/>
          <w:sz w:val="24"/>
          <w:szCs w:val="24"/>
          <w:lang w:eastAsia="lt-LT"/>
        </w:rPr>
        <w:t xml:space="preserve">2024 m. spalio 31 d. baigtas įgyvendinti Finansų ministerijos projektų portfelio projektas „Atviros ekosistemos atsiskaitymams negrynaisiais pinigais bendrojo ugdymo įstaigų valgyklose kūrimas“ (toliau – Projektas), skirtas atviros ekosistemos atsiskaitymams negrynaisiais pinigais bendrojo ugdymo įstaigose kūrimui. Projektą nuo 2023 m. balandžio 27 d. vykdė projekto vykdytojas </w:t>
      </w:r>
      <w:proofErr w:type="gramStart"/>
      <w:r w:rsidRPr="00947C9F">
        <w:rPr>
          <w:rFonts w:ascii="Times New Roman" w:eastAsia="Times New Roman" w:hAnsi="Times New Roman" w:cs="Times New Roman"/>
          <w:sz w:val="24"/>
          <w:szCs w:val="24"/>
          <w:lang w:eastAsia="lt-LT"/>
        </w:rPr>
        <w:t>-</w:t>
      </w:r>
      <w:proofErr w:type="gramEnd"/>
      <w:r w:rsidRPr="00947C9F">
        <w:rPr>
          <w:rFonts w:ascii="Times New Roman" w:eastAsia="Times New Roman" w:hAnsi="Times New Roman" w:cs="Times New Roman"/>
          <w:sz w:val="24"/>
          <w:szCs w:val="24"/>
          <w:lang w:eastAsia="lt-LT"/>
        </w:rPr>
        <w:t xml:space="preserve"> Europos socialinio fondo agentūra (toliau – ESFA) kartu su partneriais: savivaldybėmis ir bendrojo ugdymo įstaigomis. Projektu buvo siekiama pradedant jau nuo mokyklinio amžiaus skatinti finansinės elgsenos, kai atsiskaitymams naudojami negrynieji pinigai, kaitą, taip prisidedant prie praktinių mokinių finansinio raštingumo įgūdžių formavimo.  Projektas buvo įgyvendinamas valstybės planavimo būdu ir jam buvo skirtas Ekonomikos gaivinimo ir atsparumo didinimo priemonės ir valstybės biudžeto lėšų finansavimas. Projekto metu buvo remiamos dvi pagrindinės veiklos: atsiskaitymo negrynaisiais pinigais infrastruktūros diegimas ir (arba) atnaujinimas bendrojo ugdymo įstaigose bei mokinių aprūpinimas elektroniniais mokinio pažymėjimais su mokėjimo funkcija. </w:t>
      </w:r>
    </w:p>
    <w:p w14:paraId="3899B308" w14:textId="77777777" w:rsidR="00E10064" w:rsidRDefault="00E10064" w:rsidP="00E10064">
      <w:pPr>
        <w:pStyle w:val="Sraopastraipa"/>
        <w:numPr>
          <w:ilvl w:val="0"/>
          <w:numId w:val="6"/>
        </w:numPr>
        <w:spacing w:after="0" w:line="240" w:lineRule="auto"/>
        <w:ind w:left="0" w:firstLine="360"/>
        <w:jc w:val="both"/>
        <w:rPr>
          <w:rFonts w:ascii="Times New Roman" w:eastAsia="Times New Roman" w:hAnsi="Times New Roman" w:cs="Times New Roman"/>
          <w:sz w:val="24"/>
          <w:szCs w:val="24"/>
          <w:lang w:eastAsia="lt-LT"/>
        </w:rPr>
      </w:pPr>
      <w:r w:rsidRPr="00947C9F">
        <w:rPr>
          <w:rFonts w:ascii="Times New Roman" w:eastAsia="Times New Roman" w:hAnsi="Times New Roman" w:cs="Times New Roman"/>
          <w:sz w:val="24"/>
          <w:szCs w:val="24"/>
          <w:lang w:eastAsia="lt-LT"/>
        </w:rPr>
        <w:t>Įgyvendinus Projektą daugiau nei 240 bendrojo ugdymo įstaigų savo valgyklose įsidiegė modernią kasos įrangą, savitarnos terminalus ar juos atsinaujino, o per projekto finansavimo laikotarpį elektroniniai mokinio pažymėjimai su mokėjimo funkcija buvo išduoti arba pakeisti daugiau kaip 100 000 unikalių mokinių.</w:t>
      </w:r>
    </w:p>
    <w:p w14:paraId="7B7607FA" w14:textId="77777777" w:rsidR="00E10064" w:rsidRPr="00947C9F" w:rsidRDefault="00E10064" w:rsidP="00E10064">
      <w:pPr>
        <w:pStyle w:val="Sraopastraipa"/>
        <w:numPr>
          <w:ilvl w:val="0"/>
          <w:numId w:val="6"/>
        </w:numPr>
        <w:spacing w:after="0" w:line="240" w:lineRule="auto"/>
        <w:ind w:left="0" w:firstLine="360"/>
        <w:jc w:val="both"/>
        <w:rPr>
          <w:rFonts w:ascii="Times New Roman" w:eastAsia="Times New Roman" w:hAnsi="Times New Roman" w:cs="Times New Roman"/>
          <w:sz w:val="24"/>
          <w:szCs w:val="24"/>
          <w:lang w:eastAsia="lt-LT"/>
        </w:rPr>
      </w:pPr>
      <w:r w:rsidRPr="00947C9F">
        <w:rPr>
          <w:rFonts w:ascii="Times New Roman" w:eastAsia="Times New Roman" w:hAnsi="Times New Roman" w:cs="Times New Roman"/>
          <w:sz w:val="24"/>
          <w:szCs w:val="24"/>
        </w:rPr>
        <w:t xml:space="preserve">Daugiau informacijos apie Projektą galite rasti ESFA interneto svetainėje </w:t>
      </w:r>
      <w:hyperlink r:id="rId6" w:history="1">
        <w:r w:rsidRPr="00947C9F">
          <w:rPr>
            <w:rStyle w:val="Hipersaitas"/>
            <w:rFonts w:ascii="Times New Roman" w:hAnsi="Times New Roman" w:cs="Times New Roman"/>
            <w:sz w:val="24"/>
            <w:szCs w:val="24"/>
          </w:rPr>
          <w:t>https://www.esf.lt/projektai/atsiskaitymas-negrynaisiais-mokyklu-valgyklose/</w:t>
        </w:r>
      </w:hyperlink>
      <w:r>
        <w:t xml:space="preserve"> </w:t>
      </w:r>
    </w:p>
    <w:p w14:paraId="7A1D0C5C" w14:textId="77777777" w:rsidR="00E10064" w:rsidRPr="006322C0" w:rsidRDefault="00E10064" w:rsidP="00E10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tLeast"/>
        <w:ind w:firstLine="720"/>
        <w:jc w:val="both"/>
        <w:rPr>
          <w:rFonts w:ascii="Times New Roman" w:eastAsia="Times New Roman" w:hAnsi="Times New Roman" w:cs="Times New Roman"/>
          <w:sz w:val="24"/>
          <w:szCs w:val="24"/>
        </w:rPr>
      </w:pPr>
    </w:p>
    <w:p w14:paraId="47702014" w14:textId="77777777" w:rsidR="00E10064" w:rsidRPr="006322C0" w:rsidRDefault="00E10064" w:rsidP="00E10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4"/>
          <w:szCs w:val="24"/>
          <w:lang w:eastAsia="lt-LT"/>
        </w:rPr>
      </w:pPr>
      <w:r w:rsidRPr="006322C0">
        <w:rPr>
          <w:rFonts w:ascii="Times New Roman" w:eastAsia="Times New Roman" w:hAnsi="Times New Roman" w:cs="Times New Roman"/>
          <w:b/>
          <w:sz w:val="24"/>
          <w:szCs w:val="24"/>
          <w:lang w:eastAsia="lt-LT"/>
        </w:rPr>
        <w:t xml:space="preserve">II. REIKALAVIMAI </w:t>
      </w:r>
      <w:r>
        <w:rPr>
          <w:rFonts w:ascii="Times New Roman" w:eastAsia="Times New Roman" w:hAnsi="Times New Roman" w:cs="Times New Roman"/>
          <w:b/>
          <w:sz w:val="24"/>
          <w:szCs w:val="24"/>
          <w:lang w:eastAsia="lt-LT"/>
        </w:rPr>
        <w:t>APKLAUSAI IR JOS REZULTATAMS</w:t>
      </w:r>
    </w:p>
    <w:p w14:paraId="338B8671" w14:textId="77777777" w:rsidR="00E10064" w:rsidRPr="006322C0" w:rsidRDefault="00E10064" w:rsidP="00E10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16"/>
          <w:szCs w:val="16"/>
          <w:lang w:eastAsia="lt-LT"/>
        </w:rPr>
      </w:pPr>
      <w:r w:rsidRPr="006322C0">
        <w:rPr>
          <w:rFonts w:ascii="Times New Roman" w:eastAsia="Times New Roman" w:hAnsi="Times New Roman" w:cs="Times New Roman"/>
          <w:b/>
          <w:sz w:val="24"/>
          <w:szCs w:val="24"/>
          <w:lang w:eastAsia="lt-LT"/>
        </w:rPr>
        <w:tab/>
      </w:r>
    </w:p>
    <w:p w14:paraId="0AB17B77" w14:textId="77777777" w:rsidR="00E10064" w:rsidRDefault="00E10064" w:rsidP="00E10064">
      <w:pPr>
        <w:pStyle w:val="Sraopastraipa"/>
        <w:numPr>
          <w:ilvl w:val="0"/>
          <w:numId w:val="6"/>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Apklausos tikslas </w:t>
      </w:r>
      <w:proofErr w:type="gramStart"/>
      <w:r>
        <w:rPr>
          <w:rFonts w:ascii="Times New Roman" w:eastAsia="Times New Roman" w:hAnsi="Times New Roman" w:cs="Times New Roman"/>
          <w:sz w:val="24"/>
          <w:szCs w:val="24"/>
          <w:lang w:eastAsia="lt-LT"/>
        </w:rPr>
        <w:t>-</w:t>
      </w:r>
      <w:proofErr w:type="gramEnd"/>
      <w:r>
        <w:rPr>
          <w:rFonts w:ascii="Times New Roman" w:eastAsia="Times New Roman" w:hAnsi="Times New Roman" w:cs="Times New Roman"/>
          <w:sz w:val="24"/>
          <w:szCs w:val="24"/>
          <w:lang w:eastAsia="lt-LT"/>
        </w:rPr>
        <w:t xml:space="preserve"> </w:t>
      </w:r>
      <w:r w:rsidRPr="00934551">
        <w:rPr>
          <w:rFonts w:ascii="Times New Roman" w:eastAsia="Times New Roman" w:hAnsi="Times New Roman" w:cs="Times New Roman"/>
          <w:sz w:val="24"/>
          <w:szCs w:val="24"/>
          <w:lang w:eastAsia="lt-LT"/>
        </w:rPr>
        <w:t>nustatyti, kokia yra mokinių dalis</w:t>
      </w:r>
      <w:r>
        <w:rPr>
          <w:rFonts w:ascii="Times New Roman" w:eastAsia="Times New Roman" w:hAnsi="Times New Roman" w:cs="Times New Roman"/>
          <w:sz w:val="24"/>
          <w:szCs w:val="24"/>
          <w:lang w:eastAsia="lt-LT"/>
        </w:rPr>
        <w:t xml:space="preserve"> (proc.)</w:t>
      </w:r>
      <w:r w:rsidRPr="00934551">
        <w:rPr>
          <w:rFonts w:ascii="Times New Roman" w:eastAsia="Times New Roman" w:hAnsi="Times New Roman" w:cs="Times New Roman"/>
          <w:sz w:val="24"/>
          <w:szCs w:val="24"/>
          <w:lang w:eastAsia="lt-LT"/>
        </w:rPr>
        <w:t xml:space="preserve">, kurie bent kartą per savaitę </w:t>
      </w:r>
      <w:r>
        <w:rPr>
          <w:rFonts w:ascii="Times New Roman" w:eastAsia="Times New Roman" w:hAnsi="Times New Roman" w:cs="Times New Roman"/>
          <w:sz w:val="24"/>
          <w:szCs w:val="24"/>
          <w:lang w:eastAsia="lt-LT"/>
        </w:rPr>
        <w:t>bendrojo ugdymo įstaigose</w:t>
      </w:r>
      <w:r w:rsidRPr="00934551">
        <w:rPr>
          <w:rFonts w:ascii="Times New Roman" w:eastAsia="Times New Roman" w:hAnsi="Times New Roman" w:cs="Times New Roman"/>
          <w:sz w:val="24"/>
          <w:szCs w:val="24"/>
          <w:lang w:eastAsia="lt-LT"/>
        </w:rPr>
        <w:t xml:space="preserve"> atsiskaito negrynaisiais pinigais. </w:t>
      </w:r>
      <w:r w:rsidRPr="003E5AEF">
        <w:rPr>
          <w:rFonts w:ascii="Times New Roman" w:eastAsia="Times New Roman" w:hAnsi="Times New Roman" w:cs="Times New Roman"/>
          <w:sz w:val="24"/>
          <w:szCs w:val="24"/>
          <w:lang w:eastAsia="lt-LT"/>
        </w:rPr>
        <w:t>Siekiama reikšmė – 40 proc.</w:t>
      </w:r>
      <w:r>
        <w:rPr>
          <w:rFonts w:ascii="Times New Roman" w:eastAsia="Times New Roman" w:hAnsi="Times New Roman" w:cs="Times New Roman"/>
          <w:sz w:val="24"/>
          <w:szCs w:val="24"/>
          <w:lang w:eastAsia="lt-LT"/>
        </w:rPr>
        <w:t xml:space="preserve"> Nustatant siekiamą reikšmę, turi būti galima identifikuoti ir tų klasių mokinių atsakymus, kuriems yra tiekiamas nemokamas maitinimas, t.y. nėra mokama už maitinimą.</w:t>
      </w:r>
    </w:p>
    <w:p w14:paraId="55DA329C" w14:textId="77777777" w:rsidR="00E10064" w:rsidRDefault="00E10064" w:rsidP="00E10064">
      <w:pPr>
        <w:pStyle w:val="Sraopastraipa"/>
        <w:numPr>
          <w:ilvl w:val="0"/>
          <w:numId w:val="6"/>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Apklausos tikslinė grupė </w:t>
      </w:r>
      <w:proofErr w:type="gramStart"/>
      <w:r>
        <w:rPr>
          <w:rFonts w:ascii="Times New Roman" w:eastAsia="Times New Roman" w:hAnsi="Times New Roman" w:cs="Times New Roman"/>
          <w:sz w:val="24"/>
          <w:szCs w:val="24"/>
          <w:lang w:eastAsia="lt-LT"/>
        </w:rPr>
        <w:t>-</w:t>
      </w:r>
      <w:proofErr w:type="gramEnd"/>
      <w:r>
        <w:rPr>
          <w:rFonts w:ascii="Times New Roman" w:eastAsia="Times New Roman" w:hAnsi="Times New Roman" w:cs="Times New Roman"/>
          <w:sz w:val="24"/>
          <w:szCs w:val="24"/>
          <w:lang w:eastAsia="lt-LT"/>
        </w:rPr>
        <w:t xml:space="preserve"> Projekte dalyvavusių bendrojo ugdymo įstaigų 1-12 klasių moksleiviai. </w:t>
      </w:r>
    </w:p>
    <w:p w14:paraId="2ED47539" w14:textId="77777777" w:rsidR="00E10064" w:rsidRDefault="00E10064" w:rsidP="00E10064">
      <w:pPr>
        <w:pStyle w:val="Sraopastraipa"/>
        <w:numPr>
          <w:ilvl w:val="0"/>
          <w:numId w:val="6"/>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Apklausos vykdymo metodas ir parengtas apklausos klausimynas turi būti suderinti su </w:t>
      </w:r>
      <w:r w:rsidRPr="00DB1196">
        <w:rPr>
          <w:rFonts w:ascii="Times New Roman" w:eastAsia="Times New Roman" w:hAnsi="Times New Roman" w:cs="Times New Roman"/>
          <w:sz w:val="24"/>
          <w:szCs w:val="24"/>
          <w:lang w:eastAsia="lt-LT"/>
        </w:rPr>
        <w:t>Lietuvos Respublikos finansų ministerija</w:t>
      </w:r>
      <w:r>
        <w:rPr>
          <w:rFonts w:ascii="Times New Roman" w:eastAsia="Times New Roman" w:hAnsi="Times New Roman" w:cs="Times New Roman"/>
          <w:sz w:val="24"/>
          <w:szCs w:val="24"/>
          <w:lang w:eastAsia="lt-LT"/>
        </w:rPr>
        <w:t xml:space="preserve"> el. paštu iki apklausos vykdymo pradžios.</w:t>
      </w:r>
    </w:p>
    <w:p w14:paraId="27A1CA6C" w14:textId="77777777" w:rsidR="00E10064" w:rsidRDefault="00E10064" w:rsidP="00E10064">
      <w:pPr>
        <w:pStyle w:val="Sraopastraipa"/>
        <w:numPr>
          <w:ilvl w:val="0"/>
          <w:numId w:val="6"/>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Apklausa turi būti atlikta mokslo metų laikotarpiu.</w:t>
      </w:r>
    </w:p>
    <w:p w14:paraId="04DF6C5A" w14:textId="77777777" w:rsidR="00E10064" w:rsidRDefault="00E10064" w:rsidP="00E10064">
      <w:pPr>
        <w:pStyle w:val="Sraopastraipa"/>
        <w:numPr>
          <w:ilvl w:val="0"/>
          <w:numId w:val="6"/>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eastAsia="lt-LT"/>
        </w:rPr>
      </w:pPr>
      <w:r w:rsidRPr="00DB1196">
        <w:rPr>
          <w:rFonts w:ascii="Times New Roman" w:eastAsia="Times New Roman" w:hAnsi="Times New Roman" w:cs="Times New Roman"/>
          <w:sz w:val="24"/>
          <w:szCs w:val="24"/>
          <w:lang w:eastAsia="lt-LT"/>
        </w:rPr>
        <w:t>Apklausa turi būti atlikta</w:t>
      </w:r>
      <w:r>
        <w:rPr>
          <w:rFonts w:ascii="Times New Roman" w:eastAsia="Times New Roman" w:hAnsi="Times New Roman" w:cs="Times New Roman"/>
          <w:sz w:val="24"/>
          <w:szCs w:val="24"/>
          <w:lang w:eastAsia="lt-LT"/>
        </w:rPr>
        <w:t xml:space="preserve">, rezultatai išanalizuoti </w:t>
      </w:r>
      <w:r w:rsidRPr="00DB1196">
        <w:rPr>
          <w:rFonts w:ascii="Times New Roman" w:eastAsia="Times New Roman" w:hAnsi="Times New Roman" w:cs="Times New Roman"/>
          <w:sz w:val="24"/>
          <w:szCs w:val="24"/>
          <w:lang w:eastAsia="lt-LT"/>
        </w:rPr>
        <w:t xml:space="preserve">ir </w:t>
      </w:r>
      <w:r>
        <w:rPr>
          <w:rFonts w:ascii="Times New Roman" w:eastAsia="Times New Roman" w:hAnsi="Times New Roman" w:cs="Times New Roman"/>
          <w:sz w:val="24"/>
          <w:szCs w:val="24"/>
          <w:lang w:eastAsia="lt-LT"/>
        </w:rPr>
        <w:t xml:space="preserve">su </w:t>
      </w:r>
      <w:r w:rsidRPr="00CB6D93">
        <w:rPr>
          <w:rFonts w:ascii="Times New Roman" w:eastAsia="Times New Roman" w:hAnsi="Times New Roman" w:cs="Times New Roman"/>
          <w:sz w:val="24"/>
          <w:szCs w:val="24"/>
          <w:lang w:eastAsia="lt-LT"/>
        </w:rPr>
        <w:t>Lietuvos Respublikos finansų ministerija</w:t>
      </w:r>
      <w:r>
        <w:rPr>
          <w:rFonts w:ascii="Times New Roman" w:eastAsia="Times New Roman" w:hAnsi="Times New Roman" w:cs="Times New Roman"/>
          <w:sz w:val="24"/>
          <w:szCs w:val="24"/>
          <w:lang w:eastAsia="lt-LT"/>
        </w:rPr>
        <w:t xml:space="preserve"> suderinta </w:t>
      </w:r>
      <w:r w:rsidRPr="00DB1196">
        <w:rPr>
          <w:rFonts w:ascii="Times New Roman" w:eastAsia="Times New Roman" w:hAnsi="Times New Roman" w:cs="Times New Roman"/>
          <w:sz w:val="24"/>
          <w:szCs w:val="24"/>
          <w:lang w:eastAsia="lt-LT"/>
        </w:rPr>
        <w:t xml:space="preserve">apklausos rezultatų suvestinė ataskaita turi būti pateikta Lietuvos Respublikos finansų ministerijai </w:t>
      </w:r>
      <w:r w:rsidRPr="00044F68">
        <w:rPr>
          <w:rFonts w:ascii="Times New Roman" w:eastAsia="Times New Roman" w:hAnsi="Times New Roman" w:cs="Times New Roman"/>
          <w:b/>
          <w:bCs/>
          <w:sz w:val="24"/>
          <w:szCs w:val="24"/>
          <w:lang w:eastAsia="lt-LT"/>
        </w:rPr>
        <w:t>iki 2025 m. spalio 31 d.</w:t>
      </w:r>
      <w:r>
        <w:rPr>
          <w:rFonts w:ascii="Times New Roman" w:eastAsia="Times New Roman" w:hAnsi="Times New Roman" w:cs="Times New Roman"/>
          <w:sz w:val="24"/>
          <w:szCs w:val="24"/>
          <w:lang w:eastAsia="lt-LT"/>
        </w:rPr>
        <w:t xml:space="preserve"> </w:t>
      </w:r>
    </w:p>
    <w:p w14:paraId="0A4C6761" w14:textId="77777777" w:rsidR="00E10064" w:rsidRDefault="00E10064" w:rsidP="00E10064">
      <w:pPr>
        <w:pStyle w:val="Sraopastraipa"/>
        <w:numPr>
          <w:ilvl w:val="0"/>
          <w:numId w:val="6"/>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Apklausos </w:t>
      </w:r>
      <w:r w:rsidRPr="00FB52FC">
        <w:rPr>
          <w:rFonts w:ascii="Times New Roman" w:eastAsia="Times New Roman" w:hAnsi="Times New Roman" w:cs="Times New Roman"/>
          <w:sz w:val="24"/>
          <w:szCs w:val="24"/>
          <w:lang w:eastAsia="lt-LT"/>
        </w:rPr>
        <w:t>rezultatų suvestinė</w:t>
      </w:r>
      <w:r>
        <w:rPr>
          <w:rFonts w:ascii="Times New Roman" w:eastAsia="Times New Roman" w:hAnsi="Times New Roman" w:cs="Times New Roman"/>
          <w:sz w:val="24"/>
          <w:szCs w:val="24"/>
          <w:lang w:eastAsia="lt-LT"/>
        </w:rPr>
        <w:t>je</w:t>
      </w:r>
      <w:r w:rsidRPr="00FB52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ataskaitoje apklausos rezultatai turi būti pateikti įvairiais pjūviais: pagal bendrojo ugdymo įstaigas, klases, mokėjimo priemonę (grynieji / elektroninio mokinio pažymėjimas / banko kortelė) ir pan., naudojant grafinį duomenų atvaizdavimą ir pateikiant aprašomąją dalį. </w:t>
      </w:r>
    </w:p>
    <w:p w14:paraId="3026ADEF" w14:textId="77777777" w:rsidR="00E10064" w:rsidRPr="006322C0" w:rsidRDefault="00E10064" w:rsidP="00E100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w:t>
      </w:r>
    </w:p>
    <w:p w14:paraId="56EB7E6B" w14:textId="77777777" w:rsidR="00E10064" w:rsidRPr="00713BC9" w:rsidRDefault="00E10064" w:rsidP="00E10064">
      <w:pPr>
        <w:tabs>
          <w:tab w:val="num" w:pos="0"/>
        </w:tabs>
        <w:spacing w:after="0" w:line="288" w:lineRule="auto"/>
        <w:jc w:val="both"/>
        <w:rPr>
          <w:rFonts w:ascii="Times New Roman" w:eastAsia="Times New Roman" w:hAnsi="Times New Roman" w:cs="Times New Roman"/>
          <w:sz w:val="24"/>
          <w:szCs w:val="24"/>
          <w:lang w:eastAsia="lt-LT"/>
        </w:rPr>
      </w:pPr>
      <w:r w:rsidRPr="00713BC9">
        <w:rPr>
          <w:rFonts w:ascii="Times New Roman" w:eastAsia="Times New Roman" w:hAnsi="Times New Roman" w:cs="Times New Roman"/>
          <w:sz w:val="24"/>
          <w:szCs w:val="24"/>
          <w:lang w:eastAsia="lt-LT"/>
        </w:rPr>
        <w:tab/>
      </w:r>
    </w:p>
    <w:p w14:paraId="5475D2B3" w14:textId="77777777" w:rsidR="00E10064" w:rsidRPr="00E10064" w:rsidRDefault="00E10064" w:rsidP="00E10064">
      <w:pPr>
        <w:ind w:left="6480" w:firstLine="1296"/>
        <w:jc w:val="center"/>
        <w:rPr>
          <w:rFonts w:ascii="Times New Roman" w:hAnsi="Times New Roman" w:cs="Times New Roman"/>
          <w:i/>
          <w:sz w:val="24"/>
          <w:szCs w:val="24"/>
        </w:rPr>
      </w:pPr>
    </w:p>
    <w:sectPr w:rsidR="00E10064" w:rsidRPr="00E10064" w:rsidSect="00AF4C9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0CD"/>
    <w:multiLevelType w:val="hybridMultilevel"/>
    <w:tmpl w:val="085E3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219A8"/>
    <w:multiLevelType w:val="hybridMultilevel"/>
    <w:tmpl w:val="F7C4A8F0"/>
    <w:lvl w:ilvl="0" w:tplc="1AA0CB2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7E951E4"/>
    <w:multiLevelType w:val="hybridMultilevel"/>
    <w:tmpl w:val="419A262A"/>
    <w:lvl w:ilvl="0" w:tplc="9ECECB92">
      <w:start w:val="4"/>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 w15:restartNumberingAfterBreak="0">
    <w:nsid w:val="42D64652"/>
    <w:multiLevelType w:val="hybridMultilevel"/>
    <w:tmpl w:val="9B86E1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6A5C33"/>
    <w:multiLevelType w:val="hybridMultilevel"/>
    <w:tmpl w:val="A670B05A"/>
    <w:lvl w:ilvl="0" w:tplc="C29C508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C255916"/>
    <w:multiLevelType w:val="hybridMultilevel"/>
    <w:tmpl w:val="A3207FF0"/>
    <w:lvl w:ilvl="0" w:tplc="DA1E667A">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16cid:durableId="1041907462">
    <w:abstractNumId w:val="0"/>
  </w:num>
  <w:num w:numId="2" w16cid:durableId="1074358400">
    <w:abstractNumId w:val="1"/>
  </w:num>
  <w:num w:numId="3" w16cid:durableId="974674826">
    <w:abstractNumId w:val="4"/>
  </w:num>
  <w:num w:numId="4" w16cid:durableId="458382232">
    <w:abstractNumId w:val="5"/>
  </w:num>
  <w:num w:numId="5" w16cid:durableId="1799715001">
    <w:abstractNumId w:val="2"/>
  </w:num>
  <w:num w:numId="6" w16cid:durableId="1967273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2C"/>
    <w:rsid w:val="00011B2F"/>
    <w:rsid w:val="00013AC9"/>
    <w:rsid w:val="0002448F"/>
    <w:rsid w:val="00076C4D"/>
    <w:rsid w:val="000932BA"/>
    <w:rsid w:val="000D2E73"/>
    <w:rsid w:val="00115465"/>
    <w:rsid w:val="00146893"/>
    <w:rsid w:val="001509E9"/>
    <w:rsid w:val="00193B41"/>
    <w:rsid w:val="00193E73"/>
    <w:rsid w:val="002C6CC9"/>
    <w:rsid w:val="002D190F"/>
    <w:rsid w:val="00387897"/>
    <w:rsid w:val="004150E0"/>
    <w:rsid w:val="0042109F"/>
    <w:rsid w:val="00485E67"/>
    <w:rsid w:val="0049345E"/>
    <w:rsid w:val="004A2FC0"/>
    <w:rsid w:val="004C028B"/>
    <w:rsid w:val="004E56AD"/>
    <w:rsid w:val="00530F98"/>
    <w:rsid w:val="005439CF"/>
    <w:rsid w:val="00545011"/>
    <w:rsid w:val="00553458"/>
    <w:rsid w:val="005947EF"/>
    <w:rsid w:val="005B5845"/>
    <w:rsid w:val="00625EEF"/>
    <w:rsid w:val="00626EFF"/>
    <w:rsid w:val="00645DFE"/>
    <w:rsid w:val="00646BFE"/>
    <w:rsid w:val="00680160"/>
    <w:rsid w:val="00691438"/>
    <w:rsid w:val="006C6DC4"/>
    <w:rsid w:val="0070718F"/>
    <w:rsid w:val="00713528"/>
    <w:rsid w:val="007227D1"/>
    <w:rsid w:val="00754434"/>
    <w:rsid w:val="00781598"/>
    <w:rsid w:val="007D14AA"/>
    <w:rsid w:val="007F5156"/>
    <w:rsid w:val="007F6E6E"/>
    <w:rsid w:val="008037E1"/>
    <w:rsid w:val="00813EAD"/>
    <w:rsid w:val="008479F4"/>
    <w:rsid w:val="0086343B"/>
    <w:rsid w:val="00891CFD"/>
    <w:rsid w:val="00954DA7"/>
    <w:rsid w:val="009860EF"/>
    <w:rsid w:val="009A543E"/>
    <w:rsid w:val="009C3A24"/>
    <w:rsid w:val="00A0697F"/>
    <w:rsid w:val="00AB32BF"/>
    <w:rsid w:val="00AD4671"/>
    <w:rsid w:val="00AE6038"/>
    <w:rsid w:val="00AF1B30"/>
    <w:rsid w:val="00AF4C9F"/>
    <w:rsid w:val="00AF7F81"/>
    <w:rsid w:val="00B2479D"/>
    <w:rsid w:val="00BF1ADB"/>
    <w:rsid w:val="00C40F5E"/>
    <w:rsid w:val="00CA7B4E"/>
    <w:rsid w:val="00D20DE9"/>
    <w:rsid w:val="00D33F90"/>
    <w:rsid w:val="00D473E7"/>
    <w:rsid w:val="00D93423"/>
    <w:rsid w:val="00DE3C9D"/>
    <w:rsid w:val="00DE6B2C"/>
    <w:rsid w:val="00E10064"/>
    <w:rsid w:val="00E432CE"/>
    <w:rsid w:val="00E74CEE"/>
    <w:rsid w:val="00F145AC"/>
    <w:rsid w:val="00F3420E"/>
    <w:rsid w:val="00F46029"/>
    <w:rsid w:val="00F63F13"/>
    <w:rsid w:val="00F80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CE83"/>
  <w15:docId w15:val="{958E51B7-0AF1-4F8C-8770-176FDD8F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02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7227D1"/>
    <w:pPr>
      <w:ind w:left="720"/>
      <w:contextualSpacing/>
    </w:pPr>
  </w:style>
  <w:style w:type="table" w:styleId="Lentelstinklelis">
    <w:name w:val="Table Grid"/>
    <w:basedOn w:val="prastojilentel"/>
    <w:uiPriority w:val="59"/>
    <w:rsid w:val="007D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543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543E"/>
    <w:rPr>
      <w:rFonts w:ascii="Tahoma" w:hAnsi="Tahoma" w:cs="Tahoma"/>
      <w:sz w:val="16"/>
      <w:szCs w:val="16"/>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0932BA"/>
  </w:style>
  <w:style w:type="character" w:styleId="Hipersaitas">
    <w:name w:val="Hyperlink"/>
    <w:basedOn w:val="Numatytasispastraiposriftas"/>
    <w:uiPriority w:val="99"/>
    <w:unhideWhenUsed/>
    <w:rsid w:val="000932BA"/>
    <w:rPr>
      <w:color w:val="0000FF" w:themeColor="hyperlink"/>
      <w:u w:val="single"/>
    </w:rPr>
  </w:style>
  <w:style w:type="paragraph" w:customStyle="1" w:styleId="paragraph">
    <w:name w:val="paragraph"/>
    <w:basedOn w:val="prastasis"/>
    <w:rsid w:val="0075443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5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f.lt/projektai/atsiskaitymas-negrynaisiais-mokyklu-valgyklo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264AC-16D1-44C4-8880-388498E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2870</Words>
  <Characters>1636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Kasperavičienė</dc:creator>
  <cp:lastModifiedBy>Edita Stankevičienė</cp:lastModifiedBy>
  <cp:revision>4</cp:revision>
  <cp:lastPrinted>2022-04-25T08:36:00Z</cp:lastPrinted>
  <dcterms:created xsi:type="dcterms:W3CDTF">2025-06-13T06:42:00Z</dcterms:created>
  <dcterms:modified xsi:type="dcterms:W3CDTF">2025-06-13T07:50:00Z</dcterms:modified>
</cp:coreProperties>
</file>