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lineRule="auto" w:line="360" w:before="0" w:after="200"/>
        <w:ind w:firstLine="360"/>
        <w:jc w:val="center"/>
        <w:rPr>
          <w:rFonts w:ascii="Times New Roman" w:hAnsi="Times New Roman" w:cs="Times New Roman"/>
          <w:sz w:val="24"/>
          <w:szCs w:val="24"/>
          <w:lang w:val="lt-LT"/>
        </w:rPr>
      </w:pPr>
      <w:r>
        <w:rPr>
          <w:rFonts w:cs="Times New Roman" w:ascii="Times New Roman" w:hAnsi="Times New Roman"/>
          <w:sz w:val="24"/>
          <w:szCs w:val="24"/>
          <w:lang w:val="lt-LT"/>
        </w:rPr>
        <w:t>TECHNINĖ SPECIFIKACIJA</w:t>
      </w:r>
    </w:p>
    <w:p>
      <w:pPr>
        <w:pStyle w:val="Heading2"/>
        <w:spacing w:lineRule="auto" w:line="360" w:before="0" w:after="200"/>
        <w:ind w:firstLine="360"/>
        <w:jc w:val="center"/>
        <w:rPr>
          <w:rFonts w:ascii="Times New Roman" w:hAnsi="Times New Roman" w:cs="Times New Roman"/>
          <w:sz w:val="24"/>
          <w:szCs w:val="24"/>
          <w:lang w:val="lt-LT"/>
        </w:rPr>
      </w:pPr>
      <w:r>
        <w:rPr>
          <w:rFonts w:cs="Times New Roman" w:ascii="Times New Roman" w:hAnsi="Times New Roman"/>
          <w:sz w:val="24"/>
          <w:szCs w:val="24"/>
          <w:lang w:val="lt-LT"/>
        </w:rPr>
        <w:t>SPECIALIŲJŲ KOMPETENCIJŲ MOKYMŲ ORGANIZAVIMO IR VYKDYMO PASLAUGOS</w:t>
      </w:r>
    </w:p>
    <w:p>
      <w:pPr>
        <w:pStyle w:val="Normal"/>
        <w:rPr>
          <w:lang w:val="lt-LT"/>
        </w:rPr>
      </w:pPr>
      <w:r>
        <w:rPr>
          <w:lang w:val="lt-LT"/>
        </w:rPr>
      </w:r>
    </w:p>
    <w:p>
      <w:pPr>
        <w:pStyle w:val="Heading3"/>
        <w:numPr>
          <w:ilvl w:val="0"/>
          <w:numId w:val="1"/>
        </w:numPr>
        <w:spacing w:lineRule="auto" w:line="360" w:before="0" w:after="200"/>
        <w:jc w:val="both"/>
        <w:rPr>
          <w:rFonts w:ascii="Times New Roman" w:hAnsi="Times New Roman" w:cs="Times New Roman"/>
          <w:sz w:val="24"/>
          <w:szCs w:val="24"/>
          <w:lang w:val="lt-LT"/>
        </w:rPr>
      </w:pPr>
      <w:r>
        <w:rPr>
          <w:rFonts w:cs="Times New Roman" w:ascii="Times New Roman" w:hAnsi="Times New Roman"/>
          <w:sz w:val="24"/>
          <w:szCs w:val="24"/>
          <w:lang w:val="lt-LT"/>
        </w:rPr>
        <w:t>BENDROSIOS NUOSTATOS</w:t>
      </w:r>
    </w:p>
    <w:p>
      <w:pPr>
        <w:pStyle w:val="Normal"/>
        <w:rPr>
          <w:lang w:val="lt-LT"/>
        </w:rPr>
      </w:pPr>
      <w:r>
        <w:rPr>
          <w:lang w:val="lt-LT"/>
        </w:rPr>
      </w:r>
    </w:p>
    <w:p>
      <w:pPr>
        <w:pStyle w:val="Normal"/>
        <w:spacing w:before="0" w:after="0"/>
        <w:ind w:firstLine="720"/>
        <w:jc w:val="both"/>
        <w:rPr>
          <w:rFonts w:ascii="Times New Roman" w:hAnsi="Times New Roman" w:cs="Times New Roman"/>
          <w:sz w:val="24"/>
          <w:szCs w:val="24"/>
          <w:lang w:val="lt-LT"/>
        </w:rPr>
      </w:pPr>
      <w:r>
        <w:rPr>
          <w:rFonts w:cs="Times New Roman" w:ascii="Times New Roman" w:hAnsi="Times New Roman"/>
          <w:sz w:val="24"/>
          <w:szCs w:val="24"/>
          <w:lang w:val="lt-LT"/>
        </w:rPr>
        <w:t>1. Pirkimo objektas – VšĮ Lietuvos sveikatos mokslų universiteto Kauno ligoninės vykdomo projekto „Antimikrobinių vaistų vartojimo valdymas“ Antimikrobinių vaistų vartojimo valdymo stacionarinėse asmens sveikatos priežiūros įstaigose modelio bandomasis diegimas dalyje numatytų sveikatos priežiūros ir farmacijos specialistų profesinės kvalifikacijos tobulinimo mokymų organizavimo ir vykdymo paslaugos (toliau – Paslaugos).</w:t>
      </w:r>
    </w:p>
    <w:p>
      <w:pPr>
        <w:pStyle w:val="Normal"/>
        <w:spacing w:before="0" w:after="0"/>
        <w:ind w:firstLine="720"/>
        <w:jc w:val="both"/>
        <w:rPr>
          <w:rFonts w:ascii="Times New Roman" w:hAnsi="Times New Roman" w:cs="Times New Roman"/>
          <w:sz w:val="24"/>
          <w:szCs w:val="24"/>
          <w:lang w:val="lt-LT"/>
        </w:rPr>
      </w:pPr>
      <w:r>
        <w:rPr>
          <w:rFonts w:cs="Times New Roman" w:ascii="Times New Roman" w:hAnsi="Times New Roman"/>
          <w:sz w:val="24"/>
          <w:szCs w:val="24"/>
          <w:lang w:val="lt-LT"/>
        </w:rPr>
        <w:t>2. Paslaugų užsakovas – VšĮ Lietuvos sveikatos mokslų universiteto Kauno ligoninė.</w:t>
      </w:r>
    </w:p>
    <w:p>
      <w:pPr>
        <w:pStyle w:val="Normal"/>
        <w:spacing w:before="0" w:after="0"/>
        <w:ind w:firstLine="720"/>
        <w:jc w:val="both"/>
        <w:rPr/>
      </w:pPr>
      <w:r>
        <w:rPr>
          <w:rFonts w:cs="Times New Roman" w:ascii="Times New Roman" w:hAnsi="Times New Roman"/>
          <w:sz w:val="24"/>
          <w:szCs w:val="24"/>
          <w:lang w:val="lt-LT"/>
        </w:rPr>
        <w:t>3. Paslaugos finansuojamos VšĮ Lietuvos sveikatos mokslų universiteto Kauno ligoninės vykdomo projekto „Antimikrobinių vaistų vartojimo valdymo plėtojimas“ Antimikrobinių vaistų vartojimo valdymo stacionarinėse asmens sveikatos priežiūros įstaigose modelio bandomasis diegimas Nr. 1VS-0</w:t>
      </w:r>
      <w:r>
        <w:rPr>
          <w:rFonts w:cs="Times New Roman" w:ascii="Times New Roman" w:hAnsi="Times New Roman"/>
          <w:sz w:val="24"/>
          <w:szCs w:val="24"/>
          <w:lang w:val="lt-LT"/>
        </w:rPr>
        <w:t>557</w:t>
      </w:r>
      <w:r>
        <w:rPr>
          <w:rFonts w:cs="Times New Roman" w:ascii="Times New Roman" w:hAnsi="Times New Roman"/>
          <w:sz w:val="24"/>
          <w:szCs w:val="24"/>
          <w:lang w:val="lt-LT"/>
        </w:rPr>
        <w:t>/PPP-</w:t>
      </w:r>
      <w:r>
        <w:rPr>
          <w:rFonts w:cs="Times New Roman" w:ascii="Times New Roman" w:hAnsi="Times New Roman"/>
          <w:sz w:val="24"/>
          <w:szCs w:val="24"/>
          <w:lang w:val="lt-LT"/>
        </w:rPr>
        <w:t>38</w:t>
      </w:r>
      <w:r>
        <w:rPr>
          <w:rFonts w:cs="Times New Roman" w:ascii="Times New Roman" w:hAnsi="Times New Roman"/>
          <w:sz w:val="24"/>
          <w:szCs w:val="24"/>
          <w:lang w:val="lt-LT"/>
        </w:rPr>
        <w:t xml:space="preserve"> (202</w:t>
      </w:r>
      <w:r>
        <w:rPr>
          <w:rFonts w:cs="Times New Roman" w:ascii="Times New Roman" w:hAnsi="Times New Roman"/>
          <w:sz w:val="24"/>
          <w:szCs w:val="24"/>
          <w:lang w:val="lt-LT"/>
        </w:rPr>
        <w:t>5-06-05</w:t>
      </w:r>
      <w:r>
        <w:rPr>
          <w:rFonts w:cs="Times New Roman" w:ascii="Times New Roman" w:hAnsi="Times New Roman"/>
          <w:sz w:val="24"/>
          <w:szCs w:val="24"/>
          <w:lang w:val="lt-LT"/>
        </w:rPr>
        <w:t>) 11 veikl</w:t>
      </w:r>
      <w:r>
        <w:rPr>
          <w:rFonts w:cs="Times New Roman" w:ascii="Times New Roman" w:hAnsi="Times New Roman"/>
          <w:sz w:val="24"/>
          <w:szCs w:val="24"/>
          <w:lang w:val="lt-LT"/>
        </w:rPr>
        <w:t>os</w:t>
      </w:r>
      <w:r>
        <w:rPr>
          <w:rFonts w:cs="Times New Roman" w:ascii="Times New Roman" w:hAnsi="Times New Roman"/>
          <w:sz w:val="24"/>
          <w:szCs w:val="24"/>
          <w:lang w:val="lt-LT"/>
        </w:rPr>
        <w:t xml:space="preserve"> lėšomis.</w:t>
      </w:r>
    </w:p>
    <w:p>
      <w:pPr>
        <w:pStyle w:val="Normal"/>
        <w:spacing w:before="0" w:after="0"/>
        <w:ind w:firstLine="720"/>
        <w:jc w:val="both"/>
        <w:rPr>
          <w:rFonts w:ascii="Times New Roman" w:hAnsi="Times New Roman" w:cs="Times New Roman"/>
          <w:sz w:val="24"/>
          <w:szCs w:val="24"/>
          <w:lang w:val="lt-LT"/>
        </w:rPr>
      </w:pPr>
      <w:r>
        <w:rPr>
          <w:rFonts w:cs="Times New Roman" w:ascii="Times New Roman" w:hAnsi="Times New Roman"/>
          <w:sz w:val="24"/>
          <w:szCs w:val="24"/>
          <w:lang w:val="lt-LT"/>
        </w:rPr>
        <w:t>4. Perkamos paslaugos apima:</w:t>
      </w:r>
    </w:p>
    <w:p>
      <w:pPr>
        <w:pStyle w:val="Normal"/>
        <w:spacing w:before="0" w:after="0"/>
        <w:ind w:firstLine="72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4.1. Mokymų lektorių paiešką, atranką ir suderinimą su Paslaugų užsakovu;</w:t>
      </w:r>
    </w:p>
    <w:p>
      <w:pPr>
        <w:pStyle w:val="Normal"/>
        <w:spacing w:before="0" w:after="0"/>
        <w:ind w:firstLine="72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4.2. Elektroninę dalyvių registraciją su identifikacija;</w:t>
      </w:r>
    </w:p>
    <w:p>
      <w:pPr>
        <w:pStyle w:val="Normal"/>
        <w:spacing w:before="0" w:after="0"/>
        <w:ind w:firstLine="72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4.3. Mokymų programos derinimą ir pateikimą;</w:t>
      </w:r>
    </w:p>
    <w:p>
      <w:pPr>
        <w:pStyle w:val="Normal"/>
        <w:spacing w:before="0" w:after="0"/>
        <w:ind w:firstLine="72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4.4. Mokomosios medžiagos parengimą ir išsiuntimą el. paštu;</w:t>
      </w:r>
    </w:p>
    <w:p>
      <w:pPr>
        <w:pStyle w:val="Normal"/>
        <w:spacing w:before="0" w:after="0"/>
        <w:ind w:firstLine="72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4.5. Elektroninių pažymėjimų generavimą ir pateikimą;</w:t>
        <w:br/>
      </w:r>
      <w:r>
        <w:rPr>
          <w:rFonts w:cs="Times New Roman" w:ascii="Times New Roman" w:hAnsi="Times New Roman"/>
          <w:b/>
          <w:sz w:val="24"/>
          <w:szCs w:val="24"/>
          <w:lang w:val="lt-LT"/>
        </w:rPr>
        <w:t>Pažymėjimai turi būti suderinti su Valstybine akreditavimo sveikatos priežiūros tarnybos (VASPVT) Kompetencijų platformos reikalavimais ir ten registruojami.</w:t>
      </w:r>
    </w:p>
    <w:p>
      <w:pPr>
        <w:pStyle w:val="Normal"/>
        <w:spacing w:before="0" w:after="0"/>
        <w:ind w:firstLine="72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4.6. Mokymų organizavimą nuotoliniu būdu naudojant saugią platformą;</w:t>
        <w:br/>
      </w:r>
      <w:r>
        <w:rPr>
          <w:rFonts w:cs="Times New Roman" w:ascii="Times New Roman" w:hAnsi="Times New Roman"/>
          <w:b/>
          <w:sz w:val="24"/>
          <w:szCs w:val="24"/>
          <w:lang w:val="lt-LT"/>
        </w:rPr>
        <w:t>Paslaugų teikėjas turi turėti akredituotą mokymų programą, patvirtintą Sveikatos apsaugos ministerijos, ir užtikrinti galimybę perduoti dalyvių duomenis į VASPVT Kompetencijų platformą.</w:t>
      </w:r>
    </w:p>
    <w:p>
      <w:pPr>
        <w:pStyle w:val="Normal"/>
        <w:spacing w:before="0" w:after="0"/>
        <w:ind w:firstLine="72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4.7. Mokymų moderavimą ir techninę pagalbą;</w:t>
      </w:r>
    </w:p>
    <w:p>
      <w:pPr>
        <w:pStyle w:val="Normal"/>
        <w:spacing w:before="0" w:after="0"/>
        <w:ind w:firstLine="72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4.8. Administravimą ir koordinavimą viso proceso metu.</w:t>
      </w:r>
    </w:p>
    <w:p>
      <w:pPr>
        <w:pStyle w:val="Normal"/>
        <w:spacing w:before="0" w:after="0"/>
        <w:ind w:firstLine="720"/>
        <w:jc w:val="both"/>
        <w:rPr>
          <w:rFonts w:ascii="Times New Roman" w:hAnsi="Times New Roman" w:cs="Times New Roman"/>
          <w:sz w:val="24"/>
          <w:szCs w:val="24"/>
          <w:lang w:val="lt-LT"/>
        </w:rPr>
      </w:pPr>
      <w:r>
        <w:rPr>
          <w:rFonts w:cs="Times New Roman" w:ascii="Times New Roman" w:hAnsi="Times New Roman"/>
          <w:sz w:val="24"/>
          <w:szCs w:val="24"/>
          <w:lang w:val="lt-LT"/>
        </w:rPr>
        <w:t>5. Paslaugų teikėjas turi įsivertinti visas būtinas išlaidas.</w:t>
      </w:r>
    </w:p>
    <w:p>
      <w:pPr>
        <w:pStyle w:val="Normal"/>
        <w:spacing w:before="0" w:after="0"/>
        <w:ind w:firstLine="720"/>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Heading3"/>
        <w:spacing w:before="0" w:after="200"/>
        <w:ind w:firstLine="720"/>
        <w:jc w:val="both"/>
        <w:rPr>
          <w:rFonts w:ascii="Times New Roman" w:hAnsi="Times New Roman" w:cs="Times New Roman"/>
          <w:sz w:val="24"/>
          <w:szCs w:val="24"/>
          <w:lang w:val="lt-LT"/>
        </w:rPr>
      </w:pPr>
      <w:r>
        <w:rPr>
          <w:rFonts w:cs="Times New Roman" w:ascii="Times New Roman" w:hAnsi="Times New Roman"/>
          <w:sz w:val="24"/>
          <w:szCs w:val="24"/>
          <w:lang w:val="lt-LT"/>
        </w:rPr>
        <w:t>II. MOKYMŲ ORGANIZAVIMAS IR VYKDYMAS</w:t>
      </w:r>
    </w:p>
    <w:p>
      <w:pPr>
        <w:pStyle w:val="Normal"/>
        <w:spacing w:before="0" w:after="0"/>
        <w:ind w:firstLine="720"/>
        <w:rPr>
          <w:lang w:val="lt-LT"/>
        </w:rPr>
      </w:pPr>
      <w:r>
        <w:rPr>
          <w:lang w:val="lt-LT"/>
        </w:rPr>
      </w:r>
    </w:p>
    <w:p>
      <w:pPr>
        <w:pStyle w:val="Normal"/>
        <w:spacing w:before="0" w:after="0"/>
        <w:ind w:firstLine="72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6. Mokymai vykdomi nuotoliniu būdu per platformą, leidžiančią tapatybės atpažinimą, paskaitų stebėjimą ir testų atlikimą. </w:t>
      </w:r>
    </w:p>
    <w:p>
      <w:pPr>
        <w:pStyle w:val="Normal"/>
        <w:spacing w:before="0" w:after="0"/>
        <w:ind w:firstLine="72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7. </w:t>
      </w:r>
      <w:r>
        <w:rPr>
          <w:rFonts w:cs="Times New Roman" w:ascii="Times New Roman" w:hAnsi="Times New Roman"/>
          <w:b/>
          <w:sz w:val="24"/>
          <w:szCs w:val="24"/>
          <w:lang w:val="lt-LT"/>
        </w:rPr>
        <w:t>Platforma turi užtikrinti prieigą prie mokymų visą parą, visomis savaitės dienomis (įskaitant savaitgalius ir valstybines šventes</w:t>
      </w:r>
    </w:p>
    <w:p>
      <w:pPr>
        <w:pStyle w:val="Normal"/>
        <w:spacing w:before="0" w:after="0"/>
        <w:ind w:firstLine="720"/>
        <w:jc w:val="both"/>
        <w:rPr>
          <w:rFonts w:ascii="Times New Roman" w:hAnsi="Times New Roman" w:cs="Times New Roman"/>
          <w:sz w:val="24"/>
          <w:szCs w:val="24"/>
          <w:lang w:val="lt-LT"/>
        </w:rPr>
      </w:pPr>
      <w:r>
        <w:rPr>
          <w:rFonts w:cs="Times New Roman" w:ascii="Times New Roman" w:hAnsi="Times New Roman"/>
          <w:sz w:val="24"/>
          <w:szCs w:val="24"/>
          <w:lang w:val="lt-LT"/>
        </w:rPr>
        <w:t>8. Kiekvienas dalyvis turi turėti galimybę peržiūrėti kursą individualiai. Mokymo medžiaga turi būti prieinama iškart po registracijos. Dalyvavusiems ir išlaikiusiems testą, mokymų programa prieinama iki 2026-04-30</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9. Mokymų trukmė – ne mažiau 8 akademinės valandos, ne daugiau – 10 akademinių valandų.</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10. Dalyvių skaičius – 621 dalyvis</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11. Mokymų forma – nuotoliniai paskaitų įrašai.</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12. Tikslinė grupė – įvairių sričių gydytojai, slaugytojai, vaistininkai.</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13. Dalyvių mokymosi pasiekimų įvertinimas vykdomas testu, kurio rezultatas patvirtinamas pažymėjimu.</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14.  Sistema turi automatiškai sugeneruoti testo išlaikymo  pažymėjimą tik jį išlaikius.</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36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Mokymų informacija</w:t>
      </w:r>
    </w:p>
    <w:tbl>
      <w:tblPr>
        <w:tblW w:w="971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736"/>
        <w:gridCol w:w="3721"/>
        <w:gridCol w:w="1788"/>
        <w:gridCol w:w="2125"/>
        <w:gridCol w:w="1340"/>
      </w:tblGrid>
      <w:tr>
        <w:trPr/>
        <w:tc>
          <w:tcPr>
            <w:tcW w:w="7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hanging="90"/>
              <w:jc w:val="center"/>
              <w:rPr>
                <w:rFonts w:ascii="Times New Roman" w:hAnsi="Times New Roman" w:cs="Times New Roman"/>
                <w:sz w:val="24"/>
                <w:szCs w:val="24"/>
                <w:lang w:val="lt-LT"/>
              </w:rPr>
            </w:pPr>
            <w:r>
              <w:rPr>
                <w:rFonts w:cs="Times New Roman" w:ascii="Times New Roman" w:hAnsi="Times New Roman"/>
                <w:sz w:val="24"/>
                <w:szCs w:val="24"/>
                <w:lang w:val="lt-LT"/>
              </w:rPr>
              <w:t>Eil.</w:t>
            </w:r>
          </w:p>
          <w:p>
            <w:pPr>
              <w:pStyle w:val="Normal"/>
              <w:spacing w:lineRule="auto" w:line="240" w:before="0" w:after="0"/>
              <w:ind w:hanging="90"/>
              <w:jc w:val="center"/>
              <w:rPr>
                <w:rFonts w:ascii="Times New Roman" w:hAnsi="Times New Roman" w:cs="Times New Roman"/>
                <w:sz w:val="24"/>
                <w:szCs w:val="24"/>
                <w:lang w:val="lt-LT"/>
              </w:rPr>
            </w:pPr>
            <w:r>
              <w:rPr>
                <w:rFonts w:cs="Times New Roman" w:ascii="Times New Roman" w:hAnsi="Times New Roman"/>
                <w:sz w:val="24"/>
                <w:szCs w:val="24"/>
                <w:lang w:val="lt-LT"/>
              </w:rPr>
              <w:t>Nr.</w:t>
            </w:r>
          </w:p>
        </w:tc>
        <w:tc>
          <w:tcPr>
            <w:tcW w:w="37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hanging="90"/>
              <w:jc w:val="center"/>
              <w:rPr>
                <w:rFonts w:ascii="Times New Roman" w:hAnsi="Times New Roman" w:cs="Times New Roman"/>
                <w:sz w:val="24"/>
                <w:szCs w:val="24"/>
                <w:lang w:val="lt-LT"/>
              </w:rPr>
            </w:pPr>
            <w:r>
              <w:rPr>
                <w:rFonts w:cs="Times New Roman" w:ascii="Times New Roman" w:hAnsi="Times New Roman"/>
                <w:sz w:val="24"/>
                <w:szCs w:val="24"/>
                <w:lang w:val="lt-LT"/>
              </w:rPr>
              <w:t>Mokymų tema</w:t>
            </w:r>
          </w:p>
        </w:tc>
        <w:tc>
          <w:tcPr>
            <w:tcW w:w="1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hanging="90"/>
              <w:jc w:val="center"/>
              <w:rPr>
                <w:rFonts w:ascii="Times New Roman" w:hAnsi="Times New Roman" w:cs="Times New Roman"/>
                <w:sz w:val="24"/>
                <w:szCs w:val="24"/>
                <w:lang w:val="lt-LT"/>
              </w:rPr>
            </w:pPr>
            <w:r>
              <w:rPr>
                <w:rFonts w:cs="Times New Roman" w:ascii="Times New Roman" w:hAnsi="Times New Roman"/>
                <w:sz w:val="24"/>
                <w:szCs w:val="24"/>
                <w:lang w:val="lt-LT"/>
              </w:rPr>
              <w:t>Mokymų kalba</w:t>
            </w:r>
          </w:p>
        </w:tc>
        <w:tc>
          <w:tcPr>
            <w:tcW w:w="21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hanging="90"/>
              <w:jc w:val="center"/>
              <w:rPr>
                <w:rFonts w:ascii="Times New Roman" w:hAnsi="Times New Roman" w:cs="Times New Roman"/>
                <w:sz w:val="24"/>
                <w:szCs w:val="24"/>
                <w:lang w:val="lt-LT"/>
              </w:rPr>
            </w:pPr>
            <w:r>
              <w:rPr>
                <w:rFonts w:cs="Times New Roman" w:ascii="Times New Roman" w:hAnsi="Times New Roman"/>
                <w:sz w:val="24"/>
                <w:szCs w:val="24"/>
                <w:lang w:val="lt-LT"/>
              </w:rPr>
              <w:t>Trukmė (akad. val.)</w:t>
            </w:r>
          </w:p>
        </w:tc>
        <w:tc>
          <w:tcPr>
            <w:tcW w:w="13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hanging="90"/>
              <w:jc w:val="center"/>
              <w:rPr>
                <w:rFonts w:ascii="Times New Roman" w:hAnsi="Times New Roman" w:cs="Times New Roman"/>
                <w:sz w:val="24"/>
                <w:szCs w:val="24"/>
                <w:lang w:val="lt-LT"/>
              </w:rPr>
            </w:pPr>
            <w:r>
              <w:rPr>
                <w:rFonts w:cs="Times New Roman" w:ascii="Times New Roman" w:hAnsi="Times New Roman"/>
                <w:sz w:val="24"/>
                <w:szCs w:val="24"/>
                <w:lang w:val="lt-LT"/>
              </w:rPr>
              <w:t>Dalyvių skaičius</w:t>
            </w:r>
          </w:p>
        </w:tc>
      </w:tr>
      <w:tr>
        <w:trPr/>
        <w:tc>
          <w:tcPr>
            <w:tcW w:w="7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firstLine="360"/>
              <w:rPr>
                <w:rFonts w:ascii="Times New Roman" w:hAnsi="Times New Roman" w:cs="Times New Roman"/>
                <w:sz w:val="24"/>
                <w:szCs w:val="24"/>
                <w:lang w:val="lt-LT"/>
              </w:rPr>
            </w:pPr>
            <w:r>
              <w:rPr>
                <w:rFonts w:cs="Times New Roman" w:ascii="Times New Roman" w:hAnsi="Times New Roman"/>
                <w:sz w:val="24"/>
                <w:szCs w:val="24"/>
                <w:lang w:val="lt-LT"/>
              </w:rPr>
              <w:t>1</w:t>
            </w:r>
          </w:p>
        </w:tc>
        <w:tc>
          <w:tcPr>
            <w:tcW w:w="37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hanging="14"/>
              <w:rPr>
                <w:rFonts w:ascii="Times New Roman" w:hAnsi="Times New Roman" w:cs="Times New Roman"/>
                <w:sz w:val="24"/>
                <w:szCs w:val="24"/>
                <w:lang w:val="lt-LT"/>
              </w:rPr>
            </w:pPr>
            <w:r>
              <w:rPr>
                <w:rFonts w:cs="Times New Roman" w:ascii="Times New Roman" w:hAnsi="Times New Roman"/>
                <w:sz w:val="24"/>
                <w:szCs w:val="24"/>
                <w:lang w:val="lt-LT"/>
              </w:rPr>
              <w:t>Antimikrobinių vaistų vartojimo valdymas asmens sveikatos priežiūros įstaigose</w:t>
            </w:r>
          </w:p>
        </w:tc>
        <w:tc>
          <w:tcPr>
            <w:tcW w:w="1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firstLine="360"/>
              <w:rPr>
                <w:rFonts w:ascii="Times New Roman" w:hAnsi="Times New Roman" w:cs="Times New Roman"/>
                <w:sz w:val="24"/>
                <w:szCs w:val="24"/>
                <w:lang w:val="lt-LT"/>
              </w:rPr>
            </w:pPr>
            <w:r>
              <w:rPr>
                <w:rFonts w:cs="Times New Roman" w:ascii="Times New Roman" w:hAnsi="Times New Roman"/>
                <w:sz w:val="24"/>
                <w:szCs w:val="24"/>
                <w:lang w:val="lt-LT"/>
              </w:rPr>
              <w:t>Lietuvių</w:t>
            </w:r>
          </w:p>
        </w:tc>
        <w:tc>
          <w:tcPr>
            <w:tcW w:w="21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firstLine="360"/>
              <w:rPr>
                <w:rFonts w:ascii="Times New Roman" w:hAnsi="Times New Roman" w:cs="Times New Roman"/>
                <w:sz w:val="24"/>
                <w:szCs w:val="24"/>
                <w:lang w:val="lt-LT"/>
              </w:rPr>
            </w:pPr>
            <w:r>
              <w:rPr>
                <w:rFonts w:cs="Times New Roman" w:ascii="Times New Roman" w:hAnsi="Times New Roman"/>
                <w:sz w:val="24"/>
                <w:szCs w:val="24"/>
                <w:lang w:val="lt-LT"/>
              </w:rPr>
              <w:t>8-10</w:t>
            </w:r>
          </w:p>
        </w:tc>
        <w:tc>
          <w:tcPr>
            <w:tcW w:w="13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firstLine="360"/>
              <w:rPr>
                <w:rFonts w:ascii="Times New Roman" w:hAnsi="Times New Roman" w:cs="Times New Roman"/>
                <w:sz w:val="24"/>
                <w:szCs w:val="24"/>
                <w:lang w:val="lt-LT"/>
              </w:rPr>
            </w:pPr>
            <w:r>
              <w:rPr>
                <w:rFonts w:cs="Times New Roman" w:ascii="Times New Roman" w:hAnsi="Times New Roman"/>
                <w:sz w:val="24"/>
                <w:szCs w:val="24"/>
                <w:lang w:val="lt-LT"/>
              </w:rPr>
              <w:t>621</w:t>
            </w:r>
          </w:p>
        </w:tc>
      </w:tr>
    </w:tbl>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15. Mokymų programa ir turinys. Mokymų programa turi sudaryti ne mažiau kaip šios temos:</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Antimikrobinių vaistų vartojimo valdymo principai;</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Rezervinių antibiotikų vartojimo gairės;</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Klinikinė farmakologija (farmakokinetika, farmakodinamika);</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Racionalus empirinis vartojimas;</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Chirurginė profilaktika;</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Mikrobiologinių ėminių paėmimas;</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Slaugytojų vaidmuo;</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IT sprendimai antimikrobinių vaistų vartojimo valdyme.</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16. Dalyviams pateikiama lektorių parengta dalomoji medžiaga (paskaitų skaidrės pdf formatu) ir papildoma literatūra.</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17. Pažymėjimus generuoja elektroninė sistema ir perduoda “Kompetencijų platforma”. </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18. Paslaugų teikėjas pateikia mokymų ataskaitą iki </w:t>
      </w:r>
      <w:r>
        <w:rPr>
          <w:rFonts w:cs="Times New Roman" w:ascii="Times New Roman" w:hAnsi="Times New Roman"/>
          <w:sz w:val="24"/>
          <w:szCs w:val="24"/>
        </w:rPr>
        <w:t>2025 m. gru</w:t>
      </w:r>
      <w:r>
        <w:rPr>
          <w:rFonts w:cs="Times New Roman" w:ascii="Times New Roman" w:hAnsi="Times New Roman"/>
          <w:sz w:val="24"/>
          <w:szCs w:val="24"/>
          <w:lang w:val="lt-LT"/>
        </w:rPr>
        <w:t xml:space="preserve">odžio </w:t>
      </w:r>
      <w:r>
        <w:rPr>
          <w:rFonts w:cs="Times New Roman" w:ascii="Times New Roman" w:hAnsi="Times New Roman"/>
          <w:sz w:val="24"/>
          <w:szCs w:val="24"/>
        </w:rPr>
        <w:t>m</w:t>
      </w:r>
      <w:r>
        <w:rPr>
          <w:rFonts w:cs="Times New Roman" w:ascii="Times New Roman" w:hAnsi="Times New Roman"/>
          <w:sz w:val="24"/>
          <w:szCs w:val="24"/>
          <w:lang w:val="lt-LT"/>
        </w:rPr>
        <w:t xml:space="preserve">ėn. </w:t>
      </w:r>
      <w:r>
        <w:rPr>
          <w:rFonts w:cs="Times New Roman" w:ascii="Times New Roman" w:hAnsi="Times New Roman"/>
          <w:sz w:val="24"/>
          <w:szCs w:val="24"/>
        </w:rPr>
        <w:t>1 d.</w:t>
      </w:r>
      <w:r>
        <w:rPr>
          <w:rFonts w:cs="Times New Roman" w:ascii="Times New Roman" w:hAnsi="Times New Roman"/>
          <w:sz w:val="24"/>
          <w:szCs w:val="24"/>
          <w:lang w:val="lt-LT"/>
        </w:rPr>
        <w:t>, kurioje bus šie duomenys:</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Registracijos sąrašą su žyma apie dalyvavimą ir testo išlaikymą;</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Mokymų programą;</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Lektorių medžiagą.</w:t>
      </w:r>
    </w:p>
    <w:p>
      <w:pPr>
        <w:pStyle w:val="Normal"/>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Heading3"/>
        <w:spacing w:lineRule="auto" w:line="360" w:before="0" w:after="20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III. ADMINISTRAVIMAS IR KITI REIKALAVIMAI</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19. Paslaugų teikėjas paskiria atsakingą asmenį, informuoja Paslaugų užsakovą.</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20. Visi techniniai klausimai turi būti suderinti ne vėliau kaip 1 d. d. iki mokymų pradžios. Mokymus pradėti ne vėliau nei 2025 m. rugsėjo mėn.</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21. Paslaugų teikėjas užtikrina sklandų procesą, bendradarbiauja su Užsakovu. </w:t>
      </w:r>
    </w:p>
    <w:p>
      <w:pPr>
        <w:pStyle w:val="Normal"/>
        <w:spacing w:before="0" w:after="0"/>
        <w:ind w:firstLine="360"/>
        <w:jc w:val="both"/>
        <w:rPr>
          <w:rFonts w:ascii="Times New Roman" w:hAnsi="Times New Roman" w:cs="Times New Roman"/>
          <w:sz w:val="24"/>
          <w:szCs w:val="24"/>
          <w:lang w:val="lt-LT"/>
        </w:rPr>
      </w:pPr>
      <w:r>
        <w:rPr>
          <w:rFonts w:cs="Times New Roman" w:ascii="Times New Roman" w:hAnsi="Times New Roman"/>
          <w:sz w:val="24"/>
          <w:szCs w:val="24"/>
          <w:lang w:val="lt-LT"/>
        </w:rPr>
        <w:t>20. Naudotini logotipai ir žymėjimas – pagal komunikacijos reikalavimus.</w:t>
      </w:r>
    </w:p>
    <w:p>
      <w:pPr>
        <w:pStyle w:val="Normal"/>
        <w:spacing w:before="0" w:after="200"/>
        <w:rPr/>
      </w:pPr>
      <w:r>
        <w:rPr/>
      </w:r>
    </w:p>
    <w:sectPr>
      <w:footerReference w:type="default" r:id="rId2"/>
      <w:type w:val="nextPage"/>
      <w:pgSz w:w="12240" w:h="15840"/>
      <w:pgMar w:left="1800" w:right="720" w:header="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78780549"/>
    </w:sdtPr>
    <w:sdtContent>
      <w:p>
        <w:pPr>
          <w:pStyle w:val="Footer"/>
          <w:jc w:val="right"/>
          <w:rPr/>
        </w:pPr>
        <w:r>
          <w:rPr/>
          <w:fldChar w:fldCharType="begin"/>
        </w:r>
        <w:r>
          <w:rPr/>
          <w:instrText> PAGE </w:instrText>
        </w:r>
        <w:r>
          <w:rPr/>
          <w:fldChar w:fldCharType="separate"/>
        </w:r>
        <w:r>
          <w:rPr/>
          <w:t>3</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2"/>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Annotationreference">
    <w:name w:val="annotation reference"/>
    <w:basedOn w:val="DefaultParagraphFont"/>
    <w:uiPriority w:val="99"/>
    <w:semiHidden/>
    <w:unhideWhenUsed/>
    <w:qFormat/>
    <w:rsid w:val="005742e3"/>
    <w:rPr>
      <w:sz w:val="16"/>
      <w:szCs w:val="16"/>
    </w:rPr>
  </w:style>
  <w:style w:type="character" w:styleId="CommentTextChar" w:customStyle="1">
    <w:name w:val="Comment Text Char"/>
    <w:basedOn w:val="DefaultParagraphFont"/>
    <w:link w:val="CommentText"/>
    <w:uiPriority w:val="99"/>
    <w:qFormat/>
    <w:rsid w:val="005742e3"/>
    <w:rPr>
      <w:sz w:val="20"/>
      <w:szCs w:val="20"/>
    </w:rPr>
  </w:style>
  <w:style w:type="character" w:styleId="CommentSubjectChar" w:customStyle="1">
    <w:name w:val="Comment Subject Char"/>
    <w:basedOn w:val="CommentTextChar"/>
    <w:link w:val="CommentSubject"/>
    <w:uiPriority w:val="99"/>
    <w:semiHidden/>
    <w:qFormat/>
    <w:rsid w:val="005742e3"/>
    <w:rPr>
      <w:b/>
      <w:bCs/>
      <w:sz w:val="20"/>
      <w:szCs w:val="20"/>
    </w:rPr>
  </w:style>
  <w:style w:type="character" w:styleId="InternetLink">
    <w:name w:val="Internet Link"/>
    <w:basedOn w:val="DefaultParagraphFont"/>
    <w:uiPriority w:val="99"/>
    <w:unhideWhenUsed/>
    <w:rsid w:val="00ed019d"/>
    <w:rPr>
      <w:color w:val="0000FF" w:themeColor="hyperlink"/>
      <w:u w:val="single"/>
    </w:rPr>
  </w:style>
  <w:style w:type="character" w:styleId="UnresolvedMention">
    <w:name w:val="Unresolved Mention"/>
    <w:basedOn w:val="DefaultParagraphFont"/>
    <w:uiPriority w:val="99"/>
    <w:semiHidden/>
    <w:unhideWhenUsed/>
    <w:qFormat/>
    <w:rsid w:val="00ed019d"/>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Bullet3">
    <w:name w:val="List Bullet 3"/>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Annotationtext">
    <w:name w:val="annotation text"/>
    <w:basedOn w:val="Normal"/>
    <w:link w:val="CommentTextChar"/>
    <w:uiPriority w:val="99"/>
    <w:unhideWhenUsed/>
    <w:qFormat/>
    <w:rsid w:val="005742e3"/>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5742e3"/>
    <w:pPr/>
    <w:rPr>
      <w:b/>
      <w:bCs/>
    </w:rPr>
  </w:style>
  <w:style w:type="paragraph" w:styleId="Revision">
    <w:name w:val="Revision"/>
    <w:uiPriority w:val="99"/>
    <w:semiHidden/>
    <w:qFormat/>
    <w:rsid w:val="00f9297b"/>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LibreOffice/6.1.2.1$Windows_X86_64 LibreOffice_project/65905a128db06ba48db947242809d14d3f9a93fe</Application>
  <Pages>3</Pages>
  <Words>515</Words>
  <Characters>3708</Characters>
  <CharactersWithSpaces>4234</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2025-06-05T10:08:00Z</dcterms:created>
  <dc:creator>python-docx</dc:creator>
  <dc:description>generated by python-docx</dc:description>
  <dc:language>en-US</dc:language>
  <cp:lastModifiedBy/>
  <dcterms:modified xsi:type="dcterms:W3CDTF">2025-06-09T11:01:54Z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