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62DA" w14:textId="76448A5C" w:rsidR="00880F74" w:rsidRDefault="009C35F4" w:rsidP="009C2E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STACIONARIŲ KOMPIUTERIŲ</w:t>
      </w:r>
      <w:r w:rsidR="007C4FD3" w:rsidRPr="00894BCD">
        <w:rPr>
          <w:rFonts w:ascii="Times New Roman" w:hAnsi="Times New Roman" w:cs="Times New Roman"/>
          <w:b/>
          <w:bCs/>
          <w:sz w:val="24"/>
          <w:szCs w:val="24"/>
        </w:rPr>
        <w:t xml:space="preserve"> </w:t>
      </w:r>
      <w:r w:rsidR="00880F74" w:rsidRPr="00894BCD">
        <w:rPr>
          <w:rFonts w:ascii="Times New Roman" w:hAnsi="Times New Roman" w:cs="Times New Roman"/>
          <w:b/>
          <w:bCs/>
          <w:sz w:val="24"/>
          <w:szCs w:val="24"/>
        </w:rPr>
        <w:t>TECHNINĖ</w:t>
      </w:r>
      <w:r w:rsidR="009C2E7E">
        <w:rPr>
          <w:rFonts w:ascii="Times New Roman" w:hAnsi="Times New Roman" w:cs="Times New Roman"/>
          <w:b/>
          <w:bCs/>
          <w:sz w:val="24"/>
          <w:szCs w:val="24"/>
        </w:rPr>
        <w:t>S SPECIFIKACIJOS PROJEKTAS</w:t>
      </w:r>
    </w:p>
    <w:p w14:paraId="7535BCB5" w14:textId="77777777" w:rsidR="009C35F4" w:rsidRPr="00894BCD" w:rsidRDefault="009C35F4" w:rsidP="009C2E7E">
      <w:pPr>
        <w:spacing w:after="0" w:line="240" w:lineRule="auto"/>
        <w:jc w:val="center"/>
        <w:rPr>
          <w:rFonts w:ascii="Times New Roman" w:hAnsi="Times New Roman" w:cs="Times New Roman"/>
          <w:b/>
          <w:bCs/>
          <w:sz w:val="24"/>
          <w:szCs w:val="24"/>
        </w:rPr>
      </w:pPr>
    </w:p>
    <w:tbl>
      <w:tblPr>
        <w:tblW w:w="15627" w:type="dxa"/>
        <w:tblInd w:w="-459" w:type="dxa"/>
        <w:tblLayout w:type="fixed"/>
        <w:tblLook w:val="04A0" w:firstRow="1" w:lastRow="0" w:firstColumn="1" w:lastColumn="0" w:noHBand="0" w:noVBand="1"/>
      </w:tblPr>
      <w:tblGrid>
        <w:gridCol w:w="1305"/>
        <w:gridCol w:w="14322"/>
      </w:tblGrid>
      <w:tr w:rsidR="009C35F4" w:rsidRPr="00164301" w14:paraId="1046CD0A" w14:textId="77777777" w:rsidTr="00915FCB">
        <w:trPr>
          <w:trHeight w:val="300"/>
        </w:trPr>
        <w:tc>
          <w:tcPr>
            <w:tcW w:w="1305" w:type="dxa"/>
            <w:noWrap/>
          </w:tcPr>
          <w:p w14:paraId="69A51057" w14:textId="77777777" w:rsidR="009C35F4" w:rsidRPr="00164301" w:rsidRDefault="009C35F4" w:rsidP="00915FCB">
            <w:pPr>
              <w:spacing w:after="0" w:line="240" w:lineRule="auto"/>
              <w:rPr>
                <w:rFonts w:ascii="Times New Roman" w:hAnsi="Times New Roman" w:cs="Times New Roman"/>
                <w:b/>
                <w:bCs/>
                <w:sz w:val="24"/>
                <w:szCs w:val="24"/>
              </w:rPr>
            </w:pPr>
            <w:r w:rsidRPr="00164301">
              <w:rPr>
                <w:rFonts w:ascii="Times New Roman" w:hAnsi="Times New Roman" w:cs="Times New Roman"/>
                <w:b/>
                <w:bCs/>
                <w:sz w:val="24"/>
                <w:szCs w:val="24"/>
              </w:rPr>
              <w:t>1.</w:t>
            </w:r>
          </w:p>
        </w:tc>
        <w:tc>
          <w:tcPr>
            <w:tcW w:w="14322" w:type="dxa"/>
          </w:tcPr>
          <w:p w14:paraId="7C70D92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b/>
                <w:sz w:val="24"/>
                <w:szCs w:val="24"/>
              </w:rPr>
            </w:pPr>
            <w:r w:rsidRPr="00164301">
              <w:rPr>
                <w:rFonts w:ascii="Times New Roman" w:hAnsi="Times New Roman" w:cs="Times New Roman"/>
                <w:b/>
                <w:sz w:val="24"/>
                <w:szCs w:val="24"/>
              </w:rPr>
              <w:t>Bendrieji reikalavimai:</w:t>
            </w:r>
          </w:p>
        </w:tc>
      </w:tr>
      <w:tr w:rsidR="009C35F4" w:rsidRPr="00164301" w14:paraId="5C174143" w14:textId="77777777" w:rsidTr="00915FCB">
        <w:trPr>
          <w:trHeight w:val="300"/>
        </w:trPr>
        <w:tc>
          <w:tcPr>
            <w:tcW w:w="1305" w:type="dxa"/>
            <w:noWrap/>
          </w:tcPr>
          <w:p w14:paraId="0734AA77"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w:t>
            </w:r>
          </w:p>
        </w:tc>
        <w:tc>
          <w:tcPr>
            <w:tcW w:w="14322" w:type="dxa"/>
          </w:tcPr>
          <w:p w14:paraId="0A7C42B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visa pateikiama techninė įranga privalo būti nauja (negali būti atnaujinta, restauruota (angl. </w:t>
            </w:r>
            <w:proofErr w:type="spellStart"/>
            <w:r w:rsidRPr="00164301">
              <w:rPr>
                <w:rFonts w:ascii="Times New Roman" w:hAnsi="Times New Roman" w:cs="Times New Roman"/>
                <w:i/>
                <w:sz w:val="24"/>
                <w:szCs w:val="24"/>
              </w:rPr>
              <w:t>refurbished</w:t>
            </w:r>
            <w:proofErr w:type="spellEnd"/>
            <w:r w:rsidRPr="00164301">
              <w:rPr>
                <w:rFonts w:ascii="Times New Roman" w:hAnsi="Times New Roman" w:cs="Times New Roman"/>
                <w:sz w:val="24"/>
                <w:szCs w:val="24"/>
              </w:rPr>
              <w:t>), nenaudota, pateikta nepažeistoje gamyklinėje pakuotėje;</w:t>
            </w:r>
          </w:p>
        </w:tc>
      </w:tr>
      <w:tr w:rsidR="009C35F4" w:rsidRPr="00164301" w14:paraId="15C21AFD" w14:textId="77777777" w:rsidTr="00915FCB">
        <w:trPr>
          <w:trHeight w:val="300"/>
        </w:trPr>
        <w:tc>
          <w:tcPr>
            <w:tcW w:w="1305" w:type="dxa"/>
            <w:noWrap/>
          </w:tcPr>
          <w:p w14:paraId="032F93B1"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1.2.</w:t>
            </w:r>
          </w:p>
        </w:tc>
        <w:tc>
          <w:tcPr>
            <w:tcW w:w="14322" w:type="dxa"/>
          </w:tcPr>
          <w:p w14:paraId="5341937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164301">
              <w:rPr>
                <w:rFonts w:ascii="Times New Roman" w:hAnsi="Times New Roman" w:cs="Times New Roman"/>
                <w:i/>
                <w:sz w:val="24"/>
                <w:szCs w:val="24"/>
              </w:rPr>
              <w:t>end</w:t>
            </w:r>
            <w:proofErr w:type="spellEnd"/>
            <w:r w:rsidRPr="00164301">
              <w:rPr>
                <w:rFonts w:ascii="Times New Roman" w:hAnsi="Times New Roman" w:cs="Times New Roman"/>
                <w:i/>
                <w:sz w:val="24"/>
                <w:szCs w:val="24"/>
              </w:rPr>
              <w:t xml:space="preserve"> </w:t>
            </w:r>
            <w:proofErr w:type="spellStart"/>
            <w:r w:rsidRPr="00164301">
              <w:rPr>
                <w:rFonts w:ascii="Times New Roman" w:hAnsi="Times New Roman" w:cs="Times New Roman"/>
                <w:i/>
                <w:sz w:val="24"/>
                <w:szCs w:val="24"/>
              </w:rPr>
              <w:t>of</w:t>
            </w:r>
            <w:proofErr w:type="spellEnd"/>
            <w:r w:rsidRPr="00164301">
              <w:rPr>
                <w:rFonts w:ascii="Times New Roman" w:hAnsi="Times New Roman" w:cs="Times New Roman"/>
                <w:i/>
                <w:sz w:val="24"/>
                <w:szCs w:val="24"/>
              </w:rPr>
              <w:t xml:space="preserve"> </w:t>
            </w:r>
            <w:proofErr w:type="spellStart"/>
            <w:r w:rsidRPr="00164301">
              <w:rPr>
                <w:rFonts w:ascii="Times New Roman" w:hAnsi="Times New Roman" w:cs="Times New Roman"/>
                <w:i/>
                <w:sz w:val="24"/>
                <w:szCs w:val="24"/>
              </w:rPr>
              <w:t>life</w:t>
            </w:r>
            <w:proofErr w:type="spellEnd"/>
            <w:r w:rsidRPr="00164301">
              <w:rPr>
                <w:rFonts w:ascii="Times New Roman" w:hAnsi="Times New Roman" w:cs="Times New Roman"/>
                <w:i/>
                <w:sz w:val="24"/>
                <w:szCs w:val="24"/>
              </w:rPr>
              <w:t xml:space="preserve"> </w:t>
            </w:r>
            <w:proofErr w:type="spellStart"/>
            <w:r w:rsidRPr="00164301">
              <w:rPr>
                <w:rFonts w:ascii="Times New Roman" w:hAnsi="Times New Roman" w:cs="Times New Roman"/>
                <w:i/>
                <w:sz w:val="24"/>
                <w:szCs w:val="24"/>
              </w:rPr>
              <w:t>time</w:t>
            </w:r>
            <w:proofErr w:type="spellEnd"/>
            <w:r w:rsidRPr="00164301">
              <w:rPr>
                <w:rFonts w:ascii="Times New Roman" w:hAnsi="Times New Roman" w:cs="Times New Roman"/>
                <w:i/>
                <w:sz w:val="24"/>
                <w:szCs w:val="24"/>
              </w:rPr>
              <w:t xml:space="preserve"> ar </w:t>
            </w:r>
            <w:proofErr w:type="spellStart"/>
            <w:r w:rsidRPr="00164301">
              <w:rPr>
                <w:rFonts w:ascii="Times New Roman" w:hAnsi="Times New Roman" w:cs="Times New Roman"/>
                <w:i/>
                <w:sz w:val="24"/>
                <w:szCs w:val="24"/>
              </w:rPr>
              <w:t>Discontinued</w:t>
            </w:r>
            <w:proofErr w:type="spellEnd"/>
            <w:r w:rsidRPr="00164301">
              <w:rPr>
                <w:rFonts w:ascii="Times New Roman" w:hAnsi="Times New Roman" w:cs="Times New Roman"/>
                <w:sz w:val="24"/>
                <w:szCs w:val="24"/>
              </w:rPr>
              <w:t xml:space="preserve">);   </w:t>
            </w:r>
          </w:p>
        </w:tc>
      </w:tr>
      <w:tr w:rsidR="009C35F4" w:rsidRPr="00164301" w14:paraId="4793DEEA" w14:textId="77777777" w:rsidTr="00915FCB">
        <w:trPr>
          <w:trHeight w:val="300"/>
        </w:trPr>
        <w:tc>
          <w:tcPr>
            <w:tcW w:w="1305" w:type="dxa"/>
            <w:noWrap/>
          </w:tcPr>
          <w:p w14:paraId="52922A96"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1.3.</w:t>
            </w:r>
          </w:p>
        </w:tc>
        <w:tc>
          <w:tcPr>
            <w:tcW w:w="14322" w:type="dxa"/>
          </w:tcPr>
          <w:p w14:paraId="4C788BB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eastAsia="Times New Roman" w:hAnsi="Times New Roman" w:cs="Times New Roman"/>
                <w:sz w:val="24"/>
                <w:szCs w:val="24"/>
              </w:rPr>
              <w:t>Prekių atitiktis  visiems techniniams reikalavimams, kurie gali būti įrodyti pasiūlymų vertinimo metu, privalo būti pagrįsta gamintojų techniniais dokumentais ar kitais lygiaverčiais duomenimis. T</w:t>
            </w:r>
            <w:r w:rsidRPr="00164301">
              <w:rPr>
                <w:rFonts w:ascii="Times New Roman" w:hAnsi="Times New Roman" w:cs="Times New Roman"/>
                <w:sz w:val="24"/>
                <w:szCs w:val="24"/>
              </w:rPr>
              <w:t>iekėjas turi pateikti nuorodą į gamintojo puslapį, kuriame yra tiksli pasiūlymą atitinkančios techninės ir programinės įrangos techninė specifikacija arba pateikti gamintojo parengtą aprašymą;</w:t>
            </w:r>
          </w:p>
        </w:tc>
      </w:tr>
      <w:tr w:rsidR="009C35F4" w:rsidRPr="00164301" w14:paraId="532BC6B2" w14:textId="77777777" w:rsidTr="00915FCB">
        <w:trPr>
          <w:trHeight w:val="300"/>
        </w:trPr>
        <w:tc>
          <w:tcPr>
            <w:tcW w:w="1305" w:type="dxa"/>
            <w:noWrap/>
          </w:tcPr>
          <w:p w14:paraId="0EDB9A24"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1.4.</w:t>
            </w:r>
          </w:p>
        </w:tc>
        <w:tc>
          <w:tcPr>
            <w:tcW w:w="14322" w:type="dxa"/>
          </w:tcPr>
          <w:p w14:paraId="19B51678"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įrangos dokumentai turi būti lietuvių arba anglų kalba. </w:t>
            </w:r>
          </w:p>
        </w:tc>
      </w:tr>
      <w:tr w:rsidR="009C35F4" w:rsidRPr="00164301" w14:paraId="7B06D24B" w14:textId="77777777" w:rsidTr="00915FCB">
        <w:trPr>
          <w:trHeight w:val="300"/>
        </w:trPr>
        <w:tc>
          <w:tcPr>
            <w:tcW w:w="1305" w:type="dxa"/>
            <w:noWrap/>
          </w:tcPr>
          <w:p w14:paraId="517270FB"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1.5.</w:t>
            </w:r>
          </w:p>
        </w:tc>
        <w:tc>
          <w:tcPr>
            <w:tcW w:w="14322" w:type="dxa"/>
          </w:tcPr>
          <w:p w14:paraId="2E65309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užrašai ant įrenginio ir jo dalių turi būti anglų arba lietuvių kalba.</w:t>
            </w:r>
          </w:p>
        </w:tc>
      </w:tr>
      <w:tr w:rsidR="009C35F4" w:rsidRPr="00164301" w14:paraId="77CB23B2" w14:textId="77777777" w:rsidTr="00915FCB">
        <w:trPr>
          <w:trHeight w:val="300"/>
        </w:trPr>
        <w:tc>
          <w:tcPr>
            <w:tcW w:w="1305" w:type="dxa"/>
            <w:noWrap/>
          </w:tcPr>
          <w:p w14:paraId="4FBE9097"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1.6.</w:t>
            </w:r>
          </w:p>
        </w:tc>
        <w:tc>
          <w:tcPr>
            <w:tcW w:w="14322" w:type="dxa"/>
          </w:tcPr>
          <w:p w14:paraId="5CBDC8BF"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gamintojo interneto svetainėje tvarkyklių ir dokumentų paieška atliekama anglų arba lietuvių kalba;</w:t>
            </w:r>
          </w:p>
        </w:tc>
      </w:tr>
      <w:tr w:rsidR="009C35F4" w:rsidRPr="00164301" w14:paraId="66C1684B" w14:textId="77777777" w:rsidTr="00915FCB">
        <w:trPr>
          <w:trHeight w:val="300"/>
        </w:trPr>
        <w:tc>
          <w:tcPr>
            <w:tcW w:w="1305" w:type="dxa"/>
            <w:noWrap/>
          </w:tcPr>
          <w:p w14:paraId="47255B79"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1.7.</w:t>
            </w:r>
          </w:p>
        </w:tc>
        <w:tc>
          <w:tcPr>
            <w:tcW w:w="14322" w:type="dxa"/>
          </w:tcPr>
          <w:p w14:paraId="7F331BE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9C35F4" w:rsidRPr="00164301" w14:paraId="25A4D729" w14:textId="77777777" w:rsidTr="00915FCB">
        <w:trPr>
          <w:trHeight w:val="300"/>
        </w:trPr>
        <w:tc>
          <w:tcPr>
            <w:tcW w:w="1305" w:type="dxa"/>
            <w:noWrap/>
          </w:tcPr>
          <w:p w14:paraId="24CAF245"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1.8.</w:t>
            </w:r>
          </w:p>
        </w:tc>
        <w:tc>
          <w:tcPr>
            <w:tcW w:w="14322" w:type="dxa"/>
          </w:tcPr>
          <w:p w14:paraId="18BCFF8F"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visos programinės įrangos licencija turi būti suteikiama neribotam laikui; </w:t>
            </w:r>
          </w:p>
        </w:tc>
      </w:tr>
      <w:tr w:rsidR="009C35F4" w:rsidRPr="00164301" w14:paraId="06378C6D" w14:textId="77777777" w:rsidTr="00915FCB">
        <w:trPr>
          <w:trHeight w:val="300"/>
        </w:trPr>
        <w:tc>
          <w:tcPr>
            <w:tcW w:w="1305" w:type="dxa"/>
            <w:noWrap/>
          </w:tcPr>
          <w:p w14:paraId="3FDEFAF0"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1.9.</w:t>
            </w:r>
          </w:p>
        </w:tc>
        <w:tc>
          <w:tcPr>
            <w:tcW w:w="14322" w:type="dxa"/>
          </w:tcPr>
          <w:p w14:paraId="684DA81F"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visos techninės įrangos maitinimo įtampa turi būti nuo 210V iki 240V 50 Hz +/-5% su Europos kontinentinėje dalyje naudojama jungtimi (CEE 7/7);</w:t>
            </w:r>
          </w:p>
        </w:tc>
      </w:tr>
      <w:tr w:rsidR="009C35F4" w:rsidRPr="00164301" w14:paraId="53676D81" w14:textId="77777777" w:rsidTr="00915FCB">
        <w:trPr>
          <w:trHeight w:val="300"/>
        </w:trPr>
        <w:tc>
          <w:tcPr>
            <w:tcW w:w="1305" w:type="dxa"/>
            <w:noWrap/>
          </w:tcPr>
          <w:p w14:paraId="1C12D8F0"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1.11.</w:t>
            </w:r>
          </w:p>
        </w:tc>
        <w:tc>
          <w:tcPr>
            <w:tcW w:w="14322" w:type="dxa"/>
          </w:tcPr>
          <w:p w14:paraId="1A193087"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saugumo reikalavimai:</w:t>
            </w:r>
          </w:p>
        </w:tc>
      </w:tr>
      <w:tr w:rsidR="009C35F4" w:rsidRPr="00164301" w14:paraId="7047A4C0" w14:textId="77777777" w:rsidTr="00915FCB">
        <w:trPr>
          <w:trHeight w:val="300"/>
        </w:trPr>
        <w:tc>
          <w:tcPr>
            <w:tcW w:w="1305" w:type="dxa"/>
            <w:noWrap/>
          </w:tcPr>
          <w:p w14:paraId="41E0CC20"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1.11.1.</w:t>
            </w:r>
          </w:p>
        </w:tc>
        <w:tc>
          <w:tcPr>
            <w:tcW w:w="14322" w:type="dxa"/>
          </w:tcPr>
          <w:p w14:paraId="6803AE6E"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standieji ar puslaidininkiniai diskai (angl. </w:t>
            </w:r>
            <w:r w:rsidRPr="00164301">
              <w:rPr>
                <w:rFonts w:ascii="Times New Roman" w:hAnsi="Times New Roman" w:cs="Times New Roman"/>
                <w:i/>
                <w:iCs/>
                <w:sz w:val="24"/>
                <w:szCs w:val="24"/>
              </w:rPr>
              <w:t>HDD/SSD</w:t>
            </w:r>
            <w:r w:rsidRPr="00164301">
              <w:rPr>
                <w:rFonts w:ascii="Times New Roman" w:hAnsi="Times New Roman" w:cs="Times New Roman"/>
                <w:sz w:val="24"/>
                <w:szCs w:val="24"/>
              </w:rPr>
              <w:t>) ar kitos atminties laikmenos gedimo atveju turi būti keičiamos naujomis. Sugedusios atminties laikmenos sunaikinamos pirkėjo patalpose ir tiekėjui negrąžinamos;</w:t>
            </w:r>
          </w:p>
        </w:tc>
      </w:tr>
      <w:tr w:rsidR="009C35F4" w:rsidRPr="00164301" w14:paraId="0D095200" w14:textId="77777777" w:rsidTr="00915FCB">
        <w:trPr>
          <w:trHeight w:val="300"/>
        </w:trPr>
        <w:tc>
          <w:tcPr>
            <w:tcW w:w="1305" w:type="dxa"/>
            <w:noWrap/>
          </w:tcPr>
          <w:p w14:paraId="07883E15"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1.11.2.</w:t>
            </w:r>
          </w:p>
        </w:tc>
        <w:tc>
          <w:tcPr>
            <w:tcW w:w="14322" w:type="dxa"/>
          </w:tcPr>
          <w:p w14:paraId="10C2678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įrangos gedimo atveju iš instaliacijos vietos remontui išvežamą pas tiekėją (jo atstovą) sugedusią įrangą pirkėjas pateikia be joje sumontuotų standžiųjų ar puslaidininkinių diskų (angl. </w:t>
            </w:r>
            <w:r w:rsidRPr="00164301">
              <w:rPr>
                <w:rFonts w:ascii="Times New Roman" w:hAnsi="Times New Roman" w:cs="Times New Roman"/>
                <w:i/>
                <w:sz w:val="24"/>
                <w:szCs w:val="24"/>
              </w:rPr>
              <w:t>HDD/SSD</w:t>
            </w:r>
            <w:r w:rsidRPr="00164301">
              <w:rPr>
                <w:rFonts w:ascii="Times New Roman" w:hAnsi="Times New Roman" w:cs="Times New Roman"/>
                <w:sz w:val="24"/>
                <w:szCs w:val="24"/>
              </w:rPr>
              <w:t>) ar kitų atminties laikmenų.</w:t>
            </w:r>
          </w:p>
        </w:tc>
      </w:tr>
      <w:tr w:rsidR="009C35F4" w:rsidRPr="00164301" w14:paraId="62860A11" w14:textId="77777777" w:rsidTr="00915FCB">
        <w:trPr>
          <w:trHeight w:val="300"/>
        </w:trPr>
        <w:tc>
          <w:tcPr>
            <w:tcW w:w="1305" w:type="dxa"/>
            <w:noWrap/>
          </w:tcPr>
          <w:p w14:paraId="399B7BD4"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1.11.3.</w:t>
            </w:r>
          </w:p>
        </w:tc>
        <w:tc>
          <w:tcPr>
            <w:tcW w:w="14322" w:type="dxa"/>
          </w:tcPr>
          <w:p w14:paraId="1CEA45D7"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r>
      <w:tr w:rsidR="009C35F4" w:rsidRPr="00164301" w14:paraId="6C96F701" w14:textId="77777777" w:rsidTr="00915FCB">
        <w:trPr>
          <w:trHeight w:val="300"/>
        </w:trPr>
        <w:tc>
          <w:tcPr>
            <w:tcW w:w="1305" w:type="dxa"/>
            <w:noWrap/>
          </w:tcPr>
          <w:p w14:paraId="4B3D1A86"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1.11.4.</w:t>
            </w:r>
          </w:p>
        </w:tc>
        <w:tc>
          <w:tcPr>
            <w:tcW w:w="14322" w:type="dxa"/>
          </w:tcPr>
          <w:p w14:paraId="022F533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įranga grąžinama tiekėjui arba keičiama nauja lygiaverte ar geresne, tačiau techninės specifikacijos reikalavimus atitinkančia įranga;</w:t>
            </w:r>
          </w:p>
        </w:tc>
      </w:tr>
      <w:tr w:rsidR="009C35F4" w:rsidRPr="00164301" w14:paraId="2B9456F9" w14:textId="77777777" w:rsidTr="00915FCB">
        <w:trPr>
          <w:trHeight w:val="300"/>
        </w:trPr>
        <w:tc>
          <w:tcPr>
            <w:tcW w:w="1305" w:type="dxa"/>
            <w:noWrap/>
          </w:tcPr>
          <w:p w14:paraId="768EE5C3" w14:textId="77777777" w:rsidR="009C35F4" w:rsidRPr="00164301" w:rsidRDefault="009C35F4" w:rsidP="00915FCB">
            <w:pPr>
              <w:spacing w:after="0" w:line="240" w:lineRule="auto"/>
              <w:rPr>
                <w:rFonts w:ascii="Times New Roman" w:hAnsi="Times New Roman" w:cs="Times New Roman"/>
                <w:bCs/>
                <w:sz w:val="24"/>
                <w:szCs w:val="24"/>
              </w:rPr>
            </w:pPr>
          </w:p>
        </w:tc>
        <w:tc>
          <w:tcPr>
            <w:tcW w:w="14322" w:type="dxa"/>
          </w:tcPr>
          <w:p w14:paraId="5FB83D80" w14:textId="77777777" w:rsidR="009C35F4" w:rsidRDefault="009C35F4" w:rsidP="00915FCB">
            <w:pPr>
              <w:tabs>
                <w:tab w:val="left" w:pos="390"/>
                <w:tab w:val="left" w:pos="1035"/>
                <w:tab w:val="left" w:pos="1500"/>
              </w:tabs>
              <w:spacing w:after="0" w:line="240" w:lineRule="auto"/>
              <w:jc w:val="both"/>
              <w:rPr>
                <w:rStyle w:val="normaltextrun"/>
                <w:rFonts w:ascii="Times New Roman" w:hAnsi="Times New Roman" w:cs="Times New Roman"/>
                <w:color w:val="000000"/>
                <w:sz w:val="24"/>
                <w:szCs w:val="24"/>
                <w:shd w:val="clear" w:color="auto" w:fill="FFFFFF"/>
              </w:rPr>
            </w:pPr>
            <w:r w:rsidRPr="00164301">
              <w:rPr>
                <w:rStyle w:val="normaltextrun"/>
                <w:rFonts w:ascii="Times New Roman" w:hAnsi="Times New Roman" w:cs="Times New Roman"/>
                <w:color w:val="000000"/>
                <w:sz w:val="24"/>
                <w:szCs w:val="24"/>
                <w:shd w:val="clear" w:color="auto" w:fill="FFFFFF"/>
              </w:rPr>
              <w:t xml:space="preserve">pirkimo objektas, vadovaujantis Lietuvos Respublikos viešųjų pirkimų įstatymo </w:t>
            </w:r>
            <w:r w:rsidRPr="00164301">
              <w:rPr>
                <w:rStyle w:val="normaltextrun"/>
                <w:rFonts w:ascii="Times New Roman" w:hAnsi="Times New Roman" w:cs="Times New Roman"/>
                <w:color w:val="000000"/>
                <w:sz w:val="24"/>
                <w:szCs w:val="24"/>
              </w:rPr>
              <w:t>37 straipsnio 9 dalimi</w:t>
            </w:r>
            <w:r w:rsidRPr="00164301">
              <w:rPr>
                <w:rStyle w:val="normaltextrun"/>
                <w:rFonts w:ascii="Times New Roman" w:hAnsi="Times New Roman" w:cs="Times New Roman"/>
                <w:color w:val="000000"/>
                <w:sz w:val="24"/>
                <w:szCs w:val="24"/>
                <w:shd w:val="clear" w:color="auto" w:fill="FFFFFF"/>
              </w:rPr>
              <w:t xml:space="preserve"> ir 37 str. 10 dalyje numatyta išimtimi, turi nekelti grėsmės nacionaliniam saugumui.</w:t>
            </w:r>
          </w:p>
          <w:p w14:paraId="2DBEC945" w14:textId="77777777" w:rsidR="009C35F4" w:rsidRDefault="009C35F4" w:rsidP="00915FCB">
            <w:pPr>
              <w:tabs>
                <w:tab w:val="left" w:pos="390"/>
                <w:tab w:val="left" w:pos="1035"/>
                <w:tab w:val="left" w:pos="1500"/>
              </w:tabs>
              <w:spacing w:after="0" w:line="240" w:lineRule="auto"/>
              <w:jc w:val="both"/>
              <w:rPr>
                <w:rStyle w:val="normaltextrun"/>
                <w:rFonts w:ascii="Times New Roman" w:hAnsi="Times New Roman" w:cs="Times New Roman"/>
                <w:color w:val="000000"/>
                <w:sz w:val="24"/>
                <w:szCs w:val="24"/>
                <w:shd w:val="clear" w:color="auto" w:fill="FFFFFF"/>
              </w:rPr>
            </w:pPr>
          </w:p>
          <w:p w14:paraId="6B78A390" w14:textId="77777777" w:rsidR="009C35F4" w:rsidRDefault="009C35F4" w:rsidP="00915FCB">
            <w:pPr>
              <w:tabs>
                <w:tab w:val="left" w:pos="390"/>
                <w:tab w:val="left" w:pos="1035"/>
                <w:tab w:val="left" w:pos="1500"/>
              </w:tabs>
              <w:spacing w:after="0" w:line="240" w:lineRule="auto"/>
              <w:jc w:val="both"/>
              <w:rPr>
                <w:rStyle w:val="normaltextrun"/>
                <w:rFonts w:ascii="Times New Roman" w:hAnsi="Times New Roman" w:cs="Times New Roman"/>
                <w:color w:val="000000"/>
                <w:sz w:val="24"/>
                <w:szCs w:val="24"/>
                <w:shd w:val="clear" w:color="auto" w:fill="FFFFFF"/>
              </w:rPr>
            </w:pPr>
          </w:p>
          <w:p w14:paraId="6311591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tc>
      </w:tr>
    </w:tbl>
    <w:p w14:paraId="74D95317" w14:textId="77777777" w:rsidR="009C35F4" w:rsidRPr="00164301" w:rsidRDefault="009C35F4" w:rsidP="009C35F4">
      <w:pPr>
        <w:spacing w:after="0" w:line="240" w:lineRule="auto"/>
        <w:rPr>
          <w:rFonts w:ascii="Times New Roman" w:hAnsi="Times New Roman" w:cs="Times New Roman"/>
          <w:sz w:val="24"/>
          <w:szCs w:val="24"/>
        </w:rPr>
      </w:pPr>
    </w:p>
    <w:tbl>
      <w:tblPr>
        <w:tblW w:w="15627" w:type="dxa"/>
        <w:tblInd w:w="-459" w:type="dxa"/>
        <w:tblLayout w:type="fixed"/>
        <w:tblLook w:val="04A0" w:firstRow="1" w:lastRow="0" w:firstColumn="1" w:lastColumn="0" w:noHBand="0" w:noVBand="1"/>
      </w:tblPr>
      <w:tblGrid>
        <w:gridCol w:w="1305"/>
        <w:gridCol w:w="2126"/>
        <w:gridCol w:w="12196"/>
      </w:tblGrid>
      <w:tr w:rsidR="009C35F4" w:rsidRPr="00164301" w14:paraId="5931DB92" w14:textId="77777777" w:rsidTr="00915FCB">
        <w:trPr>
          <w:trHeight w:val="300"/>
        </w:trPr>
        <w:tc>
          <w:tcPr>
            <w:tcW w:w="1305" w:type="dxa"/>
            <w:noWrap/>
          </w:tcPr>
          <w:p w14:paraId="505581E1" w14:textId="77777777" w:rsidR="009C35F4" w:rsidRPr="00164301" w:rsidRDefault="009C35F4" w:rsidP="00915FCB">
            <w:pPr>
              <w:spacing w:after="0" w:line="240" w:lineRule="auto"/>
              <w:rPr>
                <w:rFonts w:ascii="Times New Roman" w:hAnsi="Times New Roman" w:cs="Times New Roman"/>
                <w:b/>
                <w:bCs/>
                <w:sz w:val="24"/>
                <w:szCs w:val="24"/>
              </w:rPr>
            </w:pPr>
            <w:r w:rsidRPr="00164301">
              <w:rPr>
                <w:rFonts w:ascii="Times New Roman" w:hAnsi="Times New Roman" w:cs="Times New Roman"/>
                <w:b/>
                <w:bCs/>
                <w:sz w:val="24"/>
                <w:szCs w:val="24"/>
              </w:rPr>
              <w:lastRenderedPageBreak/>
              <w:t>2.</w:t>
            </w:r>
          </w:p>
        </w:tc>
        <w:tc>
          <w:tcPr>
            <w:tcW w:w="14322" w:type="dxa"/>
            <w:gridSpan w:val="2"/>
          </w:tcPr>
          <w:p w14:paraId="7B647D8F"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b/>
                <w:bCs/>
                <w:sz w:val="24"/>
                <w:szCs w:val="24"/>
              </w:rPr>
            </w:pPr>
            <w:r w:rsidRPr="00164301">
              <w:rPr>
                <w:rFonts w:ascii="Times New Roman" w:hAnsi="Times New Roman" w:cs="Times New Roman"/>
                <w:b/>
                <w:bCs/>
                <w:sz w:val="24"/>
                <w:szCs w:val="24"/>
              </w:rPr>
              <w:t xml:space="preserve">Stacionarusis kompiuteris </w:t>
            </w:r>
          </w:p>
        </w:tc>
      </w:tr>
      <w:tr w:rsidR="009C35F4" w:rsidRPr="00164301" w14:paraId="21B23787" w14:textId="77777777" w:rsidTr="00915FCB">
        <w:trPr>
          <w:trHeight w:val="300"/>
        </w:trPr>
        <w:tc>
          <w:tcPr>
            <w:tcW w:w="1305" w:type="dxa"/>
            <w:noWrap/>
          </w:tcPr>
          <w:p w14:paraId="68C15D5B"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w:t>
            </w:r>
          </w:p>
        </w:tc>
        <w:tc>
          <w:tcPr>
            <w:tcW w:w="2126" w:type="dxa"/>
          </w:tcPr>
          <w:p w14:paraId="5D276CC9" w14:textId="77777777" w:rsidR="009C35F4" w:rsidRPr="00164301" w:rsidRDefault="009C35F4" w:rsidP="00915FCB">
            <w:pPr>
              <w:spacing w:after="0" w:line="240" w:lineRule="auto"/>
              <w:ind w:left="34" w:right="98"/>
              <w:rPr>
                <w:rFonts w:ascii="Times New Roman" w:hAnsi="Times New Roman" w:cs="Times New Roman"/>
                <w:sz w:val="24"/>
                <w:szCs w:val="24"/>
              </w:rPr>
            </w:pPr>
            <w:r w:rsidRPr="00164301">
              <w:rPr>
                <w:rFonts w:ascii="Times New Roman" w:hAnsi="Times New Roman" w:cs="Times New Roman"/>
                <w:bCs/>
                <w:sz w:val="24"/>
                <w:szCs w:val="24"/>
                <w:lang w:eastAsia="lt-LT"/>
              </w:rPr>
              <w:t>Gamintojas, modelis, modifikacija:</w:t>
            </w:r>
          </w:p>
        </w:tc>
        <w:tc>
          <w:tcPr>
            <w:tcW w:w="12196" w:type="dxa"/>
          </w:tcPr>
          <w:p w14:paraId="4C85371B" w14:textId="77777777" w:rsidR="009C35F4" w:rsidRPr="00164301" w:rsidRDefault="009C35F4" w:rsidP="00915FCB">
            <w:pPr>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turi būti nurodyta.</w:t>
            </w:r>
          </w:p>
          <w:p w14:paraId="2D9FE9B7"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Gamintojas, modelis, modifikacija;</w:t>
            </w:r>
          </w:p>
          <w:p w14:paraId="6AD5E253"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p w14:paraId="2A5889F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tc>
      </w:tr>
      <w:tr w:rsidR="009C35F4" w:rsidRPr="00164301" w14:paraId="5F0B3F74" w14:textId="77777777" w:rsidTr="00915FCB">
        <w:trPr>
          <w:trHeight w:val="300"/>
        </w:trPr>
        <w:tc>
          <w:tcPr>
            <w:tcW w:w="1305" w:type="dxa"/>
            <w:noWrap/>
          </w:tcPr>
          <w:p w14:paraId="4D090B9C"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2.2.</w:t>
            </w:r>
          </w:p>
        </w:tc>
        <w:tc>
          <w:tcPr>
            <w:tcW w:w="2126" w:type="dxa"/>
          </w:tcPr>
          <w:p w14:paraId="6F0F4A24"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sz w:val="24"/>
                <w:szCs w:val="24"/>
              </w:rPr>
              <w:t>Procesorius:</w:t>
            </w:r>
          </w:p>
        </w:tc>
        <w:tc>
          <w:tcPr>
            <w:tcW w:w="12196" w:type="dxa"/>
          </w:tcPr>
          <w:p w14:paraId="389C4B8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turi būti ne mažiau kaip 36000 taškų pagal </w:t>
            </w:r>
            <w:proofErr w:type="spellStart"/>
            <w:r w:rsidRPr="00164301">
              <w:rPr>
                <w:rFonts w:ascii="Times New Roman" w:hAnsi="Times New Roman" w:cs="Times New Roman"/>
                <w:sz w:val="24"/>
                <w:szCs w:val="24"/>
              </w:rPr>
              <w:t>Pass</w:t>
            </w:r>
            <w:proofErr w:type="spellEnd"/>
            <w:r w:rsidRPr="00164301">
              <w:rPr>
                <w:rFonts w:ascii="Times New Roman" w:hAnsi="Times New Roman" w:cs="Times New Roman"/>
                <w:sz w:val="24"/>
                <w:szCs w:val="24"/>
              </w:rPr>
              <w:t xml:space="preserve"> Mark – CPU Mark  testų rezultatus. Rezultatai turi būti publikuojami http://www.cpubenchmark.net/high_end_cpus.html. Procesoriaus išleidimo į rinką data turi būti ne senesnė, nei 2 metai nuo skelbimo apie pirkimą paskelbimo  dienos. Testo rezultatai turi būti pateikiami kartu su pasiūlymu (angl. </w:t>
            </w:r>
            <w:proofErr w:type="spellStart"/>
            <w:r w:rsidRPr="00164301">
              <w:rPr>
                <w:rFonts w:ascii="Times New Roman" w:hAnsi="Times New Roman" w:cs="Times New Roman"/>
                <w:sz w:val="24"/>
                <w:szCs w:val="24"/>
              </w:rPr>
              <w:t>printscreen</w:t>
            </w:r>
            <w:proofErr w:type="spellEnd"/>
            <w:r w:rsidRPr="00164301">
              <w:rPr>
                <w:rFonts w:ascii="Times New Roman" w:hAnsi="Times New Roman" w:cs="Times New Roman"/>
                <w:sz w:val="24"/>
                <w:szCs w:val="24"/>
              </w:rPr>
              <w:t>).</w:t>
            </w:r>
          </w:p>
        </w:tc>
      </w:tr>
      <w:tr w:rsidR="009C35F4" w:rsidRPr="00164301" w14:paraId="7D074727" w14:textId="77777777" w:rsidTr="00915FCB">
        <w:trPr>
          <w:trHeight w:val="300"/>
        </w:trPr>
        <w:tc>
          <w:tcPr>
            <w:tcW w:w="1305" w:type="dxa"/>
            <w:noWrap/>
          </w:tcPr>
          <w:p w14:paraId="4D8E402C"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2.3.</w:t>
            </w:r>
          </w:p>
        </w:tc>
        <w:tc>
          <w:tcPr>
            <w:tcW w:w="2126" w:type="dxa"/>
          </w:tcPr>
          <w:p w14:paraId="6540BB90"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Operatyvioji atmintis:</w:t>
            </w:r>
          </w:p>
        </w:tc>
        <w:tc>
          <w:tcPr>
            <w:tcW w:w="12196" w:type="dxa"/>
          </w:tcPr>
          <w:p w14:paraId="7F686C82"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ne mažesnė kaip 32GB, 2 x 16 GB, DDR5-4800 arba naujesnė ir spartesnė.</w:t>
            </w:r>
          </w:p>
          <w:p w14:paraId="6417B853"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tc>
      </w:tr>
      <w:tr w:rsidR="009C35F4" w:rsidRPr="00164301" w14:paraId="54C25BDE" w14:textId="77777777" w:rsidTr="00915FCB">
        <w:trPr>
          <w:trHeight w:val="300"/>
        </w:trPr>
        <w:tc>
          <w:tcPr>
            <w:tcW w:w="1305" w:type="dxa"/>
            <w:noWrap/>
          </w:tcPr>
          <w:p w14:paraId="1B419ECD"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2.4.</w:t>
            </w:r>
          </w:p>
        </w:tc>
        <w:tc>
          <w:tcPr>
            <w:tcW w:w="2126" w:type="dxa"/>
          </w:tcPr>
          <w:p w14:paraId="3F75ED39"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Vidinis kietasis diskas:</w:t>
            </w:r>
          </w:p>
        </w:tc>
        <w:tc>
          <w:tcPr>
            <w:tcW w:w="12196" w:type="dxa"/>
          </w:tcPr>
          <w:p w14:paraId="2A1A79E0" w14:textId="77777777" w:rsidR="009C35F4" w:rsidRPr="00164301" w:rsidRDefault="009C35F4" w:rsidP="00915FCB">
            <w:pPr>
              <w:suppressAutoHyphens/>
              <w:autoSpaceDE w:val="0"/>
              <w:autoSpaceDN w:val="0"/>
              <w:adjustRightInd w:val="0"/>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ne mažiau kaip du po 1 TB, </w:t>
            </w:r>
            <w:proofErr w:type="spellStart"/>
            <w:r w:rsidRPr="00164301">
              <w:rPr>
                <w:rFonts w:ascii="Times New Roman" w:hAnsi="Times New Roman" w:cs="Times New Roman"/>
                <w:sz w:val="24"/>
                <w:szCs w:val="24"/>
              </w:rPr>
              <w:t>PCIe</w:t>
            </w:r>
            <w:proofErr w:type="spellEnd"/>
            <w:r w:rsidRPr="00164301">
              <w:rPr>
                <w:rFonts w:ascii="Times New Roman" w:hAnsi="Times New Roman" w:cs="Times New Roman"/>
                <w:sz w:val="24"/>
                <w:szCs w:val="24"/>
              </w:rPr>
              <w:t xml:space="preserve"> </w:t>
            </w:r>
            <w:proofErr w:type="spellStart"/>
            <w:r w:rsidRPr="00164301">
              <w:rPr>
                <w:rFonts w:ascii="Times New Roman" w:hAnsi="Times New Roman" w:cs="Times New Roman"/>
                <w:sz w:val="24"/>
                <w:szCs w:val="24"/>
              </w:rPr>
              <w:t>NVMe</w:t>
            </w:r>
            <w:proofErr w:type="spellEnd"/>
            <w:r w:rsidRPr="00164301">
              <w:rPr>
                <w:rFonts w:ascii="Times New Roman" w:hAnsi="Times New Roman" w:cs="Times New Roman"/>
                <w:sz w:val="24"/>
                <w:szCs w:val="24"/>
              </w:rPr>
              <w:t xml:space="preserve">, </w:t>
            </w:r>
            <w:proofErr w:type="spellStart"/>
            <w:r w:rsidRPr="00164301">
              <w:rPr>
                <w:rFonts w:ascii="Times New Roman" w:hAnsi="Times New Roman" w:cs="Times New Roman"/>
                <w:sz w:val="24"/>
                <w:szCs w:val="24"/>
              </w:rPr>
              <w:t>Gen</w:t>
            </w:r>
            <w:proofErr w:type="spellEnd"/>
            <w:r w:rsidRPr="00164301">
              <w:rPr>
                <w:rFonts w:ascii="Times New Roman" w:hAnsi="Times New Roman" w:cs="Times New Roman"/>
                <w:sz w:val="24"/>
                <w:szCs w:val="24"/>
              </w:rPr>
              <w:t xml:space="preserve"> 4 SSD</w:t>
            </w:r>
          </w:p>
        </w:tc>
      </w:tr>
      <w:tr w:rsidR="009C35F4" w:rsidRPr="00164301" w14:paraId="51AA3133" w14:textId="77777777" w:rsidTr="00915FCB">
        <w:trPr>
          <w:trHeight w:val="300"/>
        </w:trPr>
        <w:tc>
          <w:tcPr>
            <w:tcW w:w="1305" w:type="dxa"/>
            <w:noWrap/>
          </w:tcPr>
          <w:p w14:paraId="3F4B3727"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2.5.</w:t>
            </w:r>
          </w:p>
        </w:tc>
        <w:tc>
          <w:tcPr>
            <w:tcW w:w="2126" w:type="dxa"/>
          </w:tcPr>
          <w:p w14:paraId="438FB566"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Optinis įrenginys:</w:t>
            </w:r>
          </w:p>
        </w:tc>
        <w:tc>
          <w:tcPr>
            <w:tcW w:w="12196" w:type="dxa"/>
          </w:tcPr>
          <w:p w14:paraId="7B2EE8E9"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DVD+/-RW vidinis įrenginys, įrašantis ne mažesniu kaip 8x greičiu.     </w:t>
            </w:r>
          </w:p>
        </w:tc>
      </w:tr>
      <w:tr w:rsidR="009C35F4" w:rsidRPr="00164301" w14:paraId="57D6EEF1" w14:textId="77777777" w:rsidTr="00915FCB">
        <w:trPr>
          <w:trHeight w:val="300"/>
        </w:trPr>
        <w:tc>
          <w:tcPr>
            <w:tcW w:w="1305" w:type="dxa"/>
            <w:noWrap/>
          </w:tcPr>
          <w:p w14:paraId="092E436D"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eastAsia="Times New Roman" w:hAnsi="Times New Roman" w:cs="Times New Roman"/>
                <w:sz w:val="24"/>
                <w:szCs w:val="24"/>
              </w:rPr>
              <w:t>2.6.</w:t>
            </w:r>
          </w:p>
        </w:tc>
        <w:tc>
          <w:tcPr>
            <w:tcW w:w="2126" w:type="dxa"/>
          </w:tcPr>
          <w:p w14:paraId="4EDD7487"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sz w:val="24"/>
                <w:szCs w:val="24"/>
              </w:rPr>
              <w:t>Grafinė plokštė</w:t>
            </w:r>
          </w:p>
        </w:tc>
        <w:tc>
          <w:tcPr>
            <w:tcW w:w="12196" w:type="dxa"/>
          </w:tcPr>
          <w:p w14:paraId="20CC4745"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lang w:val="en-US"/>
              </w:rPr>
            </w:pPr>
            <w:r w:rsidRPr="00164301">
              <w:rPr>
                <w:rFonts w:ascii="Times New Roman" w:hAnsi="Times New Roman" w:cs="Times New Roman"/>
                <w:sz w:val="24"/>
                <w:szCs w:val="24"/>
              </w:rPr>
              <w:t xml:space="preserve">Nemažiau kaip 6 GB atminties, GDDR6 tipo. Turi turėti tiek prievadų, kad galima būtų prijungti mažiausiai tris monitorius.  </w:t>
            </w:r>
          </w:p>
        </w:tc>
      </w:tr>
      <w:tr w:rsidR="009C35F4" w:rsidRPr="00164301" w14:paraId="0C80C459" w14:textId="77777777" w:rsidTr="00915FCB">
        <w:trPr>
          <w:trHeight w:val="300"/>
        </w:trPr>
        <w:tc>
          <w:tcPr>
            <w:tcW w:w="1305" w:type="dxa"/>
            <w:noWrap/>
          </w:tcPr>
          <w:p w14:paraId="6B997B53"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w:t>
            </w:r>
            <w:r w:rsidRPr="00164301">
              <w:rPr>
                <w:rFonts w:ascii="Times New Roman" w:hAnsi="Times New Roman" w:cs="Times New Roman"/>
                <w:bCs/>
                <w:sz w:val="24"/>
                <w:szCs w:val="24"/>
                <w:lang w:val="en-US"/>
              </w:rPr>
              <w:t>7</w:t>
            </w:r>
            <w:r w:rsidRPr="00164301">
              <w:rPr>
                <w:rFonts w:ascii="Times New Roman" w:hAnsi="Times New Roman" w:cs="Times New Roman"/>
                <w:bCs/>
                <w:sz w:val="24"/>
                <w:szCs w:val="24"/>
              </w:rPr>
              <w:t>.</w:t>
            </w:r>
          </w:p>
        </w:tc>
        <w:tc>
          <w:tcPr>
            <w:tcW w:w="2126" w:type="dxa"/>
          </w:tcPr>
          <w:p w14:paraId="7A1D0EF1"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Garso plokštė:</w:t>
            </w:r>
          </w:p>
        </w:tc>
        <w:tc>
          <w:tcPr>
            <w:tcW w:w="12196" w:type="dxa"/>
          </w:tcPr>
          <w:p w14:paraId="47D3340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ne prastesnė kaip 2 kanalų HD garso plokštė.</w:t>
            </w:r>
          </w:p>
        </w:tc>
      </w:tr>
      <w:tr w:rsidR="009C35F4" w:rsidRPr="00164301" w14:paraId="4C4C7DAD" w14:textId="77777777" w:rsidTr="00915FCB">
        <w:trPr>
          <w:trHeight w:val="300"/>
        </w:trPr>
        <w:tc>
          <w:tcPr>
            <w:tcW w:w="1305" w:type="dxa"/>
            <w:noWrap/>
          </w:tcPr>
          <w:p w14:paraId="42F933D8"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2.8.</w:t>
            </w:r>
          </w:p>
        </w:tc>
        <w:tc>
          <w:tcPr>
            <w:tcW w:w="2126" w:type="dxa"/>
          </w:tcPr>
          <w:p w14:paraId="6D46B112"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Korpusas:</w:t>
            </w:r>
          </w:p>
        </w:tc>
        <w:tc>
          <w:tcPr>
            <w:tcW w:w="12196" w:type="dxa"/>
          </w:tcPr>
          <w:p w14:paraId="4C03E3F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color w:val="FF0000"/>
                <w:sz w:val="24"/>
                <w:szCs w:val="24"/>
              </w:rPr>
            </w:pPr>
            <w:r w:rsidRPr="00164301">
              <w:rPr>
                <w:rFonts w:ascii="Times New Roman" w:hAnsi="Times New Roman" w:cs="Times New Roman"/>
                <w:sz w:val="24"/>
                <w:szCs w:val="24"/>
              </w:rPr>
              <w:t xml:space="preserve">korpuso tipas: bokštinis (angl. </w:t>
            </w:r>
            <w:proofErr w:type="spellStart"/>
            <w:r w:rsidRPr="00164301">
              <w:rPr>
                <w:rFonts w:ascii="Times New Roman" w:hAnsi="Times New Roman" w:cs="Times New Roman"/>
                <w:sz w:val="24"/>
                <w:szCs w:val="24"/>
              </w:rPr>
              <w:t>Tower</w:t>
            </w:r>
            <w:proofErr w:type="spellEnd"/>
            <w:r w:rsidRPr="00164301">
              <w:rPr>
                <w:rFonts w:ascii="Times New Roman" w:hAnsi="Times New Roman" w:cs="Times New Roman"/>
                <w:sz w:val="24"/>
                <w:szCs w:val="24"/>
              </w:rPr>
              <w:t xml:space="preserve">/TWR). Korpuso konstrukcija privalo užtikrinti korpuso plombavimo ir/ar užrakinimo galimybę. </w:t>
            </w:r>
          </w:p>
        </w:tc>
      </w:tr>
      <w:tr w:rsidR="009C35F4" w:rsidRPr="00164301" w14:paraId="51D0499D" w14:textId="77777777" w:rsidTr="00915FCB">
        <w:trPr>
          <w:trHeight w:val="300"/>
        </w:trPr>
        <w:tc>
          <w:tcPr>
            <w:tcW w:w="1305" w:type="dxa"/>
            <w:noWrap/>
          </w:tcPr>
          <w:p w14:paraId="2D7E299E"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2.9.</w:t>
            </w:r>
          </w:p>
        </w:tc>
        <w:tc>
          <w:tcPr>
            <w:tcW w:w="2126" w:type="dxa"/>
          </w:tcPr>
          <w:p w14:paraId="5C0F6F15"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Maitinimo šaltinis:</w:t>
            </w:r>
          </w:p>
        </w:tc>
        <w:tc>
          <w:tcPr>
            <w:tcW w:w="12196" w:type="dxa"/>
          </w:tcPr>
          <w:p w14:paraId="57256CE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skirtas maitinti kompiuterį iš elektros tinklo nuo 210V iki 240V.</w:t>
            </w:r>
          </w:p>
        </w:tc>
      </w:tr>
      <w:tr w:rsidR="009C35F4" w:rsidRPr="00164301" w14:paraId="4E0BB012" w14:textId="77777777" w:rsidTr="00915FCB">
        <w:trPr>
          <w:trHeight w:val="300"/>
        </w:trPr>
        <w:tc>
          <w:tcPr>
            <w:tcW w:w="1305" w:type="dxa"/>
            <w:noWrap/>
          </w:tcPr>
          <w:p w14:paraId="3EA4E87F"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2.10.</w:t>
            </w:r>
          </w:p>
        </w:tc>
        <w:tc>
          <w:tcPr>
            <w:tcW w:w="2126" w:type="dxa"/>
          </w:tcPr>
          <w:p w14:paraId="57782F85"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Tinklo adapteris:</w:t>
            </w:r>
          </w:p>
        </w:tc>
        <w:tc>
          <w:tcPr>
            <w:tcW w:w="12196" w:type="dxa"/>
          </w:tcPr>
          <w:p w14:paraId="38C3E3EC"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ne blogesnis kaip 10/100/1000Mbps, palaikantis PXE, WOL, VLAN. </w:t>
            </w:r>
            <w:r w:rsidRPr="00164301">
              <w:rPr>
                <w:rFonts w:ascii="Times New Roman" w:hAnsi="Times New Roman" w:cs="Times New Roman"/>
                <w:color w:val="000000" w:themeColor="text1"/>
                <w:sz w:val="24"/>
                <w:szCs w:val="24"/>
              </w:rPr>
              <w:t xml:space="preserve">Kompiuteris turi turėtu du aktyvius RJ45 lizdus, arba pateikiama su papildoma, suderinama su kompiuteriu, tinklo plokšte kurioje ne mažiau kaip vienas RJ45 lizdas. </w:t>
            </w:r>
            <w:proofErr w:type="spellStart"/>
            <w:r w:rsidRPr="00164301">
              <w:rPr>
                <w:rFonts w:ascii="Times New Roman" w:hAnsi="Times New Roman" w:cs="Times New Roman"/>
                <w:sz w:val="24"/>
                <w:szCs w:val="24"/>
              </w:rPr>
              <w:t>Bluetooth</w:t>
            </w:r>
            <w:proofErr w:type="spellEnd"/>
            <w:r w:rsidRPr="00164301">
              <w:rPr>
                <w:rFonts w:ascii="Times New Roman" w:hAnsi="Times New Roman" w:cs="Times New Roman"/>
                <w:sz w:val="24"/>
                <w:szCs w:val="24"/>
              </w:rPr>
              <w:t xml:space="preserve"> 5.0 palaikymas (arba geresnis), jei nėra integruoto tada pridedamas USB adapteris.</w:t>
            </w:r>
          </w:p>
        </w:tc>
      </w:tr>
      <w:tr w:rsidR="009C35F4" w:rsidRPr="00164301" w14:paraId="36CF745E" w14:textId="77777777" w:rsidTr="00915FCB">
        <w:trPr>
          <w:trHeight w:val="300"/>
        </w:trPr>
        <w:tc>
          <w:tcPr>
            <w:tcW w:w="1305" w:type="dxa"/>
            <w:noWrap/>
          </w:tcPr>
          <w:p w14:paraId="316E8C7D"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2.11.</w:t>
            </w:r>
          </w:p>
        </w:tc>
        <w:tc>
          <w:tcPr>
            <w:tcW w:w="2126" w:type="dxa"/>
          </w:tcPr>
          <w:p w14:paraId="79106B1A"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Integruoti prievadai:</w:t>
            </w:r>
          </w:p>
        </w:tc>
        <w:tc>
          <w:tcPr>
            <w:tcW w:w="12196" w:type="dxa"/>
          </w:tcPr>
          <w:p w14:paraId="05E9C088"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ne mažiau kaip 8 vnt. USB 3.1 (arba geresnių). Bent 4 iš jų priekiniame korpuso skydelyje iš kurių bent 2 prievadai USB 3.2 tipo.</w:t>
            </w:r>
          </w:p>
          <w:p w14:paraId="738BCD16" w14:textId="77777777" w:rsidR="009C35F4" w:rsidRPr="00164301" w:rsidRDefault="009C35F4" w:rsidP="00915FCB">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164301">
              <w:rPr>
                <w:rFonts w:ascii="Times New Roman" w:eastAsia="Calibri" w:hAnsi="Times New Roman" w:cs="Times New Roman"/>
                <w:sz w:val="24"/>
                <w:szCs w:val="24"/>
              </w:rPr>
              <w:t>Ne mažiau kaip:</w:t>
            </w:r>
          </w:p>
          <w:p w14:paraId="5547C139" w14:textId="77777777" w:rsidR="009C35F4" w:rsidRPr="00164301" w:rsidRDefault="009C35F4" w:rsidP="00915FCB">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164301">
              <w:rPr>
                <w:rFonts w:ascii="Times New Roman" w:eastAsia="Calibri" w:hAnsi="Times New Roman" w:cs="Times New Roman"/>
                <w:sz w:val="24"/>
                <w:szCs w:val="24"/>
              </w:rPr>
              <w:t xml:space="preserve">1x ausinių lizdas ir 1x mikrofono lizdas arba 1x kombinuotas ausinių/mikrofono lizdas, </w:t>
            </w:r>
          </w:p>
          <w:p w14:paraId="3CCC87D7" w14:textId="77777777" w:rsidR="009C35F4" w:rsidRPr="00164301" w:rsidRDefault="009C35F4" w:rsidP="00915FCB">
            <w:pPr>
              <w:suppressAutoHyphens/>
              <w:autoSpaceDE w:val="0"/>
              <w:autoSpaceDN w:val="0"/>
              <w:adjustRightInd w:val="0"/>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1 x </w:t>
            </w:r>
            <w:proofErr w:type="spellStart"/>
            <w:r w:rsidRPr="00164301">
              <w:rPr>
                <w:rFonts w:ascii="Times New Roman" w:hAnsi="Times New Roman" w:cs="Times New Roman"/>
                <w:sz w:val="24"/>
                <w:szCs w:val="24"/>
              </w:rPr>
              <w:t>DisplayPort</w:t>
            </w:r>
            <w:proofErr w:type="spellEnd"/>
            <w:r w:rsidRPr="00164301">
              <w:rPr>
                <w:rFonts w:ascii="Times New Roman" w:hAnsi="Times New Roman" w:cs="Times New Roman"/>
                <w:sz w:val="24"/>
                <w:szCs w:val="24"/>
              </w:rPr>
              <w:t>,</w:t>
            </w:r>
          </w:p>
          <w:p w14:paraId="0D841EAC" w14:textId="77777777" w:rsidR="009C35F4" w:rsidRPr="00164301" w:rsidRDefault="009C35F4" w:rsidP="00915FCB">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164301">
              <w:rPr>
                <w:rFonts w:ascii="Times New Roman" w:hAnsi="Times New Roman" w:cs="Times New Roman"/>
                <w:sz w:val="24"/>
                <w:szCs w:val="24"/>
              </w:rPr>
              <w:t>1 x HDMI jungtys,</w:t>
            </w:r>
          </w:p>
          <w:p w14:paraId="20995E9D" w14:textId="77777777" w:rsidR="009C35F4" w:rsidRPr="00164301" w:rsidRDefault="009C35F4" w:rsidP="00915FCB">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164301">
              <w:rPr>
                <w:rFonts w:ascii="Times New Roman" w:eastAsia="Calibri" w:hAnsi="Times New Roman" w:cs="Times New Roman"/>
                <w:sz w:val="24"/>
                <w:szCs w:val="24"/>
              </w:rPr>
              <w:t>1 x Ethernet (RJ-45) lizdas.</w:t>
            </w:r>
          </w:p>
        </w:tc>
      </w:tr>
      <w:tr w:rsidR="009C35F4" w:rsidRPr="00164301" w14:paraId="45D5BF6E" w14:textId="77777777" w:rsidTr="00915FCB">
        <w:trPr>
          <w:trHeight w:val="300"/>
        </w:trPr>
        <w:tc>
          <w:tcPr>
            <w:tcW w:w="1305" w:type="dxa"/>
            <w:noWrap/>
          </w:tcPr>
          <w:p w14:paraId="4FB010FD"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2.12.</w:t>
            </w:r>
          </w:p>
        </w:tc>
        <w:tc>
          <w:tcPr>
            <w:tcW w:w="2126" w:type="dxa"/>
          </w:tcPr>
          <w:p w14:paraId="3088A7C2"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Klaviatūra:</w:t>
            </w:r>
          </w:p>
        </w:tc>
        <w:tc>
          <w:tcPr>
            <w:tcW w:w="12196" w:type="dxa"/>
          </w:tcPr>
          <w:p w14:paraId="05987BE5"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eastAsia="Calibri" w:hAnsi="Times New Roman" w:cs="Times New Roman"/>
                <w:sz w:val="24"/>
                <w:szCs w:val="24"/>
              </w:rPr>
              <w:t xml:space="preserve">deranti kompiuteriui pilna lotyniškų raidžių ir atskirai skaičių klaviatūra su integruotu lustinių kortelių skaitytuvu bei lietuviškos abėcėlės ženklais (lietuviškos raidės užrašytos ne klijavimo būdu), jungiama per USB jungtį. Lustinių kortelių skaitytuvas privalo būti suderinamas su Lietuvos Respublikos valstybės asmens tapatybės lustinėmis kortelėmis. </w:t>
            </w:r>
          </w:p>
        </w:tc>
      </w:tr>
      <w:tr w:rsidR="009C35F4" w:rsidRPr="00164301" w14:paraId="0299DF51" w14:textId="77777777" w:rsidTr="00915FCB">
        <w:trPr>
          <w:trHeight w:val="300"/>
        </w:trPr>
        <w:tc>
          <w:tcPr>
            <w:tcW w:w="1305" w:type="dxa"/>
            <w:noWrap/>
          </w:tcPr>
          <w:p w14:paraId="341DC47D"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2.13.</w:t>
            </w:r>
          </w:p>
        </w:tc>
        <w:tc>
          <w:tcPr>
            <w:tcW w:w="2126" w:type="dxa"/>
          </w:tcPr>
          <w:p w14:paraId="7507CDF7"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Pelė:</w:t>
            </w:r>
          </w:p>
        </w:tc>
        <w:tc>
          <w:tcPr>
            <w:tcW w:w="12196" w:type="dxa"/>
          </w:tcPr>
          <w:p w14:paraId="477585C6"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eastAsia="Calibri" w:hAnsi="Times New Roman" w:cs="Times New Roman"/>
                <w:sz w:val="24"/>
                <w:szCs w:val="24"/>
              </w:rPr>
              <w:t>deranti kompiuteriui lazerinė pelė su ratuku.</w:t>
            </w:r>
          </w:p>
        </w:tc>
      </w:tr>
      <w:tr w:rsidR="009C35F4" w:rsidRPr="00164301" w14:paraId="3F73D157" w14:textId="77777777" w:rsidTr="00915FCB">
        <w:trPr>
          <w:trHeight w:val="300"/>
        </w:trPr>
        <w:tc>
          <w:tcPr>
            <w:tcW w:w="1305" w:type="dxa"/>
            <w:noWrap/>
          </w:tcPr>
          <w:p w14:paraId="6418C67E"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lastRenderedPageBreak/>
              <w:t>2.14.</w:t>
            </w:r>
          </w:p>
        </w:tc>
        <w:tc>
          <w:tcPr>
            <w:tcW w:w="2126" w:type="dxa"/>
          </w:tcPr>
          <w:p w14:paraId="2583C617"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Monitorius</w:t>
            </w:r>
          </w:p>
        </w:tc>
        <w:tc>
          <w:tcPr>
            <w:tcW w:w="12196" w:type="dxa"/>
          </w:tcPr>
          <w:p w14:paraId="4B53239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color w:val="FF0000"/>
                <w:sz w:val="24"/>
                <w:szCs w:val="24"/>
              </w:rPr>
            </w:pPr>
            <w:r w:rsidRPr="00164301">
              <w:rPr>
                <w:rFonts w:ascii="Times New Roman" w:hAnsi="Times New Roman" w:cs="Times New Roman"/>
                <w:sz w:val="24"/>
                <w:szCs w:val="24"/>
              </w:rPr>
              <w:t>derantis kompiuteriui, ne mažesnis nei 34" įstrižainės, lenktas (</w:t>
            </w:r>
            <w:proofErr w:type="spellStart"/>
            <w:r w:rsidRPr="00164301">
              <w:rPr>
                <w:rFonts w:ascii="Times New Roman" w:hAnsi="Times New Roman" w:cs="Times New Roman"/>
                <w:i/>
                <w:sz w:val="24"/>
                <w:szCs w:val="24"/>
              </w:rPr>
              <w:t>angl.curved</w:t>
            </w:r>
            <w:proofErr w:type="spellEnd"/>
            <w:r w:rsidRPr="00164301">
              <w:rPr>
                <w:rFonts w:ascii="Times New Roman" w:hAnsi="Times New Roman" w:cs="Times New Roman"/>
                <w:sz w:val="24"/>
                <w:szCs w:val="24"/>
              </w:rPr>
              <w:t xml:space="preserve">) su matiniu paviršiumi (angl. </w:t>
            </w:r>
            <w:proofErr w:type="spellStart"/>
            <w:r w:rsidRPr="00164301">
              <w:rPr>
                <w:rFonts w:ascii="Times New Roman" w:hAnsi="Times New Roman" w:cs="Times New Roman"/>
                <w:i/>
                <w:sz w:val="24"/>
                <w:szCs w:val="24"/>
              </w:rPr>
              <w:t>AntiGlare</w:t>
            </w:r>
            <w:proofErr w:type="spellEnd"/>
            <w:r w:rsidRPr="00164301">
              <w:rPr>
                <w:rFonts w:ascii="Times New Roman" w:hAnsi="Times New Roman" w:cs="Times New Roman"/>
                <w:sz w:val="24"/>
                <w:szCs w:val="24"/>
              </w:rPr>
              <w:t>).</w:t>
            </w:r>
          </w:p>
          <w:p w14:paraId="4F8848E4"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Raiška ne mažesnė kaip 3440 x 1440 ir kraštinių santykis 21:9. Monitoriaus išlenkimo kampas (</w:t>
            </w:r>
            <w:r w:rsidRPr="00164301">
              <w:rPr>
                <w:rFonts w:ascii="Times New Roman" w:hAnsi="Times New Roman" w:cs="Times New Roman"/>
                <w:i/>
                <w:sz w:val="24"/>
                <w:szCs w:val="24"/>
              </w:rPr>
              <w:t xml:space="preserve">angl. </w:t>
            </w:r>
            <w:proofErr w:type="spellStart"/>
            <w:r w:rsidRPr="00164301">
              <w:rPr>
                <w:rFonts w:ascii="Times New Roman" w:hAnsi="Times New Roman" w:cs="Times New Roman"/>
                <w:i/>
                <w:sz w:val="24"/>
                <w:szCs w:val="24"/>
              </w:rPr>
              <w:t>Curvature</w:t>
            </w:r>
            <w:proofErr w:type="spellEnd"/>
            <w:r w:rsidRPr="00164301">
              <w:rPr>
                <w:rFonts w:ascii="Times New Roman" w:hAnsi="Times New Roman" w:cs="Times New Roman"/>
                <w:sz w:val="24"/>
                <w:szCs w:val="24"/>
              </w:rPr>
              <w:t>) ne mažesnis nei 3800R (daugiau išlenktas – geriau). Statiškas kontrasto santykis ne mažiau nei 1000:1. Žiūrėjimo kampai ne prašiau nei 178°(H)/178°(V). Pikselio atsako laikas ne daugiau nei 6ms. Tipinis ekrano ryškumas ne mažiau kaip 300 cd/m² (nitų). Kadrų greitis ne mažiau kaip 60 Hz.</w:t>
            </w:r>
          </w:p>
          <w:p w14:paraId="3A613D27" w14:textId="77777777" w:rsidR="009C35F4" w:rsidRPr="00164301" w:rsidRDefault="009C35F4" w:rsidP="00915FCB">
            <w:pPr>
              <w:tabs>
                <w:tab w:val="left" w:pos="390"/>
                <w:tab w:val="left" w:pos="1035"/>
                <w:tab w:val="left" w:pos="1500"/>
              </w:tabs>
              <w:spacing w:after="0" w:line="240" w:lineRule="auto"/>
              <w:jc w:val="both"/>
              <w:rPr>
                <w:rFonts w:ascii="Times New Roman" w:eastAsia="Calibri" w:hAnsi="Times New Roman" w:cs="Times New Roman"/>
                <w:sz w:val="24"/>
                <w:szCs w:val="24"/>
              </w:rPr>
            </w:pPr>
            <w:r w:rsidRPr="00164301">
              <w:rPr>
                <w:rFonts w:ascii="Times New Roman" w:hAnsi="Times New Roman" w:cs="Times New Roman"/>
                <w:sz w:val="24"/>
                <w:szCs w:val="24"/>
              </w:rPr>
              <w:t xml:space="preserve">Ne mažiau kaip 1 </w:t>
            </w:r>
            <w:proofErr w:type="spellStart"/>
            <w:r w:rsidRPr="00164301">
              <w:rPr>
                <w:rFonts w:ascii="Times New Roman" w:hAnsi="Times New Roman" w:cs="Times New Roman"/>
                <w:sz w:val="24"/>
                <w:szCs w:val="24"/>
              </w:rPr>
              <w:t>DisplayPort</w:t>
            </w:r>
            <w:proofErr w:type="spellEnd"/>
            <w:r w:rsidRPr="00164301">
              <w:rPr>
                <w:rFonts w:ascii="Times New Roman" w:hAnsi="Times New Roman" w:cs="Times New Roman"/>
                <w:sz w:val="24"/>
                <w:szCs w:val="24"/>
              </w:rPr>
              <w:t xml:space="preserve"> ir 1 HDMI jungtys. Ne mažiau kaip 4 vienetai ir ne prastesnių kaip USB 3.2 prievadų. Ekrano aukščio reguliavimo funkcija, ekrano pakreipimo funkcija, ekrano pavertimo funkcija. Vidinis elektros srovės maitinimo šaltinis.</w:t>
            </w:r>
            <w:r w:rsidRPr="00164301">
              <w:rPr>
                <w:rFonts w:ascii="Times New Roman" w:hAnsi="Times New Roman" w:cs="Times New Roman"/>
                <w:color w:val="FF0000"/>
                <w:sz w:val="24"/>
                <w:szCs w:val="24"/>
              </w:rPr>
              <w:t xml:space="preserve"> </w:t>
            </w:r>
            <w:r w:rsidRPr="00164301">
              <w:rPr>
                <w:rFonts w:ascii="Times New Roman" w:hAnsi="Times New Roman" w:cs="Times New Roman"/>
                <w:sz w:val="24"/>
                <w:szCs w:val="24"/>
              </w:rPr>
              <w:t xml:space="preserve">Turi būti komplektuojamas skaitmeniniais vaizdo signalo kabeliais sujungimui su kompiuteriu (pvz. </w:t>
            </w:r>
            <w:proofErr w:type="spellStart"/>
            <w:r w:rsidRPr="00164301">
              <w:rPr>
                <w:rFonts w:ascii="Times New Roman" w:hAnsi="Times New Roman" w:cs="Times New Roman"/>
                <w:sz w:val="24"/>
                <w:szCs w:val="24"/>
              </w:rPr>
              <w:t>DisplayPort</w:t>
            </w:r>
            <w:proofErr w:type="spellEnd"/>
            <w:r w:rsidRPr="00164301">
              <w:rPr>
                <w:rFonts w:ascii="Times New Roman" w:hAnsi="Times New Roman" w:cs="Times New Roman"/>
                <w:sz w:val="24"/>
                <w:szCs w:val="24"/>
              </w:rPr>
              <w:t xml:space="preserve"> ar HDMI). Turi būti IPS panelės technologijos tipo. Su integruotomis garso kolonėlėmis.</w:t>
            </w:r>
          </w:p>
        </w:tc>
      </w:tr>
      <w:tr w:rsidR="009C35F4" w:rsidRPr="00164301" w14:paraId="453B62BB" w14:textId="77777777" w:rsidTr="00915FCB">
        <w:trPr>
          <w:trHeight w:val="300"/>
        </w:trPr>
        <w:tc>
          <w:tcPr>
            <w:tcW w:w="1305" w:type="dxa"/>
            <w:noWrap/>
          </w:tcPr>
          <w:p w14:paraId="5932DE15"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2.15.</w:t>
            </w:r>
          </w:p>
        </w:tc>
        <w:tc>
          <w:tcPr>
            <w:tcW w:w="2126" w:type="dxa"/>
          </w:tcPr>
          <w:p w14:paraId="0F7E9F8D"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Apsaugos galimybės:</w:t>
            </w:r>
          </w:p>
        </w:tc>
        <w:tc>
          <w:tcPr>
            <w:tcW w:w="12196" w:type="dxa"/>
          </w:tcPr>
          <w:p w14:paraId="07BBA87C"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atminties keitimo perspėjimas (angl. </w:t>
            </w:r>
            <w:proofErr w:type="spellStart"/>
            <w:r w:rsidRPr="00164301">
              <w:rPr>
                <w:rFonts w:ascii="Times New Roman" w:hAnsi="Times New Roman" w:cs="Times New Roman"/>
                <w:i/>
                <w:sz w:val="24"/>
                <w:szCs w:val="24"/>
              </w:rPr>
              <w:t>Memory</w:t>
            </w:r>
            <w:proofErr w:type="spellEnd"/>
            <w:r w:rsidRPr="00164301">
              <w:rPr>
                <w:rFonts w:ascii="Times New Roman" w:hAnsi="Times New Roman" w:cs="Times New Roman"/>
                <w:i/>
                <w:sz w:val="24"/>
                <w:szCs w:val="24"/>
              </w:rPr>
              <w:t xml:space="preserve"> </w:t>
            </w:r>
            <w:proofErr w:type="spellStart"/>
            <w:r w:rsidRPr="00164301">
              <w:rPr>
                <w:rFonts w:ascii="Times New Roman" w:hAnsi="Times New Roman" w:cs="Times New Roman"/>
                <w:i/>
                <w:sz w:val="24"/>
                <w:szCs w:val="24"/>
              </w:rPr>
              <w:t>Change</w:t>
            </w:r>
            <w:proofErr w:type="spellEnd"/>
            <w:r w:rsidRPr="00164301">
              <w:rPr>
                <w:rFonts w:ascii="Times New Roman" w:hAnsi="Times New Roman" w:cs="Times New Roman"/>
                <w:i/>
                <w:sz w:val="24"/>
                <w:szCs w:val="24"/>
              </w:rPr>
              <w:t xml:space="preserve"> </w:t>
            </w:r>
            <w:proofErr w:type="spellStart"/>
            <w:r w:rsidRPr="00164301">
              <w:rPr>
                <w:rFonts w:ascii="Times New Roman" w:hAnsi="Times New Roman" w:cs="Times New Roman"/>
                <w:i/>
                <w:sz w:val="24"/>
                <w:szCs w:val="24"/>
              </w:rPr>
              <w:t>Alert</w:t>
            </w:r>
            <w:proofErr w:type="spellEnd"/>
            <w:r w:rsidRPr="00164301">
              <w:rPr>
                <w:rFonts w:ascii="Times New Roman" w:hAnsi="Times New Roman" w:cs="Times New Roman"/>
                <w:sz w:val="24"/>
                <w:szCs w:val="24"/>
              </w:rPr>
              <w: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 sutikrinti gamintojo puslapyje.</w:t>
            </w:r>
          </w:p>
        </w:tc>
      </w:tr>
      <w:tr w:rsidR="009C35F4" w:rsidRPr="00164301" w14:paraId="7E8D6B52" w14:textId="77777777" w:rsidTr="00915FCB">
        <w:trPr>
          <w:trHeight w:val="300"/>
        </w:trPr>
        <w:tc>
          <w:tcPr>
            <w:tcW w:w="1305" w:type="dxa"/>
            <w:noWrap/>
          </w:tcPr>
          <w:p w14:paraId="124776EE"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2.16.</w:t>
            </w:r>
          </w:p>
        </w:tc>
        <w:tc>
          <w:tcPr>
            <w:tcW w:w="2126" w:type="dxa"/>
          </w:tcPr>
          <w:p w14:paraId="5AAA3784"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Komplektuojamas su programine įranga:</w:t>
            </w:r>
          </w:p>
        </w:tc>
        <w:tc>
          <w:tcPr>
            <w:tcW w:w="12196" w:type="dxa"/>
          </w:tcPr>
          <w:p w14:paraId="4F209F7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i/>
                <w:iCs/>
                <w:sz w:val="24"/>
                <w:szCs w:val="24"/>
              </w:rPr>
              <w:t xml:space="preserve">Microsoft Office Professional 2021 </w:t>
            </w:r>
            <w:r w:rsidRPr="00164301">
              <w:rPr>
                <w:rFonts w:ascii="Times New Roman" w:hAnsi="Times New Roman" w:cs="Times New Roman"/>
                <w:sz w:val="24"/>
                <w:szCs w:val="24"/>
              </w:rPr>
              <w:t>arba naujesnė.</w:t>
            </w:r>
            <w:r w:rsidRPr="00164301">
              <w:rPr>
                <w:rFonts w:ascii="Times New Roman" w:hAnsi="Times New Roman" w:cs="Times New Roman"/>
                <w:i/>
                <w:iCs/>
                <w:sz w:val="24"/>
                <w:szCs w:val="24"/>
              </w:rPr>
              <w:t xml:space="preserve"> Microsoft Windows 10 Professional</w:t>
            </w:r>
            <w:r w:rsidRPr="00164301">
              <w:rPr>
                <w:rFonts w:ascii="Times New Roman" w:hAnsi="Times New Roman" w:cs="Times New Roman"/>
                <w:sz w:val="24"/>
                <w:szCs w:val="24"/>
              </w:rPr>
              <w:t xml:space="preserve"> 64 bitų arba </w:t>
            </w:r>
            <w:r w:rsidRPr="00164301">
              <w:rPr>
                <w:rFonts w:ascii="Times New Roman" w:hAnsi="Times New Roman" w:cs="Times New Roman"/>
                <w:i/>
                <w:iCs/>
                <w:sz w:val="24"/>
                <w:szCs w:val="24"/>
              </w:rPr>
              <w:t>Microsoft Windows 11 Professional</w:t>
            </w:r>
            <w:r w:rsidRPr="00164301">
              <w:rPr>
                <w:rFonts w:ascii="Times New Roman" w:hAnsi="Times New Roman" w:cs="Times New Roman"/>
                <w:sz w:val="24"/>
                <w:szCs w:val="24"/>
              </w:rPr>
              <w:t xml:space="preserve"> 64 bitų arba lygiavertė. Nurodyti siūlomos programinės įrangos gamintoją ir pavadinimą. Kompiuteris turi būti sertifikuotas darbui su </w:t>
            </w:r>
            <w:r w:rsidRPr="00164301">
              <w:rPr>
                <w:rFonts w:ascii="Times New Roman" w:hAnsi="Times New Roman" w:cs="Times New Roman"/>
                <w:i/>
                <w:iCs/>
                <w:sz w:val="24"/>
                <w:szCs w:val="24"/>
              </w:rPr>
              <w:t>Microsoft Windows 10 Professional</w:t>
            </w:r>
            <w:r w:rsidRPr="00164301">
              <w:rPr>
                <w:rFonts w:ascii="Times New Roman" w:hAnsi="Times New Roman" w:cs="Times New Roman"/>
                <w:sz w:val="24"/>
                <w:szCs w:val="24"/>
              </w:rPr>
              <w:t xml:space="preserve"> 64 bitų ar </w:t>
            </w:r>
            <w:r w:rsidRPr="00164301">
              <w:rPr>
                <w:rFonts w:ascii="Times New Roman" w:hAnsi="Times New Roman" w:cs="Times New Roman"/>
                <w:i/>
                <w:iCs/>
                <w:sz w:val="24"/>
                <w:szCs w:val="24"/>
              </w:rPr>
              <w:t>Microsoft Windows 11 Professional</w:t>
            </w:r>
            <w:r w:rsidRPr="00164301">
              <w:rPr>
                <w:rFonts w:ascii="Times New Roman" w:hAnsi="Times New Roman" w:cs="Times New Roman"/>
                <w:sz w:val="24"/>
                <w:szCs w:val="24"/>
              </w:rPr>
              <w:t xml:space="preserve"> 64 bitų operacinėmis sistemomis arba lygiavertėmis. Informacija apie sertifikavimą turi būti pateikta oficialiose programinės įrangos gamintojo interneto svetainėse (būtina nurodyti tikslią nuorodą) arba įrodoma pateikiant Microsoft išduotų sertifikatų kopijas.</w:t>
            </w:r>
          </w:p>
          <w:p w14:paraId="319364C3"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tc>
      </w:tr>
      <w:tr w:rsidR="009C35F4" w:rsidRPr="00164301" w14:paraId="5EB4004A" w14:textId="77777777" w:rsidTr="00915FCB">
        <w:trPr>
          <w:trHeight w:val="300"/>
        </w:trPr>
        <w:tc>
          <w:tcPr>
            <w:tcW w:w="1305" w:type="dxa"/>
            <w:noWrap/>
          </w:tcPr>
          <w:p w14:paraId="125B2ADE"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2.17.</w:t>
            </w:r>
          </w:p>
        </w:tc>
        <w:tc>
          <w:tcPr>
            <w:tcW w:w="2126" w:type="dxa"/>
          </w:tcPr>
          <w:p w14:paraId="4E8846B6"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Tvarkyklės:</w:t>
            </w:r>
          </w:p>
        </w:tc>
        <w:tc>
          <w:tcPr>
            <w:tcW w:w="12196" w:type="dxa"/>
          </w:tcPr>
          <w:p w14:paraId="5D0D9992" w14:textId="77777777" w:rsidR="009C35F4" w:rsidRPr="00164301" w:rsidRDefault="009C35F4" w:rsidP="00915FCB">
            <w:pPr>
              <w:tabs>
                <w:tab w:val="left" w:pos="390"/>
                <w:tab w:val="left" w:pos="1035"/>
                <w:tab w:val="left" w:pos="1500"/>
              </w:tabs>
              <w:spacing w:after="0" w:line="240" w:lineRule="auto"/>
              <w:jc w:val="both"/>
              <w:rPr>
                <w:rFonts w:ascii="Times New Roman" w:eastAsia="Calibri" w:hAnsi="Times New Roman" w:cs="Times New Roman"/>
                <w:sz w:val="24"/>
                <w:szCs w:val="24"/>
              </w:rPr>
            </w:pPr>
            <w:r w:rsidRPr="00164301">
              <w:rPr>
                <w:rFonts w:ascii="Times New Roman" w:eastAsia="Calibri" w:hAnsi="Times New Roman" w:cs="Times New Roman"/>
                <w:sz w:val="24"/>
                <w:szCs w:val="24"/>
              </w:rPr>
              <w:t xml:space="preserve">Kompiuteris pateikiamas su įrangos tvarkyklėmis kaupiklyje arba atstatymo </w:t>
            </w:r>
            <w:proofErr w:type="spellStart"/>
            <w:r w:rsidRPr="00164301">
              <w:rPr>
                <w:rFonts w:ascii="Times New Roman" w:eastAsia="Calibri" w:hAnsi="Times New Roman" w:cs="Times New Roman"/>
                <w:sz w:val="24"/>
                <w:szCs w:val="24"/>
              </w:rPr>
              <w:t>particijoje</w:t>
            </w:r>
            <w:proofErr w:type="spellEnd"/>
            <w:r w:rsidRPr="00164301">
              <w:rPr>
                <w:rFonts w:ascii="Times New Roman" w:eastAsia="Calibri" w:hAnsi="Times New Roman" w:cs="Times New Roman"/>
                <w:sz w:val="24"/>
                <w:szCs w:val="24"/>
              </w:rPr>
              <w:t>,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6DC94DA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p>
        </w:tc>
      </w:tr>
      <w:tr w:rsidR="009C35F4" w:rsidRPr="00164301" w14:paraId="2B52175B" w14:textId="77777777" w:rsidTr="00915FCB">
        <w:trPr>
          <w:trHeight w:val="300"/>
        </w:trPr>
        <w:tc>
          <w:tcPr>
            <w:tcW w:w="1305" w:type="dxa"/>
            <w:noWrap/>
          </w:tcPr>
          <w:p w14:paraId="3A7BF8D1"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2.18.</w:t>
            </w:r>
          </w:p>
        </w:tc>
        <w:tc>
          <w:tcPr>
            <w:tcW w:w="2126" w:type="dxa"/>
          </w:tcPr>
          <w:p w14:paraId="41052CE9"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Komplektacija:</w:t>
            </w:r>
          </w:p>
        </w:tc>
        <w:tc>
          <w:tcPr>
            <w:tcW w:w="12196" w:type="dxa"/>
          </w:tcPr>
          <w:p w14:paraId="7E98CF51"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kompiuterio sisteminis blokas – 1 vnt.;</w:t>
            </w:r>
          </w:p>
          <w:p w14:paraId="47564D1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pelė – 1 vnt.;</w:t>
            </w:r>
          </w:p>
          <w:p w14:paraId="54D92095"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klaviatūra – 1 vnt.;</w:t>
            </w:r>
          </w:p>
          <w:p w14:paraId="28C3E62C"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monitorius – 1 vnt.;</w:t>
            </w:r>
          </w:p>
          <w:p w14:paraId="7E61EAFD"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lang w:val="en-US"/>
              </w:rPr>
            </w:pPr>
            <w:r w:rsidRPr="00164301">
              <w:rPr>
                <w:rFonts w:ascii="Times New Roman" w:hAnsi="Times New Roman" w:cs="Times New Roman"/>
                <w:sz w:val="24"/>
                <w:szCs w:val="24"/>
                <w:lang w:val="en-US"/>
              </w:rPr>
              <w:t>„</w:t>
            </w:r>
            <w:proofErr w:type="spellStart"/>
            <w:r w:rsidRPr="00164301">
              <w:rPr>
                <w:rFonts w:ascii="Times New Roman" w:hAnsi="Times New Roman" w:cs="Times New Roman"/>
                <w:sz w:val="24"/>
                <w:szCs w:val="24"/>
                <w:lang w:val="en-US"/>
              </w:rPr>
              <w:t>MicroSoft</w:t>
            </w:r>
            <w:proofErr w:type="spellEnd"/>
            <w:r w:rsidRPr="00164301">
              <w:rPr>
                <w:rFonts w:ascii="Times New Roman" w:hAnsi="Times New Roman" w:cs="Times New Roman"/>
                <w:sz w:val="24"/>
                <w:szCs w:val="24"/>
                <w:lang w:val="en-US"/>
              </w:rPr>
              <w:t xml:space="preserve"> Office Professional 2021“(</w:t>
            </w:r>
            <w:proofErr w:type="spellStart"/>
            <w:r w:rsidRPr="00164301">
              <w:rPr>
                <w:rFonts w:ascii="Times New Roman" w:hAnsi="Times New Roman" w:cs="Times New Roman"/>
                <w:sz w:val="24"/>
                <w:szCs w:val="24"/>
                <w:lang w:val="en-US"/>
              </w:rPr>
              <w:t>arba</w:t>
            </w:r>
            <w:proofErr w:type="spellEnd"/>
            <w:r w:rsidRPr="00164301">
              <w:rPr>
                <w:rFonts w:ascii="Times New Roman" w:hAnsi="Times New Roman" w:cs="Times New Roman"/>
                <w:sz w:val="24"/>
                <w:szCs w:val="24"/>
                <w:lang w:val="en-US"/>
              </w:rPr>
              <w:t xml:space="preserve"> </w:t>
            </w:r>
            <w:proofErr w:type="spellStart"/>
            <w:r w:rsidRPr="00164301">
              <w:rPr>
                <w:rFonts w:ascii="Times New Roman" w:hAnsi="Times New Roman" w:cs="Times New Roman"/>
                <w:sz w:val="24"/>
                <w:szCs w:val="24"/>
                <w:lang w:val="en-US"/>
              </w:rPr>
              <w:t>lygiavertė</w:t>
            </w:r>
            <w:proofErr w:type="spellEnd"/>
            <w:r w:rsidRPr="00164301">
              <w:rPr>
                <w:rFonts w:ascii="Times New Roman" w:hAnsi="Times New Roman" w:cs="Times New Roman"/>
                <w:sz w:val="24"/>
                <w:szCs w:val="24"/>
                <w:lang w:val="en-US"/>
              </w:rPr>
              <w:t xml:space="preserve">) </w:t>
            </w:r>
            <w:proofErr w:type="spellStart"/>
            <w:r w:rsidRPr="00164301">
              <w:rPr>
                <w:rFonts w:ascii="Times New Roman" w:hAnsi="Times New Roman" w:cs="Times New Roman"/>
                <w:sz w:val="24"/>
                <w:szCs w:val="24"/>
                <w:lang w:val="en-US"/>
              </w:rPr>
              <w:t>licencija</w:t>
            </w:r>
            <w:proofErr w:type="spellEnd"/>
            <w:r w:rsidRPr="00164301">
              <w:rPr>
                <w:rFonts w:ascii="Times New Roman" w:hAnsi="Times New Roman" w:cs="Times New Roman"/>
                <w:sz w:val="24"/>
                <w:szCs w:val="24"/>
                <w:lang w:val="en-US"/>
              </w:rPr>
              <w:t xml:space="preserve"> – 1 </w:t>
            </w:r>
            <w:proofErr w:type="spellStart"/>
            <w:proofErr w:type="gramStart"/>
            <w:r w:rsidRPr="00164301">
              <w:rPr>
                <w:rFonts w:ascii="Times New Roman" w:hAnsi="Times New Roman" w:cs="Times New Roman"/>
                <w:sz w:val="24"/>
                <w:szCs w:val="24"/>
                <w:lang w:val="en-US"/>
              </w:rPr>
              <w:t>vnt</w:t>
            </w:r>
            <w:proofErr w:type="spellEnd"/>
            <w:r w:rsidRPr="00164301">
              <w:rPr>
                <w:rFonts w:ascii="Times New Roman" w:hAnsi="Times New Roman" w:cs="Times New Roman"/>
                <w:sz w:val="24"/>
                <w:szCs w:val="24"/>
                <w:lang w:val="en-US"/>
              </w:rPr>
              <w:t>.;</w:t>
            </w:r>
            <w:proofErr w:type="gramEnd"/>
          </w:p>
          <w:p w14:paraId="0D80F748"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UTP CAT5e (ar lygiavertis) kabelis, ne mažiau kaip 3 m ilgio, su jungtimis;</w:t>
            </w:r>
          </w:p>
          <w:p w14:paraId="279B32F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prievadų adapteriai, jei pateikiami išoriniai.</w:t>
            </w:r>
          </w:p>
          <w:p w14:paraId="07FDFA5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Kompiuteris komplektuojamas su visais kabeliais ir kitomis sudedamosiomis dalimis bei medžiagomis, reikalingomis visų užsakomos įrangos komplekto vidinių/išorinių ir periferinių įrenginių sujungimui, užtikrinant sistemos funkcionavimą.</w:t>
            </w:r>
          </w:p>
          <w:p w14:paraId="357A2E61" w14:textId="77777777" w:rsidR="009C35F4" w:rsidRPr="00164301" w:rsidRDefault="009C35F4" w:rsidP="00915FCB">
            <w:pPr>
              <w:tabs>
                <w:tab w:val="left" w:pos="390"/>
                <w:tab w:val="left" w:pos="1035"/>
                <w:tab w:val="left" w:pos="1500"/>
              </w:tabs>
              <w:spacing w:after="0" w:line="240" w:lineRule="auto"/>
              <w:jc w:val="both"/>
              <w:rPr>
                <w:rFonts w:ascii="Times New Roman" w:eastAsia="Calibri" w:hAnsi="Times New Roman" w:cs="Times New Roman"/>
                <w:sz w:val="24"/>
                <w:szCs w:val="24"/>
              </w:rPr>
            </w:pPr>
            <w:r w:rsidRPr="00164301">
              <w:rPr>
                <w:rFonts w:ascii="Times New Roman" w:hAnsi="Times New Roman" w:cs="Times New Roman"/>
                <w:sz w:val="24"/>
                <w:szCs w:val="24"/>
              </w:rPr>
              <w:lastRenderedPageBreak/>
              <w:t xml:space="preserve"> </w:t>
            </w:r>
          </w:p>
        </w:tc>
      </w:tr>
      <w:tr w:rsidR="009C35F4" w:rsidRPr="00164301" w14:paraId="358164B6" w14:textId="77777777" w:rsidTr="00915FCB">
        <w:trPr>
          <w:trHeight w:val="300"/>
        </w:trPr>
        <w:tc>
          <w:tcPr>
            <w:tcW w:w="1305" w:type="dxa"/>
            <w:noWrap/>
          </w:tcPr>
          <w:p w14:paraId="0756C8EA"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lastRenderedPageBreak/>
              <w:t>2.19.</w:t>
            </w:r>
          </w:p>
          <w:p w14:paraId="27667E18" w14:textId="77777777" w:rsidR="009C35F4" w:rsidRPr="00164301" w:rsidRDefault="009C35F4" w:rsidP="00915FCB">
            <w:pPr>
              <w:spacing w:after="0" w:line="240" w:lineRule="auto"/>
              <w:rPr>
                <w:rFonts w:ascii="Times New Roman" w:hAnsi="Times New Roman" w:cs="Times New Roman"/>
                <w:bCs/>
                <w:sz w:val="24"/>
                <w:szCs w:val="24"/>
              </w:rPr>
            </w:pPr>
          </w:p>
        </w:tc>
        <w:tc>
          <w:tcPr>
            <w:tcW w:w="2126" w:type="dxa"/>
          </w:tcPr>
          <w:p w14:paraId="22002454"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Garantija:</w:t>
            </w:r>
          </w:p>
        </w:tc>
        <w:tc>
          <w:tcPr>
            <w:tcW w:w="12196" w:type="dxa"/>
          </w:tcPr>
          <w:p w14:paraId="7A7E7A89"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Visai siūlomai įrangai turi būti taikomas ne trumpesnis kaip 36 mėn. gamintojo garantijos laikotarpis;  </w:t>
            </w:r>
          </w:p>
          <w:p w14:paraId="612FD9AC"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įrenginiui sugedus, bendra remonto trukmė – ne ilgiau kaip 10 darbo dienų. Jei sugedusios įrangos per šį laikotarpį pataisyti neįmanoma – ji pakeičiama ekvivalentiška nauja. Garantiniu laikotarpiu tiekėjas įsipareigoja pakeisti standžiųjų diskų įrenginius ir operatyviąją  atmintį atsižvelgiant į klaidų statistiką (angl. </w:t>
            </w:r>
            <w:proofErr w:type="spellStart"/>
            <w:r w:rsidRPr="00164301">
              <w:rPr>
                <w:rFonts w:ascii="Times New Roman" w:hAnsi="Times New Roman" w:cs="Times New Roman"/>
                <w:sz w:val="24"/>
                <w:szCs w:val="24"/>
              </w:rPr>
              <w:t>Prefailure</w:t>
            </w:r>
            <w:proofErr w:type="spellEnd"/>
            <w:r w:rsidRPr="00164301">
              <w:rPr>
                <w:rFonts w:ascii="Times New Roman" w:hAnsi="Times New Roman" w:cs="Times New Roman"/>
                <w:sz w:val="24"/>
                <w:szCs w:val="24"/>
              </w:rPr>
              <w:t xml:space="preserve"> </w:t>
            </w:r>
            <w:proofErr w:type="spellStart"/>
            <w:r w:rsidRPr="00164301">
              <w:rPr>
                <w:rFonts w:ascii="Times New Roman" w:hAnsi="Times New Roman" w:cs="Times New Roman"/>
                <w:sz w:val="24"/>
                <w:szCs w:val="24"/>
              </w:rPr>
              <w:t>warranty</w:t>
            </w:r>
            <w:proofErr w:type="spellEnd"/>
            <w:r w:rsidRPr="00164301">
              <w:rPr>
                <w:rFonts w:ascii="Times New Roman" w:hAnsi="Times New Roman" w:cs="Times New Roman"/>
                <w:sz w:val="24"/>
                <w:szCs w:val="24"/>
              </w:rPr>
              <w:t>);</w:t>
            </w:r>
          </w:p>
          <w:p w14:paraId="03BE77BA"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siūlomos įrangos garantinis remontas turi būti atliekamas tik įrangos gamintojo sertifikuotuose techninės priežiūros centruose;</w:t>
            </w:r>
          </w:p>
          <w:p w14:paraId="3D03BEB0"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įrangos tiekėjas (jei jis nėra gamintojas) turi būti įgaliotas gamintojo dėl priežiūros arba sudaręs susitarimų su tokią teisę turinčiais subjektais.    </w:t>
            </w:r>
          </w:p>
          <w:p w14:paraId="53B72E8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garantiniu laikotarpiu tiekėjas privalo atlikti darbus savo lėšomis, įskaitant transportavimo išlaidas;</w:t>
            </w:r>
          </w:p>
        </w:tc>
      </w:tr>
      <w:tr w:rsidR="009C35F4" w:rsidRPr="00164301" w14:paraId="453A07C1" w14:textId="77777777" w:rsidTr="00915FCB">
        <w:trPr>
          <w:trHeight w:val="300"/>
        </w:trPr>
        <w:tc>
          <w:tcPr>
            <w:tcW w:w="1305" w:type="dxa"/>
            <w:noWrap/>
          </w:tcPr>
          <w:p w14:paraId="40016845" w14:textId="77777777" w:rsidR="009C35F4" w:rsidRPr="00164301" w:rsidRDefault="009C35F4" w:rsidP="00915FCB">
            <w:pPr>
              <w:spacing w:after="0" w:line="240" w:lineRule="auto"/>
              <w:rPr>
                <w:rFonts w:ascii="Times New Roman" w:hAnsi="Times New Roman" w:cs="Times New Roman"/>
                <w:bCs/>
                <w:sz w:val="24"/>
                <w:szCs w:val="24"/>
              </w:rPr>
            </w:pPr>
            <w:r w:rsidRPr="00164301">
              <w:rPr>
                <w:rFonts w:ascii="Times New Roman" w:hAnsi="Times New Roman" w:cs="Times New Roman"/>
                <w:bCs/>
                <w:sz w:val="24"/>
                <w:szCs w:val="24"/>
              </w:rPr>
              <w:t>2.20.</w:t>
            </w:r>
          </w:p>
        </w:tc>
        <w:tc>
          <w:tcPr>
            <w:tcW w:w="2126" w:type="dxa"/>
          </w:tcPr>
          <w:p w14:paraId="1109E3DB" w14:textId="77777777" w:rsidR="009C35F4" w:rsidRPr="00164301" w:rsidRDefault="009C35F4" w:rsidP="00915FCB">
            <w:pPr>
              <w:spacing w:after="0" w:line="240" w:lineRule="auto"/>
              <w:ind w:left="34" w:right="98"/>
              <w:rPr>
                <w:rFonts w:ascii="Times New Roman" w:hAnsi="Times New Roman" w:cs="Times New Roman"/>
                <w:bCs/>
                <w:sz w:val="24"/>
                <w:szCs w:val="24"/>
                <w:lang w:eastAsia="lt-LT"/>
              </w:rPr>
            </w:pPr>
            <w:r w:rsidRPr="00164301">
              <w:rPr>
                <w:rFonts w:ascii="Times New Roman" w:hAnsi="Times New Roman" w:cs="Times New Roman"/>
                <w:bCs/>
                <w:sz w:val="24"/>
                <w:szCs w:val="24"/>
                <w:lang w:eastAsia="lt-LT"/>
              </w:rPr>
              <w:t>Kiti reikalavimai:</w:t>
            </w:r>
          </w:p>
        </w:tc>
        <w:tc>
          <w:tcPr>
            <w:tcW w:w="12196" w:type="dxa"/>
          </w:tcPr>
          <w:p w14:paraId="4376F24B" w14:textId="77777777" w:rsidR="009C35F4" w:rsidRPr="00164301" w:rsidRDefault="009C35F4" w:rsidP="00915FCB">
            <w:pPr>
              <w:tabs>
                <w:tab w:val="left" w:pos="390"/>
                <w:tab w:val="left" w:pos="1035"/>
                <w:tab w:val="left" w:pos="1500"/>
              </w:tabs>
              <w:spacing w:after="0" w:line="240" w:lineRule="auto"/>
              <w:jc w:val="both"/>
              <w:rPr>
                <w:rFonts w:ascii="Times New Roman" w:hAnsi="Times New Roman" w:cs="Times New Roman"/>
                <w:sz w:val="24"/>
                <w:szCs w:val="24"/>
              </w:rPr>
            </w:pPr>
            <w:r w:rsidRPr="00164301">
              <w:rPr>
                <w:rFonts w:ascii="Times New Roman" w:hAnsi="Times New Roman" w:cs="Times New Roman"/>
                <w:sz w:val="24"/>
                <w:szCs w:val="24"/>
              </w:rPr>
              <w:t xml:space="preserve">visos siūlomo kompiuterio dalys (sisteminis blokas, pagrindinė plokštė, atmintis, optiniai nuskaitymo įrenginiai) privalo būti pateiktos vieno gamintojo ar turi būti jo sertifikuotos (pvz., pažymėtos PC gamintojo prekės ženklu).  </w:t>
            </w:r>
          </w:p>
        </w:tc>
      </w:tr>
    </w:tbl>
    <w:p w14:paraId="3B4E8C4A" w14:textId="57B1FE20" w:rsidR="009C2E7E" w:rsidRDefault="009C35F4"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Aplinkosauga</w:t>
      </w:r>
    </w:p>
    <w:tbl>
      <w:tblPr>
        <w:tblW w:w="15233" w:type="dxa"/>
        <w:tblInd w:w="-75" w:type="dxa"/>
        <w:tblLayout w:type="fixed"/>
        <w:tblLook w:val="06A0" w:firstRow="1" w:lastRow="0" w:firstColumn="1" w:lastColumn="0" w:noHBand="1" w:noVBand="1"/>
      </w:tblPr>
      <w:tblGrid>
        <w:gridCol w:w="1331"/>
        <w:gridCol w:w="13902"/>
      </w:tblGrid>
      <w:tr w:rsidR="009C35F4" w:rsidRPr="00C22A30" w14:paraId="040584C6"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44C51E"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1.</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4AB4C4"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Kompiuteriai turi atitikti Lietuvos Respublikos aplinkos ministro 2011 m. birželio 28 d. įsakymu Nr. DI-508 „Dėl aplinkos apsaugos kriterijų taikymo, vykdant žaliuosius pirkimus, tvarkos aprašo patvirtinimo“ patvirtintus minimalius aplinkos apsaugos kriterijus, nurodytus Aplinkos apsaugos kriterijų taikymo, vykdant žaliuosius pirkimus, tvarkos aprašo (toliau - Aprašas) 2 priedo IV skyriuje:</w:t>
            </w:r>
          </w:p>
        </w:tc>
      </w:tr>
      <w:tr w:rsidR="009C35F4" w:rsidRPr="00C22A30" w14:paraId="52E65F8D"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C34192"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1.1.</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B76D3B"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2013 m. birželio 26 d. Komisijos reglamente (ES) Nr. 617/2013, kuriuo įgyvendinant Europos Parlamento ir Tarybos direktyvą 2009/125/EB nustatomi kompiuterių ir serverių ekologinio projektavimo reikalavimai su visais pakeitimais (toliau – Reglamentas 617/2013). dėl gaminių ekologinio projektavimo nustatytus efektyvaus energijos vartojimo kriterijus;</w:t>
            </w:r>
          </w:p>
        </w:tc>
      </w:tr>
      <w:tr w:rsidR="009C35F4" w:rsidRPr="00C22A30" w14:paraId="7554C297"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AEC8C72"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1.2.</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D4E4A8"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įranga turi turėti bent vieną standartinį USB C™ tipo lizdą (prievadą), skirtą keistis duomenimis ir pasižymintį atgaliniu suderinamumu su USB 2.0 atsižvelgiant į IEC 62680-1-3:2018 arba lygiavertį standartą;</w:t>
            </w:r>
          </w:p>
        </w:tc>
      </w:tr>
      <w:tr w:rsidR="009C35F4" w:rsidRPr="00C22A30" w14:paraId="1910F801"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BA1896"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1.3.</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4E048A"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w:t>
            </w:r>
            <w:proofErr w:type="spellStart"/>
            <w:r w:rsidRPr="00C22A30">
              <w:rPr>
                <w:rFonts w:ascii="Times New Roman" w:eastAsia="Aptos" w:hAnsi="Times New Roman" w:cs="Times New Roman"/>
                <w:sz w:val="24"/>
                <w:szCs w:val="24"/>
              </w:rPr>
              <w:t>cilindrinia</w:t>
            </w:r>
            <w:proofErr w:type="spellEnd"/>
            <w:r w:rsidRPr="00C22A30">
              <w:rPr>
                <w:rFonts w:ascii="Times New Roman" w:eastAsia="Aptos" w:hAnsi="Times New Roman" w:cs="Times New Roman"/>
                <w:sz w:val="24"/>
                <w:szCs w:val="24"/>
              </w:rPr>
              <w:t xml:space="preserve"> i ličio akumuliatoriai ir jų baterijos“ arba lygiavertį standartą.</w:t>
            </w:r>
          </w:p>
        </w:tc>
      </w:tr>
      <w:tr w:rsidR="009C35F4" w:rsidRPr="00C22A30" w14:paraId="43CB14B8"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06F7FC"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2.</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644C2D"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 xml:space="preserve">monitorius turi atitikti televizoriams ir monitoriams keliamus minimalius aplinkos apsaugos kriterijus, nurodytus Aprašo 2 priedo VI skyriuje „Televizoriai ir monitoriai“.: </w:t>
            </w:r>
          </w:p>
        </w:tc>
      </w:tr>
      <w:tr w:rsidR="009C35F4" w:rsidRPr="00C22A30" w14:paraId="44472B60"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E69D6D"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2.1.</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323C7D"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w:t>
            </w:r>
            <w:r w:rsidRPr="00C22A30">
              <w:rPr>
                <w:rFonts w:ascii="Times New Roman" w:eastAsia="Aptos" w:hAnsi="Times New Roman" w:cs="Times New Roman"/>
                <w:sz w:val="24"/>
                <w:szCs w:val="24"/>
              </w:rPr>
              <w:lastRenderedPageBreak/>
              <w:t>išskyrus kelių transporto priemones, kurioms viešųjų pirkimų metu taikomi energijos vartojimo efektyvumo reikalavimai, sąrašą,  produktas (monitorius) turi būti paženklintas pagal Reglamentą Nr. 2019/2013 (su pakeitimais) ir turėti ne žemesnę nei F energijos vartojimo efektyvumo klasę.</w:t>
            </w:r>
          </w:p>
        </w:tc>
      </w:tr>
      <w:tr w:rsidR="009C35F4" w:rsidRPr="00C22A30" w14:paraId="53F6E036"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57E2E7"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lastRenderedPageBreak/>
              <w:t>2.2.</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A8C0BD"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produkte neturi būti gyvsidabrio;</w:t>
            </w:r>
          </w:p>
        </w:tc>
      </w:tr>
      <w:tr w:rsidR="009C35F4" w:rsidRPr="00C22A30" w14:paraId="336078D9" w14:textId="77777777" w:rsidTr="009C35F4">
        <w:trPr>
          <w:trHeight w:val="300"/>
        </w:trPr>
        <w:tc>
          <w:tcPr>
            <w:tcW w:w="133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045162"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2.3.</w:t>
            </w:r>
          </w:p>
        </w:tc>
        <w:tc>
          <w:tcPr>
            <w:tcW w:w="139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B2E74E" w14:textId="77777777" w:rsidR="009C35F4" w:rsidRPr="00C22A30" w:rsidRDefault="009C35F4" w:rsidP="00915FCB">
            <w:pPr>
              <w:spacing w:after="0"/>
              <w:rPr>
                <w:rFonts w:ascii="Times New Roman" w:eastAsia="Aptos" w:hAnsi="Times New Roman" w:cs="Times New Roman"/>
                <w:sz w:val="24"/>
                <w:szCs w:val="24"/>
              </w:rPr>
            </w:pPr>
            <w:r w:rsidRPr="00C22A30">
              <w:rPr>
                <w:rFonts w:ascii="Times New Roman" w:eastAsia="Aptos"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bl>
    <w:p w14:paraId="555E0D7D" w14:textId="77777777" w:rsidR="00EB170C" w:rsidRDefault="00EB170C" w:rsidP="009C2E7E">
      <w:pPr>
        <w:spacing w:after="0" w:line="240" w:lineRule="auto"/>
        <w:rPr>
          <w:rFonts w:ascii="Times New Roman" w:hAnsi="Times New Roman" w:cs="Times New Roman"/>
          <w:sz w:val="24"/>
          <w:szCs w:val="24"/>
        </w:rPr>
      </w:pPr>
    </w:p>
    <w:p w14:paraId="1B566476" w14:textId="04FC6CF9" w:rsidR="007C4FD3"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Įranga skirta </w:t>
      </w:r>
      <w:r w:rsidRPr="009C2E7E">
        <w:rPr>
          <w:rFonts w:ascii="Times New Roman" w:hAnsi="Times New Roman" w:cs="Times New Roman"/>
          <w:sz w:val="24"/>
          <w:szCs w:val="24"/>
        </w:rPr>
        <w:t>Nusikalstamų veikų elektroninėje erdvėje tyrimų ir mokymų laboratorijos kompiuterizuotų darbo vietų įrengimui ir tarnybinės stotys, skirtos įveiklinti minėtą laboratoriją.</w:t>
      </w:r>
    </w:p>
    <w:p w14:paraId="6ED38BCA" w14:textId="001948B1" w:rsidR="009C2E7E"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BVPŽ kodas – </w:t>
      </w:r>
      <w:r w:rsidR="009C35F4">
        <w:rPr>
          <w:rFonts w:ascii="Times New Roman" w:hAnsi="Times New Roman" w:cs="Times New Roman"/>
          <w:sz w:val="24"/>
          <w:szCs w:val="24"/>
        </w:rPr>
        <w:t xml:space="preserve">30213300-8 </w:t>
      </w:r>
      <w:bookmarkStart w:id="0" w:name="_GoBack"/>
      <w:bookmarkEnd w:id="0"/>
      <w:r w:rsidR="009C35F4" w:rsidRPr="009C35F4">
        <w:rPr>
          <w:rFonts w:ascii="Times New Roman" w:hAnsi="Times New Roman" w:cs="Times New Roman"/>
          <w:sz w:val="24"/>
          <w:szCs w:val="24"/>
        </w:rPr>
        <w:t>Staliniai kompiuteriai</w:t>
      </w:r>
      <w:r w:rsidR="00EB170C">
        <w:rPr>
          <w:rFonts w:ascii="Times New Roman" w:hAnsi="Times New Roman" w:cs="Times New Roman"/>
          <w:sz w:val="24"/>
          <w:szCs w:val="24"/>
        </w:rPr>
        <w:t>.</w:t>
      </w:r>
    </w:p>
    <w:p w14:paraId="6CB5B3F9" w14:textId="23123B64" w:rsidR="009C2E7E"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Suplanuotų lėšų dydis – </w:t>
      </w:r>
      <w:r w:rsidRPr="009C2E7E">
        <w:rPr>
          <w:rFonts w:ascii="Times New Roman" w:hAnsi="Times New Roman" w:cs="Times New Roman"/>
          <w:sz w:val="24"/>
          <w:szCs w:val="24"/>
        </w:rPr>
        <w:t>11</w:t>
      </w:r>
      <w:r w:rsidR="009C35F4">
        <w:rPr>
          <w:rFonts w:ascii="Times New Roman" w:hAnsi="Times New Roman" w:cs="Times New Roman"/>
          <w:sz w:val="24"/>
          <w:szCs w:val="24"/>
        </w:rPr>
        <w:t>5 1</w:t>
      </w:r>
      <w:r w:rsidRPr="009C2E7E">
        <w:rPr>
          <w:rFonts w:ascii="Times New Roman" w:hAnsi="Times New Roman" w:cs="Times New Roman"/>
          <w:sz w:val="24"/>
          <w:szCs w:val="24"/>
        </w:rPr>
        <w:t>00 EUR su PVM</w:t>
      </w:r>
      <w:r w:rsidR="00EB170C">
        <w:rPr>
          <w:rFonts w:ascii="Times New Roman" w:hAnsi="Times New Roman" w:cs="Times New Roman"/>
          <w:sz w:val="24"/>
          <w:szCs w:val="24"/>
        </w:rPr>
        <w:t>.</w:t>
      </w:r>
    </w:p>
    <w:p w14:paraId="5FA1A812" w14:textId="6A1A9298" w:rsidR="00EB170C" w:rsidRDefault="00EB170C"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Pristatymas 60 dienų.</w:t>
      </w:r>
    </w:p>
    <w:p w14:paraId="099D6BFF" w14:textId="77777777" w:rsidR="009C2E7E" w:rsidRPr="00894BCD" w:rsidRDefault="009C2E7E" w:rsidP="009C2E7E">
      <w:pPr>
        <w:spacing w:after="0" w:line="240" w:lineRule="auto"/>
        <w:rPr>
          <w:rFonts w:ascii="Times New Roman" w:hAnsi="Times New Roman" w:cs="Times New Roman"/>
          <w:sz w:val="24"/>
          <w:szCs w:val="24"/>
        </w:rPr>
      </w:pPr>
    </w:p>
    <w:p w14:paraId="5599BA23" w14:textId="7A784D81" w:rsidR="00E22E7E" w:rsidRPr="00894BCD" w:rsidRDefault="009C2E7E" w:rsidP="009C2E7E">
      <w:pPr>
        <w:overflowPunct w:val="0"/>
        <w:autoSpaceDE w:val="0"/>
        <w:autoSpaceDN w:val="0"/>
        <w:adjustRightInd w:val="0"/>
        <w:spacing w:after="0" w:line="240" w:lineRule="auto"/>
        <w:jc w:val="center"/>
        <w:rPr>
          <w:rFonts w:ascii="Times New Roman" w:hAnsi="Times New Roman" w:cs="Times New Roman"/>
          <w:sz w:val="24"/>
          <w:szCs w:val="24"/>
        </w:rPr>
      </w:pPr>
      <w:r w:rsidRPr="009C2E7E">
        <w:rPr>
          <w:rFonts w:ascii="Times New Roman" w:eastAsia="Calibri" w:hAnsi="Times New Roman" w:cs="Times New Roman"/>
          <w:sz w:val="24"/>
          <w:szCs w:val="24"/>
        </w:rPr>
        <w:t>Kompiuterių sistemų administratorius Mindaugas Sadauskas, tel. +370 633 67871, el. p. mindaugas.sadauskas@nksc.lt</w:t>
      </w:r>
    </w:p>
    <w:sectPr w:rsidR="00E22E7E" w:rsidRPr="00894BCD" w:rsidSect="009C2E7E">
      <w:headerReference w:type="default" r:id="rId11"/>
      <w:footerReference w:type="default" r:id="rId12"/>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8F0DE" w14:textId="77777777" w:rsidR="003C101E" w:rsidRDefault="003C101E" w:rsidP="009566C9">
      <w:pPr>
        <w:spacing w:after="0" w:line="240" w:lineRule="auto"/>
      </w:pPr>
      <w:r>
        <w:separator/>
      </w:r>
    </w:p>
  </w:endnote>
  <w:endnote w:type="continuationSeparator" w:id="0">
    <w:p w14:paraId="799A11C0" w14:textId="77777777" w:rsidR="003C101E" w:rsidRDefault="003C101E" w:rsidP="009566C9">
      <w:pPr>
        <w:spacing w:after="0" w:line="240" w:lineRule="auto"/>
      </w:pPr>
      <w:r>
        <w:continuationSeparator/>
      </w:r>
    </w:p>
  </w:endnote>
  <w:endnote w:type="continuationNotice" w:id="1">
    <w:p w14:paraId="11CA674A" w14:textId="77777777" w:rsidR="003C101E" w:rsidRDefault="003C1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F29F" w14:textId="2C24DF4C" w:rsidR="007C4FD3" w:rsidRPr="00EB170C" w:rsidRDefault="00EB170C" w:rsidP="00EB170C">
    <w:pPr>
      <w:pStyle w:val="Footer"/>
      <w:tabs>
        <w:tab w:val="center" w:pos="7285"/>
        <w:tab w:val="left" w:pos="7760"/>
      </w:tabs>
      <w:rPr>
        <w:rFonts w:ascii="Times New Roman" w:hAnsi="Times New Roman" w:cs="Times New Roman"/>
        <w:sz w:val="24"/>
        <w:szCs w:val="24"/>
      </w:rPr>
    </w:pPr>
    <w:r w:rsidRPr="00EB170C">
      <w:rPr>
        <w:rFonts w:ascii="Times New Roman" w:hAnsi="Times New Roman" w:cs="Times New Roman"/>
        <w:sz w:val="24"/>
        <w:szCs w:val="24"/>
      </w:rPr>
      <w:tab/>
    </w:r>
    <w:r w:rsidRPr="00EB170C">
      <w:rPr>
        <w:rFonts w:ascii="Times New Roman" w:hAnsi="Times New Roman" w:cs="Times New Roman"/>
        <w:sz w:val="24"/>
        <w:szCs w:val="24"/>
      </w:rPr>
      <w:tab/>
    </w:r>
    <w:sdt>
      <w:sdtPr>
        <w:rPr>
          <w:rFonts w:ascii="Times New Roman" w:hAnsi="Times New Roman" w:cs="Times New Roman"/>
          <w:sz w:val="24"/>
          <w:szCs w:val="24"/>
        </w:rPr>
        <w:id w:val="-1760905659"/>
        <w:docPartObj>
          <w:docPartGallery w:val="Page Numbers (Bottom of Page)"/>
          <w:docPartUnique/>
        </w:docPartObj>
      </w:sdtPr>
      <w:sdtEndPr>
        <w:rPr>
          <w:noProof/>
        </w:rPr>
      </w:sdtEndPr>
      <w:sdtContent>
        <w:r w:rsidR="007C4FD3" w:rsidRPr="00EB170C">
          <w:rPr>
            <w:rFonts w:ascii="Times New Roman" w:hAnsi="Times New Roman" w:cs="Times New Roman"/>
            <w:sz w:val="24"/>
            <w:szCs w:val="24"/>
          </w:rPr>
          <w:fldChar w:fldCharType="begin"/>
        </w:r>
        <w:r w:rsidR="007C4FD3" w:rsidRPr="00EB170C">
          <w:rPr>
            <w:rFonts w:ascii="Times New Roman" w:hAnsi="Times New Roman" w:cs="Times New Roman"/>
            <w:sz w:val="24"/>
            <w:szCs w:val="24"/>
          </w:rPr>
          <w:instrText xml:space="preserve"> PAGE   \* MERGEFORMAT </w:instrText>
        </w:r>
        <w:r w:rsidR="007C4FD3" w:rsidRPr="00EB170C">
          <w:rPr>
            <w:rFonts w:ascii="Times New Roman" w:hAnsi="Times New Roman" w:cs="Times New Roman"/>
            <w:sz w:val="24"/>
            <w:szCs w:val="24"/>
          </w:rPr>
          <w:fldChar w:fldCharType="separate"/>
        </w:r>
        <w:r w:rsidR="009C35F4">
          <w:rPr>
            <w:rFonts w:ascii="Times New Roman" w:hAnsi="Times New Roman" w:cs="Times New Roman"/>
            <w:noProof/>
            <w:sz w:val="24"/>
            <w:szCs w:val="24"/>
          </w:rPr>
          <w:t>5</w:t>
        </w:r>
        <w:r w:rsidR="007C4FD3" w:rsidRPr="00EB170C">
          <w:rPr>
            <w:rFonts w:ascii="Times New Roman" w:hAnsi="Times New Roman" w:cs="Times New Roman"/>
            <w:noProof/>
            <w:sz w:val="24"/>
            <w:szCs w:val="24"/>
          </w:rPr>
          <w:fldChar w:fldCharType="end"/>
        </w:r>
      </w:sdtContent>
    </w:sdt>
    <w:r w:rsidRPr="00EB170C">
      <w:rPr>
        <w:rFonts w:ascii="Times New Roman" w:hAnsi="Times New Roman" w:cs="Times New Roman"/>
        <w:noProof/>
        <w:sz w:val="24"/>
        <w:szCs w:val="24"/>
      </w:rPr>
      <w:tab/>
    </w:r>
  </w:p>
  <w:p w14:paraId="6FBBBD49" w14:textId="77777777" w:rsidR="007C4FD3" w:rsidRPr="00EB170C" w:rsidRDefault="007C4FD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F796" w14:textId="77777777" w:rsidR="003C101E" w:rsidRDefault="003C101E" w:rsidP="009566C9">
      <w:pPr>
        <w:spacing w:after="0" w:line="240" w:lineRule="auto"/>
      </w:pPr>
      <w:r>
        <w:separator/>
      </w:r>
    </w:p>
  </w:footnote>
  <w:footnote w:type="continuationSeparator" w:id="0">
    <w:p w14:paraId="29953651" w14:textId="77777777" w:rsidR="003C101E" w:rsidRDefault="003C101E" w:rsidP="009566C9">
      <w:pPr>
        <w:spacing w:after="0" w:line="240" w:lineRule="auto"/>
      </w:pPr>
      <w:r>
        <w:continuationSeparator/>
      </w:r>
    </w:p>
  </w:footnote>
  <w:footnote w:type="continuationNotice" w:id="1">
    <w:p w14:paraId="40B01D88" w14:textId="77777777" w:rsidR="003C101E" w:rsidRDefault="003C1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261B" w14:textId="77777777" w:rsidR="000A3FD1" w:rsidRPr="00DB5350" w:rsidRDefault="000A3FD1">
    <w:pPr>
      <w:pStyle w:val="Header"/>
      <w:jc w:val="center"/>
      <w:rPr>
        <w:rFonts w:ascii="Times New Roman" w:hAnsi="Times New Roman" w:cs="Times New Roman"/>
        <w:sz w:val="24"/>
        <w:szCs w:val="24"/>
      </w:rPr>
    </w:pPr>
  </w:p>
  <w:p w14:paraId="1986C52F" w14:textId="77777777" w:rsidR="000A3FD1" w:rsidRDefault="000A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30ACF"/>
    <w:multiLevelType w:val="hybridMultilevel"/>
    <w:tmpl w:val="EF321372"/>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 w15:restartNumberingAfterBreak="0">
    <w:nsid w:val="07062D60"/>
    <w:multiLevelType w:val="hybridMultilevel"/>
    <w:tmpl w:val="DAAEF0F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09581513"/>
    <w:multiLevelType w:val="hybridMultilevel"/>
    <w:tmpl w:val="2FE82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D427C"/>
    <w:multiLevelType w:val="hybridMultilevel"/>
    <w:tmpl w:val="DB3C1A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6A4584E"/>
    <w:multiLevelType w:val="hybridMultilevel"/>
    <w:tmpl w:val="4900E79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19657984"/>
    <w:multiLevelType w:val="hybridMultilevel"/>
    <w:tmpl w:val="FF087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FF10D9"/>
    <w:multiLevelType w:val="hybridMultilevel"/>
    <w:tmpl w:val="2CF4E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9B3EA1"/>
    <w:multiLevelType w:val="hybridMultilevel"/>
    <w:tmpl w:val="D29685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31F94B87"/>
    <w:multiLevelType w:val="hybridMultilevel"/>
    <w:tmpl w:val="ACC6A276"/>
    <w:lvl w:ilvl="0" w:tplc="04270001">
      <w:start w:val="1"/>
      <w:numFmt w:val="bullet"/>
      <w:lvlText w:val=""/>
      <w:lvlJc w:val="left"/>
      <w:pPr>
        <w:ind w:left="952" w:hanging="360"/>
      </w:pPr>
      <w:rPr>
        <w:rFonts w:ascii="Symbol" w:hAnsi="Symbol" w:hint="default"/>
      </w:rPr>
    </w:lvl>
    <w:lvl w:ilvl="1" w:tplc="04270003">
      <w:start w:val="1"/>
      <w:numFmt w:val="bullet"/>
      <w:lvlText w:val="o"/>
      <w:lvlJc w:val="left"/>
      <w:pPr>
        <w:ind w:left="1672" w:hanging="360"/>
      </w:pPr>
      <w:rPr>
        <w:rFonts w:ascii="Courier New" w:hAnsi="Courier New" w:cs="Courier New" w:hint="default"/>
      </w:rPr>
    </w:lvl>
    <w:lvl w:ilvl="2" w:tplc="04270005">
      <w:start w:val="1"/>
      <w:numFmt w:val="bullet"/>
      <w:lvlText w:val=""/>
      <w:lvlJc w:val="left"/>
      <w:pPr>
        <w:ind w:left="2392" w:hanging="360"/>
      </w:pPr>
      <w:rPr>
        <w:rFonts w:ascii="Wingdings" w:hAnsi="Wingdings" w:hint="default"/>
      </w:rPr>
    </w:lvl>
    <w:lvl w:ilvl="3" w:tplc="04270001">
      <w:start w:val="1"/>
      <w:numFmt w:val="bullet"/>
      <w:lvlText w:val=""/>
      <w:lvlJc w:val="left"/>
      <w:pPr>
        <w:ind w:left="3112" w:hanging="360"/>
      </w:pPr>
      <w:rPr>
        <w:rFonts w:ascii="Symbol" w:hAnsi="Symbol" w:hint="default"/>
      </w:rPr>
    </w:lvl>
    <w:lvl w:ilvl="4" w:tplc="04270003">
      <w:start w:val="1"/>
      <w:numFmt w:val="bullet"/>
      <w:lvlText w:val="o"/>
      <w:lvlJc w:val="left"/>
      <w:pPr>
        <w:ind w:left="3832" w:hanging="360"/>
      </w:pPr>
      <w:rPr>
        <w:rFonts w:ascii="Courier New" w:hAnsi="Courier New" w:cs="Courier New" w:hint="default"/>
      </w:rPr>
    </w:lvl>
    <w:lvl w:ilvl="5" w:tplc="04270005">
      <w:start w:val="1"/>
      <w:numFmt w:val="bullet"/>
      <w:lvlText w:val=""/>
      <w:lvlJc w:val="left"/>
      <w:pPr>
        <w:ind w:left="4552" w:hanging="360"/>
      </w:pPr>
      <w:rPr>
        <w:rFonts w:ascii="Wingdings" w:hAnsi="Wingdings" w:hint="default"/>
      </w:rPr>
    </w:lvl>
    <w:lvl w:ilvl="6" w:tplc="04270001">
      <w:start w:val="1"/>
      <w:numFmt w:val="bullet"/>
      <w:lvlText w:val=""/>
      <w:lvlJc w:val="left"/>
      <w:pPr>
        <w:ind w:left="5272" w:hanging="360"/>
      </w:pPr>
      <w:rPr>
        <w:rFonts w:ascii="Symbol" w:hAnsi="Symbol" w:hint="default"/>
      </w:rPr>
    </w:lvl>
    <w:lvl w:ilvl="7" w:tplc="04270003">
      <w:start w:val="1"/>
      <w:numFmt w:val="bullet"/>
      <w:lvlText w:val="o"/>
      <w:lvlJc w:val="left"/>
      <w:pPr>
        <w:ind w:left="5992" w:hanging="360"/>
      </w:pPr>
      <w:rPr>
        <w:rFonts w:ascii="Courier New" w:hAnsi="Courier New" w:cs="Courier New" w:hint="default"/>
      </w:rPr>
    </w:lvl>
    <w:lvl w:ilvl="8" w:tplc="04270005">
      <w:start w:val="1"/>
      <w:numFmt w:val="bullet"/>
      <w:lvlText w:val=""/>
      <w:lvlJc w:val="left"/>
      <w:pPr>
        <w:ind w:left="6712" w:hanging="360"/>
      </w:pPr>
      <w:rPr>
        <w:rFonts w:ascii="Wingdings" w:hAnsi="Wingdings" w:hint="default"/>
      </w:rPr>
    </w:lvl>
  </w:abstractNum>
  <w:abstractNum w:abstractNumId="10" w15:restartNumberingAfterBreak="0">
    <w:nsid w:val="37003E67"/>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C012FB"/>
    <w:multiLevelType w:val="hybridMultilevel"/>
    <w:tmpl w:val="AFF00DD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3B60164A"/>
    <w:multiLevelType w:val="hybridMultilevel"/>
    <w:tmpl w:val="6F3A7A0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3" w15:restartNumberingAfterBreak="0">
    <w:nsid w:val="3E4B1164"/>
    <w:multiLevelType w:val="hybridMultilevel"/>
    <w:tmpl w:val="D708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B37004"/>
    <w:multiLevelType w:val="hybridMultilevel"/>
    <w:tmpl w:val="43940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4CA9D8"/>
    <w:multiLevelType w:val="hybridMultilevel"/>
    <w:tmpl w:val="6B867684"/>
    <w:lvl w:ilvl="0" w:tplc="FFBA3BCE">
      <w:start w:val="1"/>
      <w:numFmt w:val="decimal"/>
      <w:lvlText w:val="%1."/>
      <w:lvlJc w:val="left"/>
      <w:pPr>
        <w:ind w:left="720" w:hanging="360"/>
      </w:pPr>
    </w:lvl>
    <w:lvl w:ilvl="1" w:tplc="ABB26294">
      <w:start w:val="1"/>
      <w:numFmt w:val="lowerLetter"/>
      <w:lvlText w:val="%2."/>
      <w:lvlJc w:val="left"/>
      <w:pPr>
        <w:ind w:left="1440" w:hanging="360"/>
      </w:pPr>
    </w:lvl>
    <w:lvl w:ilvl="2" w:tplc="65085DC2">
      <w:start w:val="1"/>
      <w:numFmt w:val="lowerRoman"/>
      <w:lvlText w:val="%3."/>
      <w:lvlJc w:val="right"/>
      <w:pPr>
        <w:ind w:left="2160" w:hanging="180"/>
      </w:pPr>
    </w:lvl>
    <w:lvl w:ilvl="3" w:tplc="3D5A0F54">
      <w:start w:val="1"/>
      <w:numFmt w:val="decimal"/>
      <w:lvlText w:val="%4."/>
      <w:lvlJc w:val="left"/>
      <w:pPr>
        <w:ind w:left="2880" w:hanging="360"/>
      </w:pPr>
    </w:lvl>
    <w:lvl w:ilvl="4" w:tplc="757481B2">
      <w:start w:val="1"/>
      <w:numFmt w:val="lowerLetter"/>
      <w:lvlText w:val="%5."/>
      <w:lvlJc w:val="left"/>
      <w:pPr>
        <w:ind w:left="3600" w:hanging="360"/>
      </w:pPr>
    </w:lvl>
    <w:lvl w:ilvl="5" w:tplc="1A3E10F0">
      <w:start w:val="1"/>
      <w:numFmt w:val="lowerRoman"/>
      <w:lvlText w:val="%6."/>
      <w:lvlJc w:val="right"/>
      <w:pPr>
        <w:ind w:left="4320" w:hanging="180"/>
      </w:pPr>
    </w:lvl>
    <w:lvl w:ilvl="6" w:tplc="3164356E">
      <w:start w:val="1"/>
      <w:numFmt w:val="decimal"/>
      <w:lvlText w:val="%7."/>
      <w:lvlJc w:val="left"/>
      <w:pPr>
        <w:ind w:left="5040" w:hanging="360"/>
      </w:pPr>
    </w:lvl>
    <w:lvl w:ilvl="7" w:tplc="3EA6D2B4">
      <w:start w:val="1"/>
      <w:numFmt w:val="lowerLetter"/>
      <w:lvlText w:val="%8."/>
      <w:lvlJc w:val="left"/>
      <w:pPr>
        <w:ind w:left="5760" w:hanging="360"/>
      </w:pPr>
    </w:lvl>
    <w:lvl w:ilvl="8" w:tplc="E3DE4C12">
      <w:start w:val="1"/>
      <w:numFmt w:val="lowerRoman"/>
      <w:lvlText w:val="%9."/>
      <w:lvlJc w:val="right"/>
      <w:pPr>
        <w:ind w:left="6480" w:hanging="180"/>
      </w:pPr>
    </w:lvl>
  </w:abstractNum>
  <w:abstractNum w:abstractNumId="16" w15:restartNumberingAfterBreak="0">
    <w:nsid w:val="4B6B7EF0"/>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C672A5E"/>
    <w:multiLevelType w:val="hybridMultilevel"/>
    <w:tmpl w:val="4B8CBD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8" w15:restartNumberingAfterBreak="0">
    <w:nsid w:val="5FD41D25"/>
    <w:multiLevelType w:val="hybridMultilevel"/>
    <w:tmpl w:val="9B3E3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0"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DE87D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9C59DC"/>
    <w:multiLevelType w:val="hybridMultilevel"/>
    <w:tmpl w:val="40B264A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22"/>
  </w:num>
  <w:num w:numId="6">
    <w:abstractNumId w:val="3"/>
  </w:num>
  <w:num w:numId="7">
    <w:abstractNumId w:val="13"/>
  </w:num>
  <w:num w:numId="8">
    <w:abstractNumId w:val="17"/>
  </w:num>
  <w:num w:numId="9">
    <w:abstractNumId w:val="1"/>
  </w:num>
  <w:num w:numId="10">
    <w:abstractNumId w:val="18"/>
  </w:num>
  <w:num w:numId="11">
    <w:abstractNumId w:val="6"/>
  </w:num>
  <w:num w:numId="12">
    <w:abstractNumId w:val="4"/>
  </w:num>
  <w:num w:numId="13">
    <w:abstractNumId w:val="16"/>
  </w:num>
  <w:num w:numId="14">
    <w:abstractNumId w:val="10"/>
  </w:num>
  <w:num w:numId="15">
    <w:abstractNumId w:val="19"/>
  </w:num>
  <w:num w:numId="16">
    <w:abstractNumId w:val="12"/>
  </w:num>
  <w:num w:numId="17">
    <w:abstractNumId w:val="21"/>
  </w:num>
  <w:num w:numId="18">
    <w:abstractNumId w:val="14"/>
  </w:num>
  <w:num w:numId="19">
    <w:abstractNumId w:val="8"/>
  </w:num>
  <w:num w:numId="20">
    <w:abstractNumId w:val="5"/>
  </w:num>
  <w:num w:numId="21">
    <w:abstractNumId w:val="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05866"/>
    <w:rsid w:val="000061AF"/>
    <w:rsid w:val="00017260"/>
    <w:rsid w:val="0002248B"/>
    <w:rsid w:val="00027A83"/>
    <w:rsid w:val="00043E94"/>
    <w:rsid w:val="0004650D"/>
    <w:rsid w:val="000515FF"/>
    <w:rsid w:val="0005549A"/>
    <w:rsid w:val="00056E28"/>
    <w:rsid w:val="00060702"/>
    <w:rsid w:val="0006130B"/>
    <w:rsid w:val="0006156D"/>
    <w:rsid w:val="000623B1"/>
    <w:rsid w:val="0006343D"/>
    <w:rsid w:val="00064223"/>
    <w:rsid w:val="00066BDE"/>
    <w:rsid w:val="00067439"/>
    <w:rsid w:val="00067849"/>
    <w:rsid w:val="000705D0"/>
    <w:rsid w:val="00077787"/>
    <w:rsid w:val="00077E03"/>
    <w:rsid w:val="0008319F"/>
    <w:rsid w:val="000933A9"/>
    <w:rsid w:val="000A25F3"/>
    <w:rsid w:val="000A28F0"/>
    <w:rsid w:val="000A348D"/>
    <w:rsid w:val="000A3FD1"/>
    <w:rsid w:val="000A4A26"/>
    <w:rsid w:val="000A51A6"/>
    <w:rsid w:val="000A5310"/>
    <w:rsid w:val="000A5F0B"/>
    <w:rsid w:val="000B05BB"/>
    <w:rsid w:val="000B1FAF"/>
    <w:rsid w:val="000B4579"/>
    <w:rsid w:val="000B4F29"/>
    <w:rsid w:val="000C35B0"/>
    <w:rsid w:val="000D47DD"/>
    <w:rsid w:val="000D5A8F"/>
    <w:rsid w:val="000D65C8"/>
    <w:rsid w:val="000F3615"/>
    <w:rsid w:val="0010345F"/>
    <w:rsid w:val="001109CC"/>
    <w:rsid w:val="00115BE2"/>
    <w:rsid w:val="00117613"/>
    <w:rsid w:val="00123468"/>
    <w:rsid w:val="00130CCD"/>
    <w:rsid w:val="00132339"/>
    <w:rsid w:val="001330BC"/>
    <w:rsid w:val="00133E70"/>
    <w:rsid w:val="001356EF"/>
    <w:rsid w:val="0013595E"/>
    <w:rsid w:val="00143172"/>
    <w:rsid w:val="001450FD"/>
    <w:rsid w:val="0014530C"/>
    <w:rsid w:val="0014601E"/>
    <w:rsid w:val="00146E2E"/>
    <w:rsid w:val="00150BFF"/>
    <w:rsid w:val="00152A5A"/>
    <w:rsid w:val="00156028"/>
    <w:rsid w:val="00156511"/>
    <w:rsid w:val="00161753"/>
    <w:rsid w:val="00165625"/>
    <w:rsid w:val="0017272C"/>
    <w:rsid w:val="00180715"/>
    <w:rsid w:val="00183CE1"/>
    <w:rsid w:val="001847C5"/>
    <w:rsid w:val="001952F3"/>
    <w:rsid w:val="00196C6F"/>
    <w:rsid w:val="0019772B"/>
    <w:rsid w:val="001A3CB4"/>
    <w:rsid w:val="001A5D7C"/>
    <w:rsid w:val="001A7200"/>
    <w:rsid w:val="001B146E"/>
    <w:rsid w:val="001B3B1C"/>
    <w:rsid w:val="001D62C5"/>
    <w:rsid w:val="001E7743"/>
    <w:rsid w:val="001F0799"/>
    <w:rsid w:val="001F3A74"/>
    <w:rsid w:val="00200477"/>
    <w:rsid w:val="002134C8"/>
    <w:rsid w:val="00213E83"/>
    <w:rsid w:val="002178AD"/>
    <w:rsid w:val="002219B0"/>
    <w:rsid w:val="002232D1"/>
    <w:rsid w:val="00223803"/>
    <w:rsid w:val="00226956"/>
    <w:rsid w:val="00230370"/>
    <w:rsid w:val="00231EEC"/>
    <w:rsid w:val="00232F58"/>
    <w:rsid w:val="00233316"/>
    <w:rsid w:val="002418E6"/>
    <w:rsid w:val="002438B8"/>
    <w:rsid w:val="00246655"/>
    <w:rsid w:val="00250000"/>
    <w:rsid w:val="002500C5"/>
    <w:rsid w:val="00250170"/>
    <w:rsid w:val="00251AD6"/>
    <w:rsid w:val="00254379"/>
    <w:rsid w:val="00256186"/>
    <w:rsid w:val="002562F8"/>
    <w:rsid w:val="002566B8"/>
    <w:rsid w:val="00261F36"/>
    <w:rsid w:val="00262F13"/>
    <w:rsid w:val="00262F5D"/>
    <w:rsid w:val="002803AF"/>
    <w:rsid w:val="002808F3"/>
    <w:rsid w:val="00281DB8"/>
    <w:rsid w:val="00285B31"/>
    <w:rsid w:val="00293EA8"/>
    <w:rsid w:val="00295506"/>
    <w:rsid w:val="002A0A88"/>
    <w:rsid w:val="002A4419"/>
    <w:rsid w:val="002A7449"/>
    <w:rsid w:val="002A77FA"/>
    <w:rsid w:val="002B121A"/>
    <w:rsid w:val="002B3D79"/>
    <w:rsid w:val="002B4C38"/>
    <w:rsid w:val="002C04BA"/>
    <w:rsid w:val="002C06D5"/>
    <w:rsid w:val="002C1735"/>
    <w:rsid w:val="002C43B3"/>
    <w:rsid w:val="002C6F69"/>
    <w:rsid w:val="002C7BC8"/>
    <w:rsid w:val="002D1E02"/>
    <w:rsid w:val="002E0299"/>
    <w:rsid w:val="002E039D"/>
    <w:rsid w:val="002E4B09"/>
    <w:rsid w:val="002E527F"/>
    <w:rsid w:val="002E622E"/>
    <w:rsid w:val="002E7302"/>
    <w:rsid w:val="002F06D1"/>
    <w:rsid w:val="002F3CFA"/>
    <w:rsid w:val="002F7D5B"/>
    <w:rsid w:val="00307646"/>
    <w:rsid w:val="00307A67"/>
    <w:rsid w:val="003114FF"/>
    <w:rsid w:val="0032006E"/>
    <w:rsid w:val="0032480E"/>
    <w:rsid w:val="00330699"/>
    <w:rsid w:val="003313F4"/>
    <w:rsid w:val="0033229B"/>
    <w:rsid w:val="00354CF1"/>
    <w:rsid w:val="003562D7"/>
    <w:rsid w:val="0036192F"/>
    <w:rsid w:val="003655B8"/>
    <w:rsid w:val="0037072E"/>
    <w:rsid w:val="00385609"/>
    <w:rsid w:val="00385FDD"/>
    <w:rsid w:val="003929A9"/>
    <w:rsid w:val="003944F7"/>
    <w:rsid w:val="003A5BAA"/>
    <w:rsid w:val="003B28D6"/>
    <w:rsid w:val="003C101E"/>
    <w:rsid w:val="003C15B5"/>
    <w:rsid w:val="003C66CA"/>
    <w:rsid w:val="003D0A9D"/>
    <w:rsid w:val="003D4F85"/>
    <w:rsid w:val="003D5135"/>
    <w:rsid w:val="003D57A2"/>
    <w:rsid w:val="003E2EFC"/>
    <w:rsid w:val="003F1858"/>
    <w:rsid w:val="003F4C1B"/>
    <w:rsid w:val="003F50C9"/>
    <w:rsid w:val="00402EE5"/>
    <w:rsid w:val="00403706"/>
    <w:rsid w:val="00403D7B"/>
    <w:rsid w:val="00404660"/>
    <w:rsid w:val="004046E3"/>
    <w:rsid w:val="00406613"/>
    <w:rsid w:val="00415A70"/>
    <w:rsid w:val="00416BF2"/>
    <w:rsid w:val="00420A42"/>
    <w:rsid w:val="00430748"/>
    <w:rsid w:val="00432F5A"/>
    <w:rsid w:val="00436750"/>
    <w:rsid w:val="004412B6"/>
    <w:rsid w:val="004479D2"/>
    <w:rsid w:val="0045374B"/>
    <w:rsid w:val="004653E7"/>
    <w:rsid w:val="00465C11"/>
    <w:rsid w:val="0047387C"/>
    <w:rsid w:val="00477F40"/>
    <w:rsid w:val="00480C88"/>
    <w:rsid w:val="004838D3"/>
    <w:rsid w:val="00485C4A"/>
    <w:rsid w:val="00492451"/>
    <w:rsid w:val="00493EED"/>
    <w:rsid w:val="004941C9"/>
    <w:rsid w:val="00494563"/>
    <w:rsid w:val="004A0BB9"/>
    <w:rsid w:val="004A639A"/>
    <w:rsid w:val="004A6B6D"/>
    <w:rsid w:val="004B5E98"/>
    <w:rsid w:val="004C09B1"/>
    <w:rsid w:val="004C4B91"/>
    <w:rsid w:val="004C5119"/>
    <w:rsid w:val="004D06C0"/>
    <w:rsid w:val="004D1D59"/>
    <w:rsid w:val="004D65B1"/>
    <w:rsid w:val="004D763D"/>
    <w:rsid w:val="004F0CCF"/>
    <w:rsid w:val="004F329A"/>
    <w:rsid w:val="004F516D"/>
    <w:rsid w:val="004F53B1"/>
    <w:rsid w:val="004F7371"/>
    <w:rsid w:val="00504F34"/>
    <w:rsid w:val="00506DE4"/>
    <w:rsid w:val="005105E6"/>
    <w:rsid w:val="00515159"/>
    <w:rsid w:val="00517681"/>
    <w:rsid w:val="0052303D"/>
    <w:rsid w:val="00526BE4"/>
    <w:rsid w:val="00530764"/>
    <w:rsid w:val="005320F3"/>
    <w:rsid w:val="0053215A"/>
    <w:rsid w:val="005331C0"/>
    <w:rsid w:val="005374D4"/>
    <w:rsid w:val="00540EF1"/>
    <w:rsid w:val="00544B07"/>
    <w:rsid w:val="005452D3"/>
    <w:rsid w:val="0054698A"/>
    <w:rsid w:val="00550A83"/>
    <w:rsid w:val="0056144D"/>
    <w:rsid w:val="00563956"/>
    <w:rsid w:val="005650C1"/>
    <w:rsid w:val="005719E0"/>
    <w:rsid w:val="00573227"/>
    <w:rsid w:val="00575496"/>
    <w:rsid w:val="0057652B"/>
    <w:rsid w:val="00582EB0"/>
    <w:rsid w:val="00586D96"/>
    <w:rsid w:val="00594748"/>
    <w:rsid w:val="005A3501"/>
    <w:rsid w:val="005A4AF2"/>
    <w:rsid w:val="005A6D09"/>
    <w:rsid w:val="005A74E8"/>
    <w:rsid w:val="005B7303"/>
    <w:rsid w:val="005B7B50"/>
    <w:rsid w:val="005C0CDD"/>
    <w:rsid w:val="005C312B"/>
    <w:rsid w:val="005C7ADD"/>
    <w:rsid w:val="005D0AB6"/>
    <w:rsid w:val="005D6F5B"/>
    <w:rsid w:val="005E19EC"/>
    <w:rsid w:val="005E211F"/>
    <w:rsid w:val="005F0399"/>
    <w:rsid w:val="005F3067"/>
    <w:rsid w:val="005F4797"/>
    <w:rsid w:val="00600164"/>
    <w:rsid w:val="00604684"/>
    <w:rsid w:val="00605801"/>
    <w:rsid w:val="0060728A"/>
    <w:rsid w:val="006200DC"/>
    <w:rsid w:val="00623148"/>
    <w:rsid w:val="006260A2"/>
    <w:rsid w:val="006265E6"/>
    <w:rsid w:val="00631B5B"/>
    <w:rsid w:val="006372CB"/>
    <w:rsid w:val="00641448"/>
    <w:rsid w:val="006442E1"/>
    <w:rsid w:val="00645892"/>
    <w:rsid w:val="00646399"/>
    <w:rsid w:val="00647B36"/>
    <w:rsid w:val="006537DA"/>
    <w:rsid w:val="00657792"/>
    <w:rsid w:val="006616D8"/>
    <w:rsid w:val="00661D2D"/>
    <w:rsid w:val="006653FE"/>
    <w:rsid w:val="00670609"/>
    <w:rsid w:val="006708C2"/>
    <w:rsid w:val="0067379F"/>
    <w:rsid w:val="00673AC4"/>
    <w:rsid w:val="00675CE7"/>
    <w:rsid w:val="006805D3"/>
    <w:rsid w:val="0068103C"/>
    <w:rsid w:val="0068473F"/>
    <w:rsid w:val="00685C40"/>
    <w:rsid w:val="0069074B"/>
    <w:rsid w:val="006931BB"/>
    <w:rsid w:val="006977F5"/>
    <w:rsid w:val="006A0E19"/>
    <w:rsid w:val="006A20BA"/>
    <w:rsid w:val="006A251F"/>
    <w:rsid w:val="006A3D69"/>
    <w:rsid w:val="006A4965"/>
    <w:rsid w:val="006B275B"/>
    <w:rsid w:val="006B4147"/>
    <w:rsid w:val="006B6049"/>
    <w:rsid w:val="006B70BD"/>
    <w:rsid w:val="006B7132"/>
    <w:rsid w:val="006E0769"/>
    <w:rsid w:val="006E131A"/>
    <w:rsid w:val="006E19C0"/>
    <w:rsid w:val="006E29CA"/>
    <w:rsid w:val="006E2D3D"/>
    <w:rsid w:val="006E32F0"/>
    <w:rsid w:val="006E4E8F"/>
    <w:rsid w:val="006E708D"/>
    <w:rsid w:val="006F1395"/>
    <w:rsid w:val="006F29EF"/>
    <w:rsid w:val="006F2C93"/>
    <w:rsid w:val="006F3B38"/>
    <w:rsid w:val="006F5429"/>
    <w:rsid w:val="007000F3"/>
    <w:rsid w:val="00700352"/>
    <w:rsid w:val="007144C9"/>
    <w:rsid w:val="00721125"/>
    <w:rsid w:val="00723DD5"/>
    <w:rsid w:val="0072728C"/>
    <w:rsid w:val="0073414C"/>
    <w:rsid w:val="00735070"/>
    <w:rsid w:val="00742630"/>
    <w:rsid w:val="007459B6"/>
    <w:rsid w:val="007546B6"/>
    <w:rsid w:val="00754C12"/>
    <w:rsid w:val="00755FE4"/>
    <w:rsid w:val="00757453"/>
    <w:rsid w:val="007600D1"/>
    <w:rsid w:val="0076438F"/>
    <w:rsid w:val="00764583"/>
    <w:rsid w:val="00772E7A"/>
    <w:rsid w:val="00776252"/>
    <w:rsid w:val="007764DA"/>
    <w:rsid w:val="007773A8"/>
    <w:rsid w:val="00780848"/>
    <w:rsid w:val="007856CB"/>
    <w:rsid w:val="007862EC"/>
    <w:rsid w:val="0078661E"/>
    <w:rsid w:val="00787199"/>
    <w:rsid w:val="00787E56"/>
    <w:rsid w:val="0079057D"/>
    <w:rsid w:val="007915EA"/>
    <w:rsid w:val="007954DC"/>
    <w:rsid w:val="007976DC"/>
    <w:rsid w:val="007A5810"/>
    <w:rsid w:val="007B03BD"/>
    <w:rsid w:val="007B0E66"/>
    <w:rsid w:val="007B1129"/>
    <w:rsid w:val="007B51BF"/>
    <w:rsid w:val="007C32AC"/>
    <w:rsid w:val="007C4225"/>
    <w:rsid w:val="007C4FD3"/>
    <w:rsid w:val="007C567B"/>
    <w:rsid w:val="007C6760"/>
    <w:rsid w:val="007C7F28"/>
    <w:rsid w:val="007E079C"/>
    <w:rsid w:val="007E0996"/>
    <w:rsid w:val="007E108B"/>
    <w:rsid w:val="007E1900"/>
    <w:rsid w:val="007E46FB"/>
    <w:rsid w:val="007E692E"/>
    <w:rsid w:val="007F0B24"/>
    <w:rsid w:val="008010BA"/>
    <w:rsid w:val="008033A7"/>
    <w:rsid w:val="008108E8"/>
    <w:rsid w:val="008168D8"/>
    <w:rsid w:val="0082045A"/>
    <w:rsid w:val="00820B2B"/>
    <w:rsid w:val="00821959"/>
    <w:rsid w:val="00830367"/>
    <w:rsid w:val="00831316"/>
    <w:rsid w:val="008368E6"/>
    <w:rsid w:val="008450B4"/>
    <w:rsid w:val="00845F2B"/>
    <w:rsid w:val="008471D8"/>
    <w:rsid w:val="00860C63"/>
    <w:rsid w:val="00862EA8"/>
    <w:rsid w:val="00867235"/>
    <w:rsid w:val="008766DD"/>
    <w:rsid w:val="00880F74"/>
    <w:rsid w:val="00885E33"/>
    <w:rsid w:val="00891AF5"/>
    <w:rsid w:val="008940F6"/>
    <w:rsid w:val="00894BCD"/>
    <w:rsid w:val="008B1D28"/>
    <w:rsid w:val="008B5C4A"/>
    <w:rsid w:val="008B7E3A"/>
    <w:rsid w:val="008C6102"/>
    <w:rsid w:val="008C6A38"/>
    <w:rsid w:val="008D1F24"/>
    <w:rsid w:val="008D6666"/>
    <w:rsid w:val="008D6C10"/>
    <w:rsid w:val="008D6EC4"/>
    <w:rsid w:val="008E0889"/>
    <w:rsid w:val="008E1A55"/>
    <w:rsid w:val="008E2325"/>
    <w:rsid w:val="008E3D74"/>
    <w:rsid w:val="008E3DC1"/>
    <w:rsid w:val="008E59DF"/>
    <w:rsid w:val="008E6B2C"/>
    <w:rsid w:val="008E7312"/>
    <w:rsid w:val="008F4BD8"/>
    <w:rsid w:val="008F6A1E"/>
    <w:rsid w:val="00900BC8"/>
    <w:rsid w:val="0090234F"/>
    <w:rsid w:val="00903D83"/>
    <w:rsid w:val="00906ED0"/>
    <w:rsid w:val="00907244"/>
    <w:rsid w:val="00915F5A"/>
    <w:rsid w:val="0091786A"/>
    <w:rsid w:val="00925445"/>
    <w:rsid w:val="00925D8B"/>
    <w:rsid w:val="00926467"/>
    <w:rsid w:val="009306A9"/>
    <w:rsid w:val="00933CC6"/>
    <w:rsid w:val="00937EB5"/>
    <w:rsid w:val="00943726"/>
    <w:rsid w:val="00943FA3"/>
    <w:rsid w:val="009517B7"/>
    <w:rsid w:val="00952CF2"/>
    <w:rsid w:val="0095328A"/>
    <w:rsid w:val="00953B02"/>
    <w:rsid w:val="009566C9"/>
    <w:rsid w:val="0095703E"/>
    <w:rsid w:val="00957F1D"/>
    <w:rsid w:val="00962F6C"/>
    <w:rsid w:val="00963B43"/>
    <w:rsid w:val="00963D78"/>
    <w:rsid w:val="009718CD"/>
    <w:rsid w:val="009730B0"/>
    <w:rsid w:val="00973C43"/>
    <w:rsid w:val="009746E6"/>
    <w:rsid w:val="0097669A"/>
    <w:rsid w:val="00984394"/>
    <w:rsid w:val="0098565E"/>
    <w:rsid w:val="0098668F"/>
    <w:rsid w:val="00994F7C"/>
    <w:rsid w:val="00995307"/>
    <w:rsid w:val="00996389"/>
    <w:rsid w:val="00997010"/>
    <w:rsid w:val="009A761A"/>
    <w:rsid w:val="009B0526"/>
    <w:rsid w:val="009B620C"/>
    <w:rsid w:val="009B708B"/>
    <w:rsid w:val="009B74B2"/>
    <w:rsid w:val="009B7C79"/>
    <w:rsid w:val="009C06C8"/>
    <w:rsid w:val="009C1781"/>
    <w:rsid w:val="009C2E7E"/>
    <w:rsid w:val="009C35F4"/>
    <w:rsid w:val="009D13FB"/>
    <w:rsid w:val="009D2A9C"/>
    <w:rsid w:val="009D3004"/>
    <w:rsid w:val="009D4EC0"/>
    <w:rsid w:val="009E5F43"/>
    <w:rsid w:val="009E62FB"/>
    <w:rsid w:val="009F000B"/>
    <w:rsid w:val="009F4717"/>
    <w:rsid w:val="009F4E00"/>
    <w:rsid w:val="00A06570"/>
    <w:rsid w:val="00A1779B"/>
    <w:rsid w:val="00A219FF"/>
    <w:rsid w:val="00A22BED"/>
    <w:rsid w:val="00A26ACF"/>
    <w:rsid w:val="00A2766F"/>
    <w:rsid w:val="00A315BA"/>
    <w:rsid w:val="00A418F1"/>
    <w:rsid w:val="00A473CA"/>
    <w:rsid w:val="00A53634"/>
    <w:rsid w:val="00A560A4"/>
    <w:rsid w:val="00A62CD3"/>
    <w:rsid w:val="00A6304A"/>
    <w:rsid w:val="00A64277"/>
    <w:rsid w:val="00A64FB2"/>
    <w:rsid w:val="00A66B35"/>
    <w:rsid w:val="00A730FE"/>
    <w:rsid w:val="00A96783"/>
    <w:rsid w:val="00A97944"/>
    <w:rsid w:val="00AB362B"/>
    <w:rsid w:val="00AB46DB"/>
    <w:rsid w:val="00AB65A0"/>
    <w:rsid w:val="00AC2259"/>
    <w:rsid w:val="00AC2434"/>
    <w:rsid w:val="00AC253A"/>
    <w:rsid w:val="00AC2835"/>
    <w:rsid w:val="00AC3FFE"/>
    <w:rsid w:val="00AC7036"/>
    <w:rsid w:val="00AD2247"/>
    <w:rsid w:val="00AD3D5B"/>
    <w:rsid w:val="00AD505C"/>
    <w:rsid w:val="00AD50BF"/>
    <w:rsid w:val="00AE0EBA"/>
    <w:rsid w:val="00AE13D6"/>
    <w:rsid w:val="00AE2A45"/>
    <w:rsid w:val="00AE60C5"/>
    <w:rsid w:val="00AE6B46"/>
    <w:rsid w:val="00AF2E6A"/>
    <w:rsid w:val="00AF5A2D"/>
    <w:rsid w:val="00AF6382"/>
    <w:rsid w:val="00AF65CE"/>
    <w:rsid w:val="00B019AA"/>
    <w:rsid w:val="00B01E91"/>
    <w:rsid w:val="00B03171"/>
    <w:rsid w:val="00B07514"/>
    <w:rsid w:val="00B105A2"/>
    <w:rsid w:val="00B117AA"/>
    <w:rsid w:val="00B26150"/>
    <w:rsid w:val="00B2753D"/>
    <w:rsid w:val="00B34B91"/>
    <w:rsid w:val="00B37BC9"/>
    <w:rsid w:val="00B42B96"/>
    <w:rsid w:val="00B46CED"/>
    <w:rsid w:val="00B47230"/>
    <w:rsid w:val="00B54550"/>
    <w:rsid w:val="00B54F0A"/>
    <w:rsid w:val="00B60128"/>
    <w:rsid w:val="00B6215D"/>
    <w:rsid w:val="00B65784"/>
    <w:rsid w:val="00B72003"/>
    <w:rsid w:val="00B72D32"/>
    <w:rsid w:val="00B842E9"/>
    <w:rsid w:val="00B84620"/>
    <w:rsid w:val="00B86DBA"/>
    <w:rsid w:val="00B90708"/>
    <w:rsid w:val="00B90838"/>
    <w:rsid w:val="00BA0B16"/>
    <w:rsid w:val="00BA34F4"/>
    <w:rsid w:val="00BA523F"/>
    <w:rsid w:val="00BA78DA"/>
    <w:rsid w:val="00BB3EFB"/>
    <w:rsid w:val="00BB570E"/>
    <w:rsid w:val="00BB5A83"/>
    <w:rsid w:val="00BC1BE9"/>
    <w:rsid w:val="00BC3C20"/>
    <w:rsid w:val="00BD0083"/>
    <w:rsid w:val="00BD1992"/>
    <w:rsid w:val="00BD29D0"/>
    <w:rsid w:val="00BD3337"/>
    <w:rsid w:val="00BD72CD"/>
    <w:rsid w:val="00BD7FBA"/>
    <w:rsid w:val="00BE6885"/>
    <w:rsid w:val="00BF0C4E"/>
    <w:rsid w:val="00BF121F"/>
    <w:rsid w:val="00C0009E"/>
    <w:rsid w:val="00C004E4"/>
    <w:rsid w:val="00C03ABB"/>
    <w:rsid w:val="00C061E7"/>
    <w:rsid w:val="00C11909"/>
    <w:rsid w:val="00C14A03"/>
    <w:rsid w:val="00C15C31"/>
    <w:rsid w:val="00C21A76"/>
    <w:rsid w:val="00C32A04"/>
    <w:rsid w:val="00C359AC"/>
    <w:rsid w:val="00C45B2D"/>
    <w:rsid w:val="00C479C0"/>
    <w:rsid w:val="00C51D20"/>
    <w:rsid w:val="00C52A14"/>
    <w:rsid w:val="00C54547"/>
    <w:rsid w:val="00C56D18"/>
    <w:rsid w:val="00C60940"/>
    <w:rsid w:val="00C651CA"/>
    <w:rsid w:val="00C7440C"/>
    <w:rsid w:val="00C75EC4"/>
    <w:rsid w:val="00C81382"/>
    <w:rsid w:val="00C8150E"/>
    <w:rsid w:val="00C83580"/>
    <w:rsid w:val="00C8495E"/>
    <w:rsid w:val="00C86759"/>
    <w:rsid w:val="00C872F8"/>
    <w:rsid w:val="00C90114"/>
    <w:rsid w:val="00C90E2B"/>
    <w:rsid w:val="00CA17E4"/>
    <w:rsid w:val="00CA340A"/>
    <w:rsid w:val="00CA64CC"/>
    <w:rsid w:val="00CA71A8"/>
    <w:rsid w:val="00CB1BD2"/>
    <w:rsid w:val="00CB497D"/>
    <w:rsid w:val="00CB5F50"/>
    <w:rsid w:val="00CD0C69"/>
    <w:rsid w:val="00CD2404"/>
    <w:rsid w:val="00CD6DC5"/>
    <w:rsid w:val="00CE007B"/>
    <w:rsid w:val="00CE0438"/>
    <w:rsid w:val="00CE0CCF"/>
    <w:rsid w:val="00CE63B7"/>
    <w:rsid w:val="00CE714A"/>
    <w:rsid w:val="00CF5805"/>
    <w:rsid w:val="00CF5E23"/>
    <w:rsid w:val="00D023C6"/>
    <w:rsid w:val="00D10340"/>
    <w:rsid w:val="00D11CE1"/>
    <w:rsid w:val="00D12DAC"/>
    <w:rsid w:val="00D22AC8"/>
    <w:rsid w:val="00D25705"/>
    <w:rsid w:val="00D314C3"/>
    <w:rsid w:val="00D31CBC"/>
    <w:rsid w:val="00D35AB9"/>
    <w:rsid w:val="00D41641"/>
    <w:rsid w:val="00D41EC9"/>
    <w:rsid w:val="00D429CF"/>
    <w:rsid w:val="00D50D03"/>
    <w:rsid w:val="00D55A54"/>
    <w:rsid w:val="00D574E0"/>
    <w:rsid w:val="00D66B28"/>
    <w:rsid w:val="00D7260F"/>
    <w:rsid w:val="00D72B27"/>
    <w:rsid w:val="00D80268"/>
    <w:rsid w:val="00D81FF1"/>
    <w:rsid w:val="00D86C51"/>
    <w:rsid w:val="00D91DD8"/>
    <w:rsid w:val="00D928BB"/>
    <w:rsid w:val="00D960EA"/>
    <w:rsid w:val="00DA1ED8"/>
    <w:rsid w:val="00DA6E83"/>
    <w:rsid w:val="00DB0E06"/>
    <w:rsid w:val="00DB2DB4"/>
    <w:rsid w:val="00DB3808"/>
    <w:rsid w:val="00DB5350"/>
    <w:rsid w:val="00DBB596"/>
    <w:rsid w:val="00DC3E49"/>
    <w:rsid w:val="00DC4128"/>
    <w:rsid w:val="00DC6C57"/>
    <w:rsid w:val="00DD0CBA"/>
    <w:rsid w:val="00DD209F"/>
    <w:rsid w:val="00DD30F9"/>
    <w:rsid w:val="00DD6B5D"/>
    <w:rsid w:val="00DE0E1F"/>
    <w:rsid w:val="00DE13ED"/>
    <w:rsid w:val="00DE6C94"/>
    <w:rsid w:val="00DF036F"/>
    <w:rsid w:val="00DF0D14"/>
    <w:rsid w:val="00DF2927"/>
    <w:rsid w:val="00DF7E00"/>
    <w:rsid w:val="00E000CB"/>
    <w:rsid w:val="00E10971"/>
    <w:rsid w:val="00E11AC9"/>
    <w:rsid w:val="00E132F5"/>
    <w:rsid w:val="00E13478"/>
    <w:rsid w:val="00E13E5A"/>
    <w:rsid w:val="00E1582A"/>
    <w:rsid w:val="00E15BEC"/>
    <w:rsid w:val="00E15DD9"/>
    <w:rsid w:val="00E168A3"/>
    <w:rsid w:val="00E22E7E"/>
    <w:rsid w:val="00E252AE"/>
    <w:rsid w:val="00E3353D"/>
    <w:rsid w:val="00E415FC"/>
    <w:rsid w:val="00E432B5"/>
    <w:rsid w:val="00E5547C"/>
    <w:rsid w:val="00E64397"/>
    <w:rsid w:val="00E6723F"/>
    <w:rsid w:val="00E737B3"/>
    <w:rsid w:val="00E76F8F"/>
    <w:rsid w:val="00E8091C"/>
    <w:rsid w:val="00E846FC"/>
    <w:rsid w:val="00E93991"/>
    <w:rsid w:val="00EA16C5"/>
    <w:rsid w:val="00EA21F1"/>
    <w:rsid w:val="00EB170C"/>
    <w:rsid w:val="00EB1BBA"/>
    <w:rsid w:val="00EB4A84"/>
    <w:rsid w:val="00EB660D"/>
    <w:rsid w:val="00EC0501"/>
    <w:rsid w:val="00EC0696"/>
    <w:rsid w:val="00EC286B"/>
    <w:rsid w:val="00EC638E"/>
    <w:rsid w:val="00ED1E47"/>
    <w:rsid w:val="00ED4A3B"/>
    <w:rsid w:val="00ED7A14"/>
    <w:rsid w:val="00ED7C90"/>
    <w:rsid w:val="00EE08F8"/>
    <w:rsid w:val="00EE2A66"/>
    <w:rsid w:val="00EE3486"/>
    <w:rsid w:val="00EE380F"/>
    <w:rsid w:val="00EF7FCC"/>
    <w:rsid w:val="00F02B2F"/>
    <w:rsid w:val="00F0476A"/>
    <w:rsid w:val="00F16AF7"/>
    <w:rsid w:val="00F17BE2"/>
    <w:rsid w:val="00F2046F"/>
    <w:rsid w:val="00F37661"/>
    <w:rsid w:val="00F4179B"/>
    <w:rsid w:val="00F426A4"/>
    <w:rsid w:val="00F5705C"/>
    <w:rsid w:val="00F70C82"/>
    <w:rsid w:val="00F730B2"/>
    <w:rsid w:val="00F73DEA"/>
    <w:rsid w:val="00F77D26"/>
    <w:rsid w:val="00F83249"/>
    <w:rsid w:val="00F84A25"/>
    <w:rsid w:val="00F86441"/>
    <w:rsid w:val="00F866DD"/>
    <w:rsid w:val="00F874A5"/>
    <w:rsid w:val="00F913A3"/>
    <w:rsid w:val="00F93733"/>
    <w:rsid w:val="00FA4619"/>
    <w:rsid w:val="00FA4883"/>
    <w:rsid w:val="00FA61FB"/>
    <w:rsid w:val="00FB1EF5"/>
    <w:rsid w:val="00FB657E"/>
    <w:rsid w:val="00FB6748"/>
    <w:rsid w:val="00FB7557"/>
    <w:rsid w:val="00FC621C"/>
    <w:rsid w:val="00FD38AB"/>
    <w:rsid w:val="00FD4D22"/>
    <w:rsid w:val="00FD571D"/>
    <w:rsid w:val="00FD5F08"/>
    <w:rsid w:val="00FD7C87"/>
    <w:rsid w:val="00FE0F5F"/>
    <w:rsid w:val="00FE1EE0"/>
    <w:rsid w:val="00FF6565"/>
    <w:rsid w:val="00FF76B8"/>
    <w:rsid w:val="0332FE6F"/>
    <w:rsid w:val="0C8820AF"/>
    <w:rsid w:val="0FFD812C"/>
    <w:rsid w:val="1557AE40"/>
    <w:rsid w:val="16107611"/>
    <w:rsid w:val="163A2EB3"/>
    <w:rsid w:val="16D3A87F"/>
    <w:rsid w:val="175B7CB1"/>
    <w:rsid w:val="1796F6C3"/>
    <w:rsid w:val="17ADC7F5"/>
    <w:rsid w:val="1815C662"/>
    <w:rsid w:val="181A94F2"/>
    <w:rsid w:val="1DE046D1"/>
    <w:rsid w:val="1EF0223E"/>
    <w:rsid w:val="1FF213EE"/>
    <w:rsid w:val="223E7054"/>
    <w:rsid w:val="269563CB"/>
    <w:rsid w:val="29EF9E92"/>
    <w:rsid w:val="2C9F0CBB"/>
    <w:rsid w:val="2D9B5C0D"/>
    <w:rsid w:val="2E150C3D"/>
    <w:rsid w:val="2F507B33"/>
    <w:rsid w:val="3039C6D8"/>
    <w:rsid w:val="304244F3"/>
    <w:rsid w:val="3060D34F"/>
    <w:rsid w:val="30D9A0DF"/>
    <w:rsid w:val="35DB953A"/>
    <w:rsid w:val="37DD7B7C"/>
    <w:rsid w:val="38C19A4B"/>
    <w:rsid w:val="38E606C2"/>
    <w:rsid w:val="39375096"/>
    <w:rsid w:val="39DA190B"/>
    <w:rsid w:val="3A93BAC8"/>
    <w:rsid w:val="3ACFE72E"/>
    <w:rsid w:val="3F9361BB"/>
    <w:rsid w:val="41B4A643"/>
    <w:rsid w:val="41E815BB"/>
    <w:rsid w:val="42243F98"/>
    <w:rsid w:val="42B84D44"/>
    <w:rsid w:val="4377B32C"/>
    <w:rsid w:val="4509CAEF"/>
    <w:rsid w:val="479C89CA"/>
    <w:rsid w:val="4868AED5"/>
    <w:rsid w:val="49003B48"/>
    <w:rsid w:val="4A555DFA"/>
    <w:rsid w:val="4AF74D71"/>
    <w:rsid w:val="4C11E266"/>
    <w:rsid w:val="4FEE21EB"/>
    <w:rsid w:val="52378314"/>
    <w:rsid w:val="52BE172F"/>
    <w:rsid w:val="558A3054"/>
    <w:rsid w:val="57F059E8"/>
    <w:rsid w:val="58566EC2"/>
    <w:rsid w:val="58B576D9"/>
    <w:rsid w:val="5C2079D9"/>
    <w:rsid w:val="5D02D3A8"/>
    <w:rsid w:val="5D4118F7"/>
    <w:rsid w:val="5DC9F172"/>
    <w:rsid w:val="60F9AF93"/>
    <w:rsid w:val="62998D80"/>
    <w:rsid w:val="65A7104F"/>
    <w:rsid w:val="67E1ECC8"/>
    <w:rsid w:val="6856C832"/>
    <w:rsid w:val="68A94915"/>
    <w:rsid w:val="6936095B"/>
    <w:rsid w:val="6A0BADCC"/>
    <w:rsid w:val="6A235BCB"/>
    <w:rsid w:val="6BC2B261"/>
    <w:rsid w:val="6D08262B"/>
    <w:rsid w:val="6EB31565"/>
    <w:rsid w:val="70250610"/>
    <w:rsid w:val="7114306B"/>
    <w:rsid w:val="742D5CDA"/>
    <w:rsid w:val="772011A4"/>
    <w:rsid w:val="77596A26"/>
    <w:rsid w:val="7B5D1E01"/>
    <w:rsid w:val="7B81D0D0"/>
    <w:rsid w:val="7E636FA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EA16"/>
  <w15:docId w15:val="{591F3530-C478-446E-BCB7-05108F5D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49"/>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3">
    <w:name w:val="heading 3"/>
    <w:basedOn w:val="Normal"/>
    <w:next w:val="Normal"/>
    <w:link w:val="Heading3Char"/>
    <w:uiPriority w:val="9"/>
    <w:semiHidden/>
    <w:unhideWhenUsed/>
    <w:qFormat/>
    <w:rsid w:val="00CE71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15"/>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3Char">
    <w:name w:val="Heading 3 Char"/>
    <w:basedOn w:val="DefaultParagraphFont"/>
    <w:link w:val="Heading3"/>
    <w:uiPriority w:val="9"/>
    <w:semiHidden/>
    <w:rsid w:val="00CE714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471D8"/>
    <w:pPr>
      <w:spacing w:after="0" w:line="240" w:lineRule="auto"/>
    </w:pPr>
  </w:style>
  <w:style w:type="table" w:customStyle="1" w:styleId="TableGrid1">
    <w:name w:val="Table Grid1"/>
    <w:basedOn w:val="TableNormal"/>
    <w:uiPriority w:val="39"/>
    <w:rsid w:val="007954D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494449">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855652869">
      <w:bodyDiv w:val="1"/>
      <w:marLeft w:val="0"/>
      <w:marRight w:val="0"/>
      <w:marTop w:val="0"/>
      <w:marBottom w:val="0"/>
      <w:divBdr>
        <w:top w:val="none" w:sz="0" w:space="0" w:color="auto"/>
        <w:left w:val="none" w:sz="0" w:space="0" w:color="auto"/>
        <w:bottom w:val="none" w:sz="0" w:space="0" w:color="auto"/>
        <w:right w:val="none" w:sz="0" w:space="0" w:color="auto"/>
      </w:divBdr>
    </w:div>
    <w:div w:id="1982539356">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A513-1A13-4D88-9B7F-DB8ED73EB6C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2.xml><?xml version="1.0" encoding="utf-8"?>
<ds:datastoreItem xmlns:ds="http://schemas.openxmlformats.org/officeDocument/2006/customXml" ds:itemID="{2401213E-9CDF-47B1-BFB0-3C1A695F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54C07-FD0C-4E88-8836-A9061AEAD973}">
  <ds:schemaRefs>
    <ds:schemaRef ds:uri="http://schemas.microsoft.com/sharepoint/v3/contenttype/forms"/>
  </ds:schemaRefs>
</ds:datastoreItem>
</file>

<file path=customXml/itemProps4.xml><?xml version="1.0" encoding="utf-8"?>
<ds:datastoreItem xmlns:ds="http://schemas.openxmlformats.org/officeDocument/2006/customXml" ds:itemID="{170D608C-F50A-437B-B9C1-B5136DD8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7964</Words>
  <Characters>4541</Characters>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2021-01-15T13:27:00Z</cp:lastPrinted>
  <dcterms:created xsi:type="dcterms:W3CDTF">2025-06-13T11:00:00Z</dcterms:created>
  <dcterms:modified xsi:type="dcterms:W3CDTF">2025-06-13T11:06:00Z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