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6FD11" w14:textId="77777777" w:rsidR="0032210D" w:rsidRPr="00F26AB2" w:rsidRDefault="0032210D" w:rsidP="0032210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20"/>
          <w:szCs w:val="20"/>
        </w:rPr>
      </w:pPr>
      <w:r w:rsidRPr="00F26AB2">
        <w:rPr>
          <w:rFonts w:ascii="Cambria" w:eastAsia="Times New Roman" w:hAnsi="Cambria" w:cs="Times New Roman"/>
          <w:b/>
          <w:color w:val="000000"/>
          <w:sz w:val="20"/>
          <w:szCs w:val="20"/>
        </w:rPr>
        <w:t>ŽALIUZIŲ, ROLETŲ</w:t>
      </w:r>
      <w:r w:rsidRPr="00F26AB2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F26AB2">
        <w:rPr>
          <w:rFonts w:ascii="Cambria" w:eastAsia="Times New Roman" w:hAnsi="Cambria" w:cs="Times New Roman"/>
          <w:b/>
          <w:color w:val="000000"/>
          <w:sz w:val="20"/>
          <w:szCs w:val="20"/>
        </w:rPr>
        <w:t>IR JŲ MONTAVIMO DARBŲ</w:t>
      </w:r>
      <w:r w:rsidRPr="00F26AB2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F26AB2">
        <w:rPr>
          <w:rFonts w:ascii="Cambria" w:eastAsia="Times New Roman" w:hAnsi="Cambria" w:cs="Times New Roman"/>
          <w:b/>
          <w:color w:val="000000"/>
          <w:sz w:val="20"/>
          <w:szCs w:val="20"/>
        </w:rPr>
        <w:t xml:space="preserve">TECHNINĖ SPECIFIKACIJA </w:t>
      </w:r>
    </w:p>
    <w:p w14:paraId="54C73F5B" w14:textId="77777777" w:rsidR="0032210D" w:rsidRPr="00F26AB2" w:rsidRDefault="0032210D" w:rsidP="0032210D">
      <w:pPr>
        <w:spacing w:after="60" w:line="240" w:lineRule="auto"/>
        <w:jc w:val="center"/>
        <w:rPr>
          <w:rFonts w:ascii="Cambria" w:eastAsia="Times New Roman" w:hAnsi="Cambria" w:cs="Times New Roman"/>
          <w:b/>
          <w:color w:val="000000"/>
          <w:sz w:val="20"/>
          <w:szCs w:val="20"/>
        </w:rPr>
      </w:pPr>
    </w:p>
    <w:tbl>
      <w:tblPr>
        <w:tblW w:w="14317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5896"/>
        <w:gridCol w:w="851"/>
        <w:gridCol w:w="1559"/>
        <w:gridCol w:w="5245"/>
      </w:tblGrid>
      <w:tr w:rsidR="0032210D" w:rsidRPr="00F26AB2" w14:paraId="24A01F5B" w14:textId="77777777" w:rsidTr="009A33BB">
        <w:trPr>
          <w:tblHeader/>
        </w:trPr>
        <w:tc>
          <w:tcPr>
            <w:tcW w:w="766" w:type="dxa"/>
            <w:tcMar>
              <w:left w:w="57" w:type="dxa"/>
              <w:right w:w="57" w:type="dxa"/>
            </w:tcMar>
            <w:vAlign w:val="center"/>
          </w:tcPr>
          <w:p w14:paraId="7AD65927" w14:textId="77777777" w:rsidR="0032210D" w:rsidRPr="00F26AB2" w:rsidRDefault="0032210D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Eil. Nr.</w:t>
            </w:r>
          </w:p>
        </w:tc>
        <w:tc>
          <w:tcPr>
            <w:tcW w:w="5896" w:type="dxa"/>
            <w:tcMar>
              <w:left w:w="57" w:type="dxa"/>
              <w:right w:w="57" w:type="dxa"/>
            </w:tcMar>
            <w:vAlign w:val="center"/>
          </w:tcPr>
          <w:p w14:paraId="0C2717DF" w14:textId="77777777" w:rsidR="0032210D" w:rsidRPr="00F26AB2" w:rsidRDefault="0032210D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Gaminio pavadinimas</w:t>
            </w:r>
            <w:r w:rsidRPr="00F26AB2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 ir techniniai reikalavimai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52CB6C4D" w14:textId="77777777" w:rsidR="0032210D" w:rsidRPr="00F26AB2" w:rsidRDefault="0032210D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Mato vnt.</w:t>
            </w:r>
          </w:p>
        </w:tc>
        <w:tc>
          <w:tcPr>
            <w:tcW w:w="1559" w:type="dxa"/>
            <w:vAlign w:val="center"/>
          </w:tcPr>
          <w:p w14:paraId="610698D7" w14:textId="77777777" w:rsidR="0032210D" w:rsidRPr="00F26AB2" w:rsidRDefault="0032210D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Orientacinis kiekis</w:t>
            </w:r>
          </w:p>
        </w:tc>
        <w:tc>
          <w:tcPr>
            <w:tcW w:w="5245" w:type="dxa"/>
            <w:vAlign w:val="center"/>
          </w:tcPr>
          <w:p w14:paraId="55226C43" w14:textId="58A07630" w:rsidR="0032210D" w:rsidRPr="00F26AB2" w:rsidRDefault="0032210D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Siūloma tech</w:t>
            </w:r>
            <w:r w:rsidR="00FF6AB2" w:rsidRPr="00F26AB2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ninė charakteristika</w:t>
            </w:r>
            <w:r w:rsidR="004A76A3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, gamintojas</w:t>
            </w:r>
          </w:p>
        </w:tc>
      </w:tr>
      <w:tr w:rsidR="0032210D" w:rsidRPr="00F26AB2" w14:paraId="7A9B3A31" w14:textId="77777777" w:rsidTr="009A33BB">
        <w:tc>
          <w:tcPr>
            <w:tcW w:w="14317" w:type="dxa"/>
            <w:gridSpan w:val="5"/>
            <w:tcMar>
              <w:left w:w="57" w:type="dxa"/>
              <w:right w:w="57" w:type="dxa"/>
            </w:tcMar>
          </w:tcPr>
          <w:p w14:paraId="2DDFB7CF" w14:textId="77777777" w:rsidR="0032210D" w:rsidRPr="00F26AB2" w:rsidRDefault="00FF6AB2" w:rsidP="004B781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b/>
                <w:bCs/>
                <w:i/>
                <w:color w:val="000000"/>
                <w:sz w:val="20"/>
                <w:szCs w:val="20"/>
              </w:rPr>
              <w:t xml:space="preserve">Pirkimo dalis – žaliuzės ir kasetiniai </w:t>
            </w:r>
            <w:proofErr w:type="spellStart"/>
            <w:r w:rsidRPr="00F26AB2">
              <w:rPr>
                <w:rFonts w:ascii="Cambria" w:eastAsia="Times New Roman" w:hAnsi="Cambria" w:cs="Times New Roman"/>
                <w:b/>
                <w:bCs/>
                <w:i/>
                <w:color w:val="000000"/>
                <w:sz w:val="20"/>
                <w:szCs w:val="20"/>
              </w:rPr>
              <w:t>roletai</w:t>
            </w:r>
            <w:proofErr w:type="spellEnd"/>
          </w:p>
        </w:tc>
      </w:tr>
      <w:tr w:rsidR="0032210D" w:rsidRPr="00F26AB2" w14:paraId="18F6816F" w14:textId="77777777" w:rsidTr="009A33BB">
        <w:tc>
          <w:tcPr>
            <w:tcW w:w="766" w:type="dxa"/>
            <w:tcMar>
              <w:left w:w="57" w:type="dxa"/>
              <w:right w:w="57" w:type="dxa"/>
            </w:tcMar>
          </w:tcPr>
          <w:p w14:paraId="30145A45" w14:textId="77777777" w:rsidR="0032210D" w:rsidRPr="00F26AB2" w:rsidRDefault="0032210D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896" w:type="dxa"/>
            <w:tcMar>
              <w:left w:w="57" w:type="dxa"/>
              <w:right w:w="57" w:type="dxa"/>
            </w:tcMar>
          </w:tcPr>
          <w:p w14:paraId="17D7D545" w14:textId="77777777" w:rsidR="0032210D" w:rsidRPr="00F26AB2" w:rsidRDefault="0032210D" w:rsidP="003221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Vertikalios žaliuzės turi atitikti tokias charakteristikas:</w:t>
            </w:r>
          </w:p>
          <w:p w14:paraId="4E1D877D" w14:textId="77777777" w:rsidR="0032210D" w:rsidRPr="00F26AB2" w:rsidRDefault="0032210D" w:rsidP="003221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Žaliuzės sudarytos iš aliuminio arba lygiaverčio baltos spalvos viršutinio profilio (karnizo) ir tekstilinių 127±2mm pločio juostelių, pagamintų iš </w:t>
            </w:r>
            <w:r w:rsidR="00FA6D9B"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100</w:t>
            </w:r>
            <w:r w:rsidR="00FA6D9B"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/>
              </w:rPr>
              <w:t xml:space="preserve">% </w:t>
            </w: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poliesterio arba </w:t>
            </w:r>
            <w:r w:rsidRPr="00F26AB2">
              <w:rPr>
                <w:rFonts w:ascii="Cambria" w:eastAsia="Times New Roman" w:hAnsi="Cambria" w:cs="Times New Roman"/>
                <w:i/>
                <w:color w:val="000000"/>
                <w:sz w:val="20"/>
                <w:szCs w:val="20"/>
              </w:rPr>
              <w:t>lygiaverčio</w:t>
            </w: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. </w:t>
            </w:r>
          </w:p>
          <w:p w14:paraId="5DE3B4EE" w14:textId="77777777" w:rsidR="000E1106" w:rsidRPr="00F26AB2" w:rsidRDefault="000E1106" w:rsidP="000E1106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hAnsi="Cambria"/>
                <w:b/>
                <w:i/>
                <w:sz w:val="20"/>
                <w:szCs w:val="20"/>
              </w:rPr>
              <w:t>Funkcionalumas:</w:t>
            </w:r>
            <w:r w:rsidRPr="00F26AB2">
              <w:rPr>
                <w:rFonts w:ascii="Cambria" w:hAnsi="Cambria"/>
                <w:sz w:val="20"/>
                <w:szCs w:val="20"/>
              </w:rPr>
              <w:br/>
              <w:t>- Juostų pasukimo kampas turi būti reguliuojamas grandinėle (iki 180° ±5°);</w:t>
            </w:r>
            <w:r w:rsidRPr="00F26AB2">
              <w:rPr>
                <w:rFonts w:ascii="Cambria" w:hAnsi="Cambria"/>
                <w:sz w:val="20"/>
                <w:szCs w:val="20"/>
              </w:rPr>
              <w:br/>
              <w:t>- Juostos gali būti atitraukiamos į vieną arba kitą pusę, tai</w:t>
            </w:r>
            <w:r w:rsidR="008D7837" w:rsidRPr="00F26AB2">
              <w:rPr>
                <w:rFonts w:ascii="Cambria" w:hAnsi="Cambria"/>
                <w:sz w:val="20"/>
                <w:szCs w:val="20"/>
              </w:rPr>
              <w:t>p pat iš vidurio į kraštus priklausomai nuo poreikio.</w:t>
            </w:r>
            <w:r w:rsidRPr="00F26AB2">
              <w:rPr>
                <w:rFonts w:ascii="Cambria" w:hAnsi="Cambria"/>
                <w:sz w:val="20"/>
                <w:szCs w:val="20"/>
              </w:rPr>
              <w:br/>
              <w:t>- Valdymas turi būti vykdomas virvele (judinimui) ir grandinėle (kampo reguliavimui).</w:t>
            </w:r>
          </w:p>
          <w:p w14:paraId="03A0E53B" w14:textId="77777777" w:rsidR="008D7837" w:rsidRPr="00F26AB2" w:rsidRDefault="0032210D" w:rsidP="008D7837">
            <w:pPr>
              <w:spacing w:after="0" w:line="240" w:lineRule="auto"/>
              <w:jc w:val="both"/>
              <w:rPr>
                <w:rStyle w:val="Strong"/>
                <w:rFonts w:ascii="Cambria" w:hAnsi="Cambria"/>
                <w:b w:val="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Juostelių spalva ir faktūra: </w:t>
            </w:r>
            <w:r w:rsidR="008D7837" w:rsidRPr="00F26AB2">
              <w:rPr>
                <w:rFonts w:ascii="Cambria" w:hAnsi="Cambria"/>
                <w:sz w:val="20"/>
                <w:szCs w:val="20"/>
              </w:rPr>
              <w:t xml:space="preserve">Turi būti galimybė pasirinkti iš </w:t>
            </w:r>
            <w:r w:rsidR="008D7837"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>ne mažiau kaip 10 skirtingų atspalvių ir/ar faktūrų</w:t>
            </w:r>
            <w:r w:rsidR="008D7837" w:rsidRPr="00F26AB2">
              <w:rPr>
                <w:rFonts w:ascii="Cambria" w:hAnsi="Cambria"/>
                <w:sz w:val="20"/>
                <w:szCs w:val="20"/>
              </w:rPr>
              <w:t>, pateikiamų gamintojo kataloge.</w:t>
            </w:r>
            <w:r w:rsidR="008D7837"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 xml:space="preserve"> </w:t>
            </w:r>
          </w:p>
          <w:p w14:paraId="4E86C8F2" w14:textId="77777777" w:rsidR="0034281F" w:rsidRPr="00F26AB2" w:rsidRDefault="0034281F" w:rsidP="0034281F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>Garantija</w:t>
            </w:r>
            <w:r w:rsidRPr="00F26AB2">
              <w:rPr>
                <w:rStyle w:val="Strong"/>
                <w:rFonts w:ascii="Cambria" w:hAnsi="Cambria"/>
                <w:sz w:val="20"/>
                <w:szCs w:val="20"/>
              </w:rPr>
              <w:t>:</w:t>
            </w:r>
            <w:r w:rsidRPr="00F26AB2">
              <w:rPr>
                <w:rFonts w:ascii="Cambria" w:hAnsi="Cambria"/>
                <w:sz w:val="20"/>
                <w:szCs w:val="20"/>
              </w:rPr>
              <w:t xml:space="preserve"> ne mažiau kaip 24 mėn.</w:t>
            </w:r>
          </w:p>
          <w:p w14:paraId="23D7D4D1" w14:textId="77777777" w:rsidR="0032210D" w:rsidRPr="00F26AB2" w:rsidRDefault="0032210D" w:rsidP="003221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Gamintojas: nurodyti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2A0C14CB" w14:textId="77777777" w:rsidR="0032210D" w:rsidRPr="00F26AB2" w:rsidRDefault="0032210D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</w:t>
            </w: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2C86726F" w14:textId="77777777" w:rsidR="0032210D" w:rsidRPr="00F26AB2" w:rsidRDefault="0032210D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245" w:type="dxa"/>
          </w:tcPr>
          <w:p w14:paraId="3CE0D920" w14:textId="77777777" w:rsidR="0032210D" w:rsidRPr="00F26AB2" w:rsidRDefault="0032210D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2210D" w:rsidRPr="00F26AB2" w14:paraId="4BC895ED" w14:textId="77777777" w:rsidTr="009A33BB">
        <w:tc>
          <w:tcPr>
            <w:tcW w:w="766" w:type="dxa"/>
            <w:tcMar>
              <w:left w:w="57" w:type="dxa"/>
              <w:right w:w="57" w:type="dxa"/>
            </w:tcMar>
          </w:tcPr>
          <w:p w14:paraId="43D04CE0" w14:textId="77777777" w:rsidR="0032210D" w:rsidRPr="00F26AB2" w:rsidRDefault="00FF6AB2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896" w:type="dxa"/>
            <w:tcMar>
              <w:left w:w="57" w:type="dxa"/>
              <w:right w:w="57" w:type="dxa"/>
            </w:tcMar>
          </w:tcPr>
          <w:p w14:paraId="29220724" w14:textId="77777777" w:rsidR="0032210D" w:rsidRPr="00F26AB2" w:rsidRDefault="0032210D" w:rsidP="0032210D">
            <w:pPr>
              <w:pStyle w:val="NoSpacing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F26AB2">
              <w:rPr>
                <w:rFonts w:ascii="Cambria" w:hAnsi="Cambria"/>
                <w:b/>
                <w:sz w:val="20"/>
                <w:szCs w:val="20"/>
              </w:rPr>
              <w:t>Horizontalios žaliuzės turi atitikti tokias charakteristikas:</w:t>
            </w:r>
          </w:p>
          <w:p w14:paraId="1978BAC9" w14:textId="77777777" w:rsidR="0032210D" w:rsidRPr="00F26AB2" w:rsidRDefault="0032210D" w:rsidP="0032210D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hAnsi="Cambria"/>
                <w:sz w:val="20"/>
                <w:szCs w:val="20"/>
              </w:rPr>
              <w:t xml:space="preserve">Žaliuzės sudarytos iš viršutinio bei apatinio profilių ir 25±1mm pločio aliuminio, dažytų milteliniu būdu juostelių. Viršutiniame profilyje yra sumontuotas reduktorius, žaliuzių pasukimo kampui reguliuoti. Apatiniame profilyje sumontuoti laikikliai – fiksatoriai. </w:t>
            </w:r>
          </w:p>
          <w:p w14:paraId="47A2682B" w14:textId="77777777" w:rsidR="008D7837" w:rsidRPr="00F26AB2" w:rsidRDefault="008D7837" w:rsidP="0032210D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bCs/>
                <w:i/>
                <w:sz w:val="20"/>
                <w:szCs w:val="20"/>
                <w:lang w:eastAsia="lt-LT"/>
              </w:rPr>
              <w:t xml:space="preserve">Valdymo mechanizmas: </w:t>
            </w:r>
            <w:r w:rsidRPr="00F26AB2">
              <w:rPr>
                <w:rFonts w:ascii="Cambria" w:hAnsi="Cambria"/>
                <w:sz w:val="20"/>
                <w:szCs w:val="20"/>
              </w:rPr>
              <w:t xml:space="preserve">horizontalios žaliuzės turi būti valdomos </w:t>
            </w:r>
            <w:r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>dvipusiu valdymo mechanizmu</w:t>
            </w:r>
            <w:r w:rsidR="00EC1C81">
              <w:rPr>
                <w:rFonts w:ascii="Cambria" w:hAnsi="Cambria"/>
                <w:sz w:val="20"/>
                <w:szCs w:val="20"/>
              </w:rPr>
              <w:t>, kuri</w:t>
            </w:r>
            <w:r w:rsidRPr="00F26AB2">
              <w:rPr>
                <w:rFonts w:ascii="Cambria" w:hAnsi="Cambria"/>
                <w:sz w:val="20"/>
                <w:szCs w:val="20"/>
              </w:rPr>
              <w:t>s susideda iš</w:t>
            </w:r>
            <w:r w:rsidR="00EC1C81">
              <w:rPr>
                <w:rFonts w:ascii="Cambria" w:hAnsi="Cambria"/>
                <w:sz w:val="20"/>
                <w:szCs w:val="20"/>
              </w:rPr>
              <w:t xml:space="preserve"> reduktoriaus su skaidriu sukimo strypeliu ir baltos virvelės, leidžiančios</w:t>
            </w:r>
            <w:r w:rsidRPr="00F26AB2">
              <w:rPr>
                <w:rFonts w:ascii="Cambria" w:hAnsi="Cambria"/>
                <w:sz w:val="20"/>
                <w:szCs w:val="20"/>
              </w:rPr>
              <w:t xml:space="preserve"> pakelti ir nuleisti žaliuzes. </w:t>
            </w:r>
            <w:r w:rsidR="00EC1C81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Valdymo mechanizmas</w:t>
            </w:r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 gali būti montuojama</w:t>
            </w:r>
            <w:r w:rsidR="00EC1C81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s</w:t>
            </w:r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 dešinėje arba kairėje </w:t>
            </w:r>
            <w:r w:rsidR="00EC1C81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žaliuzės</w:t>
            </w:r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 pusėje, priklausomai nuo poreikio.</w:t>
            </w:r>
          </w:p>
          <w:p w14:paraId="3C830779" w14:textId="77777777" w:rsidR="0032210D" w:rsidRPr="00F26AB2" w:rsidRDefault="0032210D" w:rsidP="0032210D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hAnsi="Cambria"/>
                <w:sz w:val="20"/>
                <w:szCs w:val="20"/>
              </w:rPr>
              <w:t>Žaliuzių spalva: balta.</w:t>
            </w:r>
          </w:p>
          <w:p w14:paraId="09C27C3C" w14:textId="77777777" w:rsidR="0034281F" w:rsidRPr="00F26AB2" w:rsidRDefault="0034281F" w:rsidP="0034281F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>Garantija</w:t>
            </w:r>
            <w:r w:rsidRPr="00F26AB2">
              <w:rPr>
                <w:rStyle w:val="Strong"/>
                <w:rFonts w:ascii="Cambria" w:hAnsi="Cambria"/>
                <w:sz w:val="20"/>
                <w:szCs w:val="20"/>
              </w:rPr>
              <w:t>:</w:t>
            </w:r>
            <w:r w:rsidRPr="00F26AB2">
              <w:rPr>
                <w:rFonts w:ascii="Cambria" w:hAnsi="Cambria"/>
                <w:sz w:val="20"/>
                <w:szCs w:val="20"/>
              </w:rPr>
              <w:t xml:space="preserve"> ne mažiau kaip 24 mėn.</w:t>
            </w:r>
          </w:p>
          <w:p w14:paraId="0524C405" w14:textId="77777777" w:rsidR="0032210D" w:rsidRPr="00F26AB2" w:rsidRDefault="0032210D" w:rsidP="0032210D">
            <w:pPr>
              <w:pStyle w:val="NoSpacing"/>
              <w:jc w:val="both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Gamintojas: nurodyti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E80AC76" w14:textId="77777777" w:rsidR="0032210D" w:rsidRPr="00F26AB2" w:rsidRDefault="0032210D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</w:t>
            </w: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596510FE" w14:textId="77777777" w:rsidR="0032210D" w:rsidRPr="00F26AB2" w:rsidRDefault="0032210D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245" w:type="dxa"/>
          </w:tcPr>
          <w:p w14:paraId="1549D04B" w14:textId="77777777" w:rsidR="0032210D" w:rsidRPr="00F26AB2" w:rsidRDefault="0032210D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2210D" w:rsidRPr="00F26AB2" w14:paraId="43C692DF" w14:textId="77777777" w:rsidTr="009A33BB">
        <w:tc>
          <w:tcPr>
            <w:tcW w:w="766" w:type="dxa"/>
            <w:tcMar>
              <w:left w:w="57" w:type="dxa"/>
              <w:right w:w="57" w:type="dxa"/>
            </w:tcMar>
          </w:tcPr>
          <w:p w14:paraId="692C8647" w14:textId="77777777" w:rsidR="0032210D" w:rsidRPr="00F26AB2" w:rsidRDefault="00FF6AB2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896" w:type="dxa"/>
            <w:tcMar>
              <w:left w:w="57" w:type="dxa"/>
              <w:right w:w="57" w:type="dxa"/>
            </w:tcMar>
          </w:tcPr>
          <w:p w14:paraId="6C28422F" w14:textId="77777777" w:rsidR="0032210D" w:rsidRPr="00F26AB2" w:rsidRDefault="0032210D" w:rsidP="003221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Kasetiniai </w:t>
            </w:r>
            <w:proofErr w:type="spellStart"/>
            <w:r w:rsidRPr="00F26AB2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roletai</w:t>
            </w:r>
            <w:proofErr w:type="spellEnd"/>
            <w:r w:rsidRPr="00F26AB2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 turi atitikti tokias charakteristikas:</w:t>
            </w:r>
          </w:p>
          <w:p w14:paraId="5F7FF098" w14:textId="77777777" w:rsidR="009307A3" w:rsidRPr="00F26AB2" w:rsidRDefault="0032210D" w:rsidP="009307A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Roletai</w:t>
            </w:r>
            <w:proofErr w:type="spellEnd"/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susideda iš </w:t>
            </w:r>
            <w:proofErr w:type="spellStart"/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aliuminės</w:t>
            </w:r>
            <w:proofErr w:type="spellEnd"/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arba lygiavertės, baltai dažytos, pusiau uždaros kasetės, kurioje ant vamzdelio suvyniojamas audinys, prie šoninių lango </w:t>
            </w:r>
            <w:proofErr w:type="spellStart"/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stiklajuosčių</w:t>
            </w:r>
            <w:proofErr w:type="spellEnd"/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priklijuojamų aliuminių, baltai dažytų kreipiančiųjų. </w:t>
            </w:r>
            <w:proofErr w:type="spellStart"/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Roletai</w:t>
            </w:r>
            <w:proofErr w:type="spellEnd"/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tvirtinami prie plastikinio arba naujos kartos medinio lan</w:t>
            </w:r>
            <w:r w:rsidR="009307A3"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go.</w:t>
            </w:r>
          </w:p>
          <w:p w14:paraId="4A3DEA3C" w14:textId="77777777" w:rsidR="009307A3" w:rsidRPr="00F26AB2" w:rsidRDefault="009307A3" w:rsidP="009307A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</w:pPr>
            <w:r w:rsidRPr="00F26AB2">
              <w:rPr>
                <w:rFonts w:ascii="Cambria" w:eastAsia="Times New Roman" w:hAnsi="Cambria" w:cs="Times New Roman"/>
                <w:bCs/>
                <w:i/>
                <w:sz w:val="20"/>
                <w:szCs w:val="20"/>
                <w:lang w:eastAsia="lt-LT"/>
              </w:rPr>
              <w:t>Valdymo mechanizmas</w:t>
            </w:r>
            <w:r w:rsidRPr="00F26AB2">
              <w:rPr>
                <w:rFonts w:ascii="Cambria" w:eastAsia="Times New Roman" w:hAnsi="Cambria" w:cs="Times New Roman"/>
                <w:bCs/>
                <w:sz w:val="20"/>
                <w:szCs w:val="20"/>
                <w:lang w:eastAsia="lt-LT"/>
              </w:rPr>
              <w:t>:</w:t>
            </w:r>
            <w:r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r</w:t>
            </w:r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oletai</w:t>
            </w:r>
            <w:proofErr w:type="spellEnd"/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 </w:t>
            </w:r>
            <w:r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turi būti </w:t>
            </w:r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valdomi </w:t>
            </w:r>
            <w:r w:rsidR="00EC1C81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plastikine </w:t>
            </w:r>
            <w:r w:rsidR="00EC1C81">
              <w:rPr>
                <w:rFonts w:ascii="Cambria" w:eastAsia="Times New Roman" w:hAnsi="Cambria" w:cs="Times New Roman"/>
                <w:bCs/>
                <w:sz w:val="20"/>
                <w:szCs w:val="20"/>
                <w:lang w:eastAsia="lt-LT"/>
              </w:rPr>
              <w:t>grandinėle</w:t>
            </w:r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.</w:t>
            </w: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Grandinė</w:t>
            </w:r>
            <w:r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lė</w:t>
            </w:r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 gali būti montuojama dešinėje arba kairėje </w:t>
            </w:r>
            <w:proofErr w:type="spellStart"/>
            <w:r w:rsidR="00EC1C81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lastRenderedPageBreak/>
              <w:t>roleto</w:t>
            </w:r>
            <w:proofErr w:type="spellEnd"/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 pusėje, priklausomai nuo poreikio.</w:t>
            </w: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Turi būti </w:t>
            </w:r>
            <w:r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m</w:t>
            </w:r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echanizmas leidžia</w:t>
            </w:r>
            <w:r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ntis</w:t>
            </w:r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 sustabd</w:t>
            </w:r>
            <w:r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yti </w:t>
            </w:r>
            <w:proofErr w:type="spellStart"/>
            <w:r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roletą</w:t>
            </w:r>
            <w:proofErr w:type="spellEnd"/>
            <w:r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 bet kurioje padėtyje.</w:t>
            </w:r>
            <w:r w:rsidR="00FC048A"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 Grandinėlės spalva: balta. </w:t>
            </w:r>
          </w:p>
          <w:p w14:paraId="444FD2AB" w14:textId="77777777" w:rsidR="009307A3" w:rsidRPr="00F26AB2" w:rsidRDefault="009307A3" w:rsidP="003221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i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i/>
                <w:color w:val="000000"/>
                <w:sz w:val="20"/>
                <w:szCs w:val="20"/>
              </w:rPr>
              <w:t xml:space="preserve">Audinio medžiaga: </w:t>
            </w:r>
            <w:r w:rsidRPr="00F26AB2">
              <w:rPr>
                <w:rFonts w:ascii="Cambria" w:hAnsi="Cambria"/>
                <w:sz w:val="20"/>
                <w:szCs w:val="20"/>
              </w:rPr>
              <w:t xml:space="preserve">audinys – </w:t>
            </w:r>
            <w:r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>100% poliesteris</w:t>
            </w:r>
            <w:r w:rsidRPr="00F26AB2">
              <w:rPr>
                <w:rFonts w:ascii="Cambria" w:hAnsi="Cambria"/>
                <w:sz w:val="20"/>
                <w:szCs w:val="20"/>
              </w:rPr>
              <w:t xml:space="preserve"> arba lygiavertis.</w:t>
            </w:r>
            <w:r w:rsidRPr="00F26AB2">
              <w:rPr>
                <w:rFonts w:ascii="Cambria" w:eastAsia="Times New Roman" w:hAnsi="Cambria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F26AB2">
              <w:rPr>
                <w:rFonts w:ascii="Cambria" w:hAnsi="Cambria"/>
                <w:sz w:val="20"/>
                <w:szCs w:val="20"/>
              </w:rPr>
              <w:t xml:space="preserve">Šviesos laidumas: </w:t>
            </w:r>
            <w:r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>nuo 40% iki 60%</w:t>
            </w:r>
            <w:r w:rsidRPr="00F26AB2">
              <w:rPr>
                <w:rFonts w:ascii="Cambria" w:hAnsi="Cambria"/>
                <w:sz w:val="20"/>
                <w:szCs w:val="20"/>
              </w:rPr>
              <w:t xml:space="preserve"> (pusiau permatomas audinys, užtikrinantis šviesos sklaidą ir dalinį privatumo išlaikymą).</w:t>
            </w:r>
          </w:p>
          <w:p w14:paraId="4551BFEA" w14:textId="77777777" w:rsidR="009307A3" w:rsidRPr="00F26AB2" w:rsidRDefault="0032210D" w:rsidP="0034281F">
            <w:pPr>
              <w:spacing w:after="0" w:line="240" w:lineRule="auto"/>
              <w:jc w:val="both"/>
              <w:rPr>
                <w:rStyle w:val="Strong"/>
                <w:rFonts w:ascii="Cambria" w:hAnsi="Cambria"/>
                <w:b w:val="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i/>
                <w:color w:val="000000"/>
                <w:sz w:val="20"/>
                <w:szCs w:val="20"/>
              </w:rPr>
              <w:t xml:space="preserve">Audinio </w:t>
            </w:r>
            <w:r w:rsidR="009307A3" w:rsidRPr="00F26AB2">
              <w:rPr>
                <w:rFonts w:ascii="Cambria" w:eastAsia="Times New Roman" w:hAnsi="Cambria" w:cs="Times New Roman"/>
                <w:i/>
                <w:color w:val="000000"/>
                <w:sz w:val="20"/>
                <w:szCs w:val="20"/>
              </w:rPr>
              <w:t>spalva</w:t>
            </w: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: </w:t>
            </w:r>
            <w:r w:rsidR="009307A3" w:rsidRPr="00F26AB2">
              <w:rPr>
                <w:rFonts w:ascii="Cambria" w:hAnsi="Cambria"/>
                <w:sz w:val="20"/>
                <w:szCs w:val="20"/>
              </w:rPr>
              <w:t xml:space="preserve">Turi būti galimybė pasirinkti iš </w:t>
            </w:r>
            <w:r w:rsidR="009307A3"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>ne mažiau kaip 10 skirtingų atspalvių ir/ar faktūrų</w:t>
            </w:r>
            <w:r w:rsidR="009307A3" w:rsidRPr="00F26AB2">
              <w:rPr>
                <w:rFonts w:ascii="Cambria" w:hAnsi="Cambria"/>
                <w:sz w:val="20"/>
                <w:szCs w:val="20"/>
              </w:rPr>
              <w:t>, pateikiamų gamintojo kataloge.</w:t>
            </w:r>
            <w:r w:rsidR="009307A3"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 xml:space="preserve"> </w:t>
            </w:r>
          </w:p>
          <w:p w14:paraId="6C3C4D05" w14:textId="77777777" w:rsidR="0034281F" w:rsidRPr="00F26AB2" w:rsidRDefault="0034281F" w:rsidP="0034281F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>Garantija:</w:t>
            </w:r>
            <w:r w:rsidRPr="00F26AB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22DC9">
              <w:rPr>
                <w:rFonts w:ascii="Cambria" w:hAnsi="Cambria"/>
                <w:sz w:val="20"/>
                <w:szCs w:val="20"/>
              </w:rPr>
              <w:t>s</w:t>
            </w:r>
            <w:r w:rsidR="00FC048A" w:rsidRPr="00F26AB2">
              <w:rPr>
                <w:rFonts w:ascii="Cambria" w:hAnsi="Cambria"/>
                <w:sz w:val="20"/>
                <w:szCs w:val="20"/>
              </w:rPr>
              <w:t xml:space="preserve">uteikiama </w:t>
            </w:r>
            <w:r w:rsidR="00FC048A" w:rsidRPr="00E22DC9">
              <w:rPr>
                <w:rStyle w:val="Strong"/>
                <w:rFonts w:ascii="Cambria" w:hAnsi="Cambria"/>
                <w:b w:val="0"/>
                <w:sz w:val="20"/>
                <w:szCs w:val="20"/>
              </w:rPr>
              <w:t>ne trumpesnė nei 24 mėnesių garantija</w:t>
            </w:r>
            <w:r w:rsidR="00FC048A" w:rsidRPr="00F26AB2">
              <w:rPr>
                <w:rFonts w:ascii="Cambria" w:hAnsi="Cambria"/>
                <w:sz w:val="20"/>
                <w:szCs w:val="20"/>
              </w:rPr>
              <w:t xml:space="preserve"> visai </w:t>
            </w:r>
            <w:proofErr w:type="spellStart"/>
            <w:r w:rsidR="00FC048A" w:rsidRPr="00F26AB2">
              <w:rPr>
                <w:rFonts w:ascii="Cambria" w:hAnsi="Cambria"/>
                <w:sz w:val="20"/>
                <w:szCs w:val="20"/>
              </w:rPr>
              <w:t>roletų</w:t>
            </w:r>
            <w:proofErr w:type="spellEnd"/>
            <w:r w:rsidR="00FC048A" w:rsidRPr="00F26AB2">
              <w:rPr>
                <w:rFonts w:ascii="Cambria" w:hAnsi="Cambria"/>
                <w:sz w:val="20"/>
                <w:szCs w:val="20"/>
              </w:rPr>
              <w:t xml:space="preserve"> sistemai</w:t>
            </w:r>
            <w:r w:rsidRPr="00F26AB2">
              <w:rPr>
                <w:rFonts w:ascii="Cambria" w:hAnsi="Cambria"/>
                <w:sz w:val="20"/>
                <w:szCs w:val="20"/>
              </w:rPr>
              <w:t>.</w:t>
            </w:r>
          </w:p>
          <w:p w14:paraId="6063B0ED" w14:textId="77777777" w:rsidR="0032210D" w:rsidRPr="00F26AB2" w:rsidRDefault="0032210D" w:rsidP="003221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Gamintojas: nurodyti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B875487" w14:textId="77777777" w:rsidR="0032210D" w:rsidRPr="00F26AB2" w:rsidRDefault="0032210D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lastRenderedPageBreak/>
              <w:t>m</w:t>
            </w: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41C2B67B" w14:textId="77777777" w:rsidR="0032210D" w:rsidRPr="00F26AB2" w:rsidRDefault="0032210D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5245" w:type="dxa"/>
          </w:tcPr>
          <w:p w14:paraId="65DF54D6" w14:textId="77777777" w:rsidR="0032210D" w:rsidRPr="00F26AB2" w:rsidRDefault="0032210D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32210D" w:rsidRPr="00F26AB2" w14:paraId="49308C10" w14:textId="77777777" w:rsidTr="009A33BB">
        <w:tc>
          <w:tcPr>
            <w:tcW w:w="766" w:type="dxa"/>
            <w:tcMar>
              <w:left w:w="57" w:type="dxa"/>
              <w:right w:w="57" w:type="dxa"/>
            </w:tcMar>
          </w:tcPr>
          <w:p w14:paraId="33FD5BE4" w14:textId="77777777" w:rsidR="0032210D" w:rsidRPr="00F26AB2" w:rsidRDefault="00FF6AB2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896" w:type="dxa"/>
            <w:tcMar>
              <w:left w:w="57" w:type="dxa"/>
              <w:right w:w="57" w:type="dxa"/>
            </w:tcMar>
          </w:tcPr>
          <w:p w14:paraId="19BAFC5E" w14:textId="77777777" w:rsidR="0032210D" w:rsidRPr="00F26AB2" w:rsidRDefault="0032210D" w:rsidP="003221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Kasetiniai </w:t>
            </w:r>
            <w:proofErr w:type="spellStart"/>
            <w:r w:rsidRPr="00F26AB2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>roletai</w:t>
            </w:r>
            <w:proofErr w:type="spellEnd"/>
            <w:r w:rsidRPr="00F26AB2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</w:rPr>
              <w:t xml:space="preserve"> nelaidūs šviesai turi atitikti tokias charakteristikas:</w:t>
            </w:r>
          </w:p>
          <w:p w14:paraId="35706104" w14:textId="77777777" w:rsidR="0032210D" w:rsidRPr="00F26AB2" w:rsidRDefault="0032210D" w:rsidP="0032210D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proofErr w:type="spellStart"/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Roletai</w:t>
            </w:r>
            <w:proofErr w:type="spellEnd"/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susideda iš </w:t>
            </w:r>
            <w:proofErr w:type="spellStart"/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aliuminės</w:t>
            </w:r>
            <w:proofErr w:type="spellEnd"/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arba lygiavertės, baltai dažytos, pusiau uždaros kasetės, kurioje ant vamzdelio suvyniojamas audinys, prie šoninių lango stiklą juosiančių priklijuojamų aliuminių, baltai dažytų kreipiančiųjų. </w:t>
            </w:r>
            <w:proofErr w:type="spellStart"/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Roletai</w:t>
            </w:r>
            <w:proofErr w:type="spellEnd"/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tvirtinami prie plastikinio arba naujos kartos medinio lango.</w:t>
            </w:r>
          </w:p>
          <w:p w14:paraId="33469924" w14:textId="77777777" w:rsidR="00B62D16" w:rsidRPr="00F26AB2" w:rsidRDefault="00B62D16" w:rsidP="00B62D1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</w:pPr>
            <w:r w:rsidRPr="00F26AB2">
              <w:rPr>
                <w:rFonts w:ascii="Cambria" w:eastAsia="Times New Roman" w:hAnsi="Cambria" w:cs="Times New Roman"/>
                <w:bCs/>
                <w:i/>
                <w:sz w:val="20"/>
                <w:szCs w:val="20"/>
                <w:lang w:eastAsia="lt-LT"/>
              </w:rPr>
              <w:t>Valdymo mechanizmas</w:t>
            </w:r>
            <w:r w:rsidRPr="00F26AB2">
              <w:rPr>
                <w:rFonts w:ascii="Cambria" w:eastAsia="Times New Roman" w:hAnsi="Cambria" w:cs="Times New Roman"/>
                <w:bCs/>
                <w:sz w:val="20"/>
                <w:szCs w:val="20"/>
                <w:lang w:eastAsia="lt-LT"/>
              </w:rPr>
              <w:t>:</w:t>
            </w:r>
            <w:r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r</w:t>
            </w:r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oletai</w:t>
            </w:r>
            <w:proofErr w:type="spellEnd"/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 </w:t>
            </w:r>
            <w:r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turi būti </w:t>
            </w:r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valdomi 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plastikine </w:t>
            </w: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lt-LT"/>
              </w:rPr>
              <w:t>grandinėle</w:t>
            </w:r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.</w:t>
            </w: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Grandinė</w:t>
            </w:r>
            <w:r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lė</w:t>
            </w:r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 gali būti montuojama dešinėje arba kairėje </w:t>
            </w:r>
            <w:proofErr w:type="spellStart"/>
            <w:r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roleto</w:t>
            </w:r>
            <w:proofErr w:type="spellEnd"/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 pusėje, priklausomai nuo poreikio.</w:t>
            </w: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Turi būti </w:t>
            </w:r>
            <w:r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m</w:t>
            </w:r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echanizmas leidžia</w:t>
            </w:r>
            <w:r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ntis</w:t>
            </w:r>
            <w:r w:rsidRPr="009307A3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 sustabd</w:t>
            </w:r>
            <w:r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yti </w:t>
            </w:r>
            <w:proofErr w:type="spellStart"/>
            <w:r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>roletą</w:t>
            </w:r>
            <w:proofErr w:type="spellEnd"/>
            <w:r w:rsidRPr="00F26AB2">
              <w:rPr>
                <w:rFonts w:ascii="Cambria" w:eastAsia="Times New Roman" w:hAnsi="Cambria" w:cs="Times New Roman"/>
                <w:sz w:val="20"/>
                <w:szCs w:val="20"/>
                <w:lang w:eastAsia="lt-LT"/>
              </w:rPr>
              <w:t xml:space="preserve"> bet kurioje padėtyje. Grandinėlės spalva: balta. </w:t>
            </w:r>
          </w:p>
          <w:p w14:paraId="366DC6E1" w14:textId="77777777" w:rsidR="00A0284B" w:rsidRPr="00F26AB2" w:rsidRDefault="00A0284B" w:rsidP="008D7837">
            <w:pPr>
              <w:pStyle w:val="NoSpacing"/>
              <w:rPr>
                <w:rFonts w:ascii="Cambria" w:eastAsia="Times New Roman" w:hAnsi="Cambria" w:cs="Times New Roman"/>
                <w:i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i/>
                <w:color w:val="000000"/>
                <w:sz w:val="20"/>
                <w:szCs w:val="20"/>
              </w:rPr>
              <w:t xml:space="preserve">Audinio medžiaga: </w:t>
            </w:r>
            <w:r w:rsidRPr="00F26AB2">
              <w:rPr>
                <w:rFonts w:ascii="Cambria" w:hAnsi="Cambria"/>
                <w:sz w:val="20"/>
                <w:szCs w:val="20"/>
              </w:rPr>
              <w:t xml:space="preserve">audinys – </w:t>
            </w:r>
            <w:r w:rsidR="008D184D">
              <w:rPr>
                <w:rFonts w:ascii="Cambria" w:hAnsi="Cambria"/>
                <w:sz w:val="20"/>
                <w:szCs w:val="20"/>
              </w:rPr>
              <w:t>100% poliesterio audinys</w:t>
            </w:r>
            <w:r w:rsidR="00FC048A" w:rsidRPr="00F26AB2">
              <w:rPr>
                <w:rFonts w:ascii="Cambria" w:hAnsi="Cambria"/>
                <w:sz w:val="20"/>
                <w:szCs w:val="20"/>
              </w:rPr>
              <w:t xml:space="preserve"> arba lygiavertis  su </w:t>
            </w:r>
            <w:r w:rsidR="00FC048A"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 xml:space="preserve">šviesos </w:t>
            </w:r>
            <w:proofErr w:type="spellStart"/>
            <w:r w:rsidR="00FC048A"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>nepralaidumu</w:t>
            </w:r>
            <w:proofErr w:type="spellEnd"/>
            <w:r w:rsidR="00FC048A" w:rsidRPr="00F26AB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C048A" w:rsidRPr="008D184D">
              <w:rPr>
                <w:rFonts w:ascii="Cambria" w:hAnsi="Cambria"/>
                <w:sz w:val="20"/>
                <w:szCs w:val="20"/>
              </w:rPr>
              <w:t>(</w:t>
            </w:r>
            <w:r w:rsidR="00D12035">
              <w:rPr>
                <w:rFonts w:ascii="Cambria" w:hAnsi="Cambria"/>
                <w:sz w:val="20"/>
                <w:szCs w:val="20"/>
              </w:rPr>
              <w:t xml:space="preserve">ar </w:t>
            </w:r>
            <w:r w:rsidR="00FC048A" w:rsidRPr="008D184D">
              <w:rPr>
                <w:rFonts w:ascii="Cambria" w:hAnsi="Cambria"/>
                <w:sz w:val="20"/>
                <w:szCs w:val="20"/>
              </w:rPr>
              <w:t xml:space="preserve">padengtas PVC </w:t>
            </w:r>
            <w:r w:rsidR="00D12035">
              <w:rPr>
                <w:rFonts w:ascii="Cambria" w:hAnsi="Cambria"/>
                <w:sz w:val="20"/>
                <w:szCs w:val="20"/>
              </w:rPr>
              <w:t>sluoksniu</w:t>
            </w:r>
            <w:r w:rsidR="00FC048A" w:rsidRPr="008D184D">
              <w:rPr>
                <w:rFonts w:ascii="Cambria" w:hAnsi="Cambria"/>
                <w:sz w:val="20"/>
                <w:szCs w:val="20"/>
              </w:rPr>
              <w:t>)</w:t>
            </w:r>
            <w:r w:rsidRPr="008D184D">
              <w:rPr>
                <w:rFonts w:ascii="Cambria" w:hAnsi="Cambria"/>
                <w:sz w:val="20"/>
                <w:szCs w:val="20"/>
              </w:rPr>
              <w:t>.</w:t>
            </w:r>
            <w:r w:rsidRPr="008D184D">
              <w:rPr>
                <w:rFonts w:ascii="Cambria" w:eastAsia="Times New Roman" w:hAnsi="Cambria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B62D16">
              <w:rPr>
                <w:rFonts w:ascii="Cambria" w:hAnsi="Cambria"/>
                <w:sz w:val="20"/>
                <w:szCs w:val="20"/>
              </w:rPr>
              <w:t xml:space="preserve">Šviesos laidumas: </w:t>
            </w:r>
            <w:r w:rsidRPr="00B62D16">
              <w:rPr>
                <w:rStyle w:val="Strong"/>
                <w:rFonts w:ascii="Cambria" w:hAnsi="Cambria"/>
                <w:b w:val="0"/>
                <w:sz w:val="20"/>
                <w:szCs w:val="20"/>
              </w:rPr>
              <w:t xml:space="preserve">nuo </w:t>
            </w:r>
            <w:r w:rsidR="00FC048A" w:rsidRPr="00B62D16">
              <w:rPr>
                <w:rStyle w:val="Strong"/>
                <w:rFonts w:ascii="Cambria" w:hAnsi="Cambria"/>
                <w:b w:val="0"/>
                <w:sz w:val="20"/>
                <w:szCs w:val="20"/>
              </w:rPr>
              <w:t>0</w:t>
            </w:r>
            <w:r w:rsidRPr="00B62D16">
              <w:rPr>
                <w:rStyle w:val="Strong"/>
                <w:rFonts w:ascii="Cambria" w:hAnsi="Cambria"/>
                <w:b w:val="0"/>
                <w:sz w:val="20"/>
                <w:szCs w:val="20"/>
              </w:rPr>
              <w:t xml:space="preserve"> - 5%</w:t>
            </w:r>
            <w:r w:rsidRPr="00B62D16">
              <w:rPr>
                <w:rFonts w:ascii="Cambria" w:hAnsi="Cambria"/>
                <w:sz w:val="20"/>
                <w:szCs w:val="20"/>
              </w:rPr>
              <w:t>.</w:t>
            </w:r>
            <w:r w:rsidR="00E623BB">
              <w:rPr>
                <w:rFonts w:ascii="Cambria" w:hAnsi="Cambria"/>
                <w:sz w:val="20"/>
                <w:szCs w:val="20"/>
              </w:rPr>
              <w:t>,</w:t>
            </w:r>
          </w:p>
          <w:p w14:paraId="2C73868C" w14:textId="77777777" w:rsidR="00A0284B" w:rsidRPr="00F26AB2" w:rsidRDefault="00A0284B" w:rsidP="008D7837">
            <w:pPr>
              <w:pStyle w:val="NoSpacing"/>
              <w:rPr>
                <w:rStyle w:val="Strong"/>
                <w:rFonts w:ascii="Cambria" w:hAnsi="Cambria"/>
                <w:b w:val="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i/>
                <w:color w:val="000000"/>
                <w:sz w:val="20"/>
                <w:szCs w:val="20"/>
              </w:rPr>
              <w:t>Audinio spalva</w:t>
            </w: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: </w:t>
            </w:r>
            <w:r w:rsidRPr="00F26AB2">
              <w:rPr>
                <w:rFonts w:ascii="Cambria" w:hAnsi="Cambria"/>
                <w:sz w:val="20"/>
                <w:szCs w:val="20"/>
              </w:rPr>
              <w:t xml:space="preserve">Turi būti galimybė pasirinkti iš </w:t>
            </w:r>
            <w:r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>ne mažiau kaip 10 skirtingų atspalvių ir/ar faktūrų</w:t>
            </w:r>
            <w:r w:rsidRPr="00F26AB2">
              <w:rPr>
                <w:rFonts w:ascii="Cambria" w:hAnsi="Cambria"/>
                <w:sz w:val="20"/>
                <w:szCs w:val="20"/>
              </w:rPr>
              <w:t>, pateikiamų gamintojo kataloge.</w:t>
            </w:r>
            <w:r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 xml:space="preserve"> </w:t>
            </w:r>
          </w:p>
          <w:p w14:paraId="66FD7668" w14:textId="77777777" w:rsidR="0034281F" w:rsidRPr="00F26AB2" w:rsidRDefault="0034281F" w:rsidP="008D7837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>Garantija:</w:t>
            </w:r>
            <w:r w:rsidRPr="00F26AB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C048A" w:rsidRPr="00F26AB2">
              <w:rPr>
                <w:rFonts w:ascii="Cambria" w:hAnsi="Cambria"/>
                <w:sz w:val="20"/>
                <w:szCs w:val="20"/>
              </w:rPr>
              <w:t xml:space="preserve">Suteikiama </w:t>
            </w:r>
            <w:r w:rsidR="00FC048A"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>ne trumpesnė nei 24 mėnesių garantija</w:t>
            </w:r>
            <w:r w:rsidR="00FC048A" w:rsidRPr="00F26AB2">
              <w:rPr>
                <w:rFonts w:ascii="Cambria" w:hAnsi="Cambria"/>
                <w:sz w:val="20"/>
                <w:szCs w:val="20"/>
              </w:rPr>
              <w:t xml:space="preserve"> visai </w:t>
            </w:r>
            <w:proofErr w:type="spellStart"/>
            <w:r w:rsidR="00FC048A" w:rsidRPr="00F26AB2">
              <w:rPr>
                <w:rFonts w:ascii="Cambria" w:hAnsi="Cambria"/>
                <w:sz w:val="20"/>
                <w:szCs w:val="20"/>
              </w:rPr>
              <w:t>roletų</w:t>
            </w:r>
            <w:proofErr w:type="spellEnd"/>
            <w:r w:rsidR="00FC048A" w:rsidRPr="00F26AB2">
              <w:rPr>
                <w:rFonts w:ascii="Cambria" w:hAnsi="Cambria"/>
                <w:sz w:val="20"/>
                <w:szCs w:val="20"/>
              </w:rPr>
              <w:t xml:space="preserve"> sistemai</w:t>
            </w:r>
            <w:r w:rsidRPr="00F26AB2">
              <w:rPr>
                <w:rFonts w:ascii="Cambria" w:hAnsi="Cambria"/>
                <w:sz w:val="20"/>
                <w:szCs w:val="20"/>
              </w:rPr>
              <w:t>.</w:t>
            </w:r>
          </w:p>
          <w:p w14:paraId="24B473E9" w14:textId="77777777" w:rsidR="0032210D" w:rsidRPr="00F26AB2" w:rsidRDefault="0032210D" w:rsidP="008D7837">
            <w:pPr>
              <w:pStyle w:val="NoSpacing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Gamintojas: nurodyti</w:t>
            </w:r>
            <w:r w:rsidR="0034281F"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39CF7C59" w14:textId="77777777" w:rsidR="0032210D" w:rsidRPr="00F26AB2" w:rsidRDefault="0032210D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m</w:t>
            </w: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67E23FD7" w14:textId="77777777" w:rsidR="0032210D" w:rsidRPr="00F26AB2" w:rsidRDefault="0032210D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245" w:type="dxa"/>
          </w:tcPr>
          <w:p w14:paraId="6DB80F51" w14:textId="77777777" w:rsidR="0032210D" w:rsidRPr="00F26AB2" w:rsidRDefault="0032210D" w:rsidP="0032210D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</w:p>
        </w:tc>
      </w:tr>
      <w:tr w:rsidR="00FF6AB2" w:rsidRPr="00F26AB2" w14:paraId="768C1B70" w14:textId="77777777" w:rsidTr="00B45B9C">
        <w:tc>
          <w:tcPr>
            <w:tcW w:w="14317" w:type="dxa"/>
            <w:gridSpan w:val="5"/>
            <w:tcMar>
              <w:left w:w="57" w:type="dxa"/>
              <w:right w:w="57" w:type="dxa"/>
            </w:tcMar>
          </w:tcPr>
          <w:p w14:paraId="667A228B" w14:textId="77777777" w:rsidR="00FF6AB2" w:rsidRPr="00F26AB2" w:rsidRDefault="00FF6AB2" w:rsidP="00FF6AB2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F26AB2">
              <w:rPr>
                <w:rFonts w:ascii="Cambria" w:hAnsi="Cambria"/>
                <w:b/>
                <w:i/>
                <w:sz w:val="20"/>
                <w:szCs w:val="20"/>
              </w:rPr>
              <w:t>Pirkimo dalis – apsauginės žaliuzės</w:t>
            </w:r>
          </w:p>
        </w:tc>
      </w:tr>
      <w:tr w:rsidR="00FF6AB2" w:rsidRPr="00F26AB2" w14:paraId="7545AECA" w14:textId="77777777" w:rsidTr="009A33BB">
        <w:tc>
          <w:tcPr>
            <w:tcW w:w="766" w:type="dxa"/>
            <w:tcMar>
              <w:left w:w="57" w:type="dxa"/>
              <w:right w:w="57" w:type="dxa"/>
            </w:tcMar>
          </w:tcPr>
          <w:p w14:paraId="78059BEF" w14:textId="77777777" w:rsidR="00FF6AB2" w:rsidRPr="00F26AB2" w:rsidRDefault="00FF6AB2" w:rsidP="00FF6AB2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hAnsi="Cambria"/>
                <w:sz w:val="20"/>
                <w:szCs w:val="20"/>
              </w:rPr>
              <w:t>2.1</w:t>
            </w:r>
          </w:p>
        </w:tc>
        <w:tc>
          <w:tcPr>
            <w:tcW w:w="5896" w:type="dxa"/>
            <w:tcMar>
              <w:left w:w="57" w:type="dxa"/>
              <w:right w:w="57" w:type="dxa"/>
            </w:tcMar>
          </w:tcPr>
          <w:p w14:paraId="0A3C1098" w14:textId="77777777" w:rsidR="00FF6AB2" w:rsidRPr="00F26AB2" w:rsidRDefault="00FF6AB2" w:rsidP="00FF6AB2">
            <w:pPr>
              <w:pStyle w:val="NoSpacing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F2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Apsauginės žaliuzės su rankine pavara turi atitikti tokias charakteristikas:</w:t>
            </w:r>
          </w:p>
          <w:p w14:paraId="3D5558EE" w14:textId="77777777" w:rsidR="00FF6AB2" w:rsidRPr="00F26AB2" w:rsidRDefault="00FF6AB2" w:rsidP="00FF6AB2">
            <w:pPr>
              <w:pStyle w:val="NoSpacing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2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Žaliuzės susideda iš profiliuotų aliuminių arba lygiaverčiu 39±1mm pločio juostelių (šarvo) užpildytų poliuretanu arba </w:t>
            </w:r>
            <w:r w:rsidRPr="00F26AB2"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  <w:t>lygiaverčiu</w:t>
            </w:r>
            <w:r w:rsidRPr="00F26AB2">
              <w:rPr>
                <w:rFonts w:ascii="Cambria" w:hAnsi="Cambria"/>
                <w:color w:val="000000" w:themeColor="text1"/>
                <w:sz w:val="20"/>
                <w:szCs w:val="20"/>
              </w:rPr>
              <w:t>, dėžės, į kurią yra suvyniojamas šarvas, kreipiančiųjų ir valdymo mechanizmo su rankine pavara</w:t>
            </w:r>
          </w:p>
          <w:p w14:paraId="0E4187C4" w14:textId="77777777" w:rsidR="00FF6AB2" w:rsidRPr="00F26AB2" w:rsidRDefault="00FF6AB2" w:rsidP="004A5846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6AB2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Žaliuzių spalva: </w:t>
            </w:r>
            <w:r w:rsidR="004A5846" w:rsidRPr="00F26AB2">
              <w:rPr>
                <w:rFonts w:ascii="Cambria" w:hAnsi="Cambria"/>
                <w:color w:val="000000"/>
                <w:sz w:val="20"/>
                <w:szCs w:val="20"/>
              </w:rPr>
              <w:t>Turi būti galimybė rinktis atspalvį iš ne mažiau kaip 5 skirtingų atspalvių pagal gamintojo pateiktą katalogą.</w:t>
            </w:r>
          </w:p>
          <w:p w14:paraId="030233DD" w14:textId="77777777" w:rsidR="00FC048A" w:rsidRPr="00F26AB2" w:rsidRDefault="00FC048A" w:rsidP="004A584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>Garantija</w:t>
            </w:r>
            <w:r w:rsidRPr="00F26AB2">
              <w:rPr>
                <w:rStyle w:val="Strong"/>
                <w:rFonts w:ascii="Cambria" w:hAnsi="Cambria"/>
                <w:sz w:val="20"/>
                <w:szCs w:val="20"/>
              </w:rPr>
              <w:t>:</w:t>
            </w:r>
            <w:r w:rsidRPr="00F26AB2">
              <w:rPr>
                <w:rFonts w:ascii="Cambria" w:hAnsi="Cambria"/>
                <w:sz w:val="20"/>
                <w:szCs w:val="20"/>
              </w:rPr>
              <w:t xml:space="preserve"> Suteikiama </w:t>
            </w:r>
            <w:r w:rsidRPr="00E22DC9">
              <w:rPr>
                <w:rStyle w:val="Strong"/>
                <w:rFonts w:ascii="Cambria" w:hAnsi="Cambria"/>
                <w:b w:val="0"/>
                <w:sz w:val="20"/>
                <w:szCs w:val="20"/>
              </w:rPr>
              <w:t>ne trumpesnė nei 24 mėnesių garantija</w:t>
            </w:r>
            <w:r w:rsidRPr="00F26AB2">
              <w:rPr>
                <w:rFonts w:ascii="Cambria" w:hAnsi="Cambria"/>
                <w:sz w:val="20"/>
                <w:szCs w:val="20"/>
              </w:rPr>
              <w:t>.</w:t>
            </w:r>
          </w:p>
          <w:p w14:paraId="068C479B" w14:textId="77777777" w:rsidR="00FF6AB2" w:rsidRPr="00F26AB2" w:rsidRDefault="00FF6AB2" w:rsidP="00FF6AB2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Gamintojas: nurodyti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EA3C021" w14:textId="77777777" w:rsidR="00FF6AB2" w:rsidRPr="00F26AB2" w:rsidRDefault="00FF6AB2" w:rsidP="003E3A0C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vertAlign w:val="superscript"/>
              </w:rPr>
            </w:pPr>
            <w:r w:rsidRPr="00F26AB2">
              <w:rPr>
                <w:rFonts w:ascii="Cambria" w:hAnsi="Cambria"/>
                <w:sz w:val="20"/>
                <w:szCs w:val="20"/>
              </w:rPr>
              <w:lastRenderedPageBreak/>
              <w:t>m</w:t>
            </w:r>
            <w:r w:rsidRPr="00F26AB2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7B0E9302" w14:textId="77777777" w:rsidR="00FF6AB2" w:rsidRPr="00F26AB2" w:rsidRDefault="00FF6AB2" w:rsidP="003E3A0C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5245" w:type="dxa"/>
          </w:tcPr>
          <w:p w14:paraId="792AAD42" w14:textId="77777777" w:rsidR="00FF6AB2" w:rsidRPr="00F26AB2" w:rsidRDefault="00FF6AB2" w:rsidP="00FF6AB2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</w:tc>
      </w:tr>
      <w:tr w:rsidR="00FF6AB2" w:rsidRPr="00F26AB2" w14:paraId="33D67DCD" w14:textId="77777777" w:rsidTr="009A33BB">
        <w:tc>
          <w:tcPr>
            <w:tcW w:w="766" w:type="dxa"/>
            <w:tcMar>
              <w:left w:w="57" w:type="dxa"/>
              <w:right w:w="57" w:type="dxa"/>
            </w:tcMar>
          </w:tcPr>
          <w:p w14:paraId="0D4F784B" w14:textId="77777777" w:rsidR="00FF6AB2" w:rsidRPr="00F26AB2" w:rsidRDefault="00FF6AB2" w:rsidP="00FF6AB2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hAnsi="Cambria"/>
                <w:sz w:val="20"/>
                <w:szCs w:val="20"/>
              </w:rPr>
              <w:t>2.2</w:t>
            </w:r>
          </w:p>
        </w:tc>
        <w:tc>
          <w:tcPr>
            <w:tcW w:w="5896" w:type="dxa"/>
            <w:tcMar>
              <w:left w:w="57" w:type="dxa"/>
              <w:right w:w="57" w:type="dxa"/>
            </w:tcMar>
          </w:tcPr>
          <w:p w14:paraId="3CC680EE" w14:textId="77777777" w:rsidR="00FF6AB2" w:rsidRPr="00F26AB2" w:rsidRDefault="00FF6AB2" w:rsidP="00FF6AB2">
            <w:pPr>
              <w:pStyle w:val="NoSpacing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F2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Apsauginės žaliuzės su elektromechanine pavara turi atitikti tokias charakteristikas:</w:t>
            </w:r>
          </w:p>
          <w:p w14:paraId="264D0055" w14:textId="77777777" w:rsidR="00FF6AB2" w:rsidRPr="00F26AB2" w:rsidRDefault="00FF6AB2" w:rsidP="00FF6AB2">
            <w:pPr>
              <w:pStyle w:val="NoSpacing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2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Žaliuzės susideda iš profiliuotų aliuminių arba lygiaverčių 39±1mm pločio juostelių (šarvo) užpildytų poliuretanu arba </w:t>
            </w:r>
            <w:r w:rsidRPr="00F26AB2"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  <w:t>lygiaverčiu</w:t>
            </w:r>
            <w:r w:rsidRPr="00F26AB2">
              <w:rPr>
                <w:rFonts w:ascii="Cambria" w:hAnsi="Cambria"/>
                <w:color w:val="000000" w:themeColor="text1"/>
                <w:sz w:val="20"/>
                <w:szCs w:val="20"/>
              </w:rPr>
              <w:t>, dėžės, į kurią yra suvyniojamas šarvas, kreipiančiųjų ir valdymo mechanizmo su elektromechanine pavara.</w:t>
            </w:r>
          </w:p>
          <w:p w14:paraId="7312767F" w14:textId="77777777" w:rsidR="00FF6AB2" w:rsidRPr="00F26AB2" w:rsidRDefault="00FF6AB2" w:rsidP="004A5846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F2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Žaliuzių spalva: </w:t>
            </w:r>
            <w:r w:rsidR="004A5846" w:rsidRPr="00F26AB2">
              <w:rPr>
                <w:rFonts w:ascii="Cambria" w:hAnsi="Cambria"/>
                <w:color w:val="000000"/>
                <w:sz w:val="20"/>
                <w:szCs w:val="20"/>
              </w:rPr>
              <w:t>Turi būti galimybė rinktis atspalvį iš ne mažiau kaip 5 skirtingų atspalvių pagal gamintojo pateiktą katalogą.</w:t>
            </w:r>
          </w:p>
          <w:p w14:paraId="2658DA21" w14:textId="77777777" w:rsidR="00FC048A" w:rsidRPr="00F26AB2" w:rsidRDefault="00FC048A" w:rsidP="004A5846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>Garantija</w:t>
            </w:r>
            <w:r w:rsidRPr="00F26AB2">
              <w:rPr>
                <w:rStyle w:val="Strong"/>
                <w:rFonts w:ascii="Cambria" w:hAnsi="Cambria"/>
                <w:sz w:val="20"/>
                <w:szCs w:val="20"/>
              </w:rPr>
              <w:t>:</w:t>
            </w:r>
            <w:r w:rsidRPr="00F26AB2">
              <w:rPr>
                <w:rFonts w:ascii="Cambria" w:hAnsi="Cambria"/>
                <w:sz w:val="20"/>
                <w:szCs w:val="20"/>
              </w:rPr>
              <w:t xml:space="preserve"> Suteikiama </w:t>
            </w:r>
            <w:r w:rsidRPr="00E22DC9">
              <w:rPr>
                <w:rStyle w:val="Strong"/>
                <w:rFonts w:ascii="Cambria" w:hAnsi="Cambria"/>
                <w:b w:val="0"/>
                <w:sz w:val="20"/>
                <w:szCs w:val="20"/>
              </w:rPr>
              <w:t>ne trumpesnė nei 24 mėnesių garantija</w:t>
            </w:r>
            <w:r w:rsidRPr="00F26AB2">
              <w:rPr>
                <w:rFonts w:ascii="Cambria" w:hAnsi="Cambria"/>
                <w:sz w:val="20"/>
                <w:szCs w:val="20"/>
              </w:rPr>
              <w:t>.</w:t>
            </w:r>
          </w:p>
          <w:p w14:paraId="39B4DE5C" w14:textId="77777777" w:rsidR="00FF6AB2" w:rsidRPr="00F26AB2" w:rsidRDefault="00FF6AB2" w:rsidP="00FF6AB2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Gamintojas: nurodyti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6AC33601" w14:textId="77777777" w:rsidR="00FF6AB2" w:rsidRPr="00F26AB2" w:rsidRDefault="00FF6AB2" w:rsidP="003E3A0C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hAnsi="Cambria"/>
                <w:sz w:val="20"/>
                <w:szCs w:val="20"/>
              </w:rPr>
              <w:t>m</w:t>
            </w:r>
            <w:r w:rsidRPr="00F26AB2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5DFBA23F" w14:textId="77777777" w:rsidR="00FF6AB2" w:rsidRPr="00F26AB2" w:rsidRDefault="00FF6AB2" w:rsidP="003E3A0C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hAnsi="Cambria"/>
                <w:sz w:val="20"/>
                <w:szCs w:val="20"/>
              </w:rPr>
              <w:t>50</w:t>
            </w:r>
          </w:p>
        </w:tc>
        <w:tc>
          <w:tcPr>
            <w:tcW w:w="5245" w:type="dxa"/>
          </w:tcPr>
          <w:p w14:paraId="198C3B95" w14:textId="77777777" w:rsidR="00FF6AB2" w:rsidRPr="00F26AB2" w:rsidRDefault="00FF6AB2" w:rsidP="00FF6AB2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</w:tc>
      </w:tr>
      <w:tr w:rsidR="00FF6AB2" w:rsidRPr="00F26AB2" w14:paraId="3DD4D114" w14:textId="77777777" w:rsidTr="00920BAA">
        <w:tc>
          <w:tcPr>
            <w:tcW w:w="14317" w:type="dxa"/>
            <w:gridSpan w:val="5"/>
            <w:tcMar>
              <w:left w:w="57" w:type="dxa"/>
              <w:right w:w="57" w:type="dxa"/>
            </w:tcMar>
          </w:tcPr>
          <w:p w14:paraId="46A4DD91" w14:textId="77777777" w:rsidR="00FF6AB2" w:rsidRPr="00F26AB2" w:rsidRDefault="00FF6AB2" w:rsidP="00FF6AB2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F26AB2">
              <w:rPr>
                <w:rFonts w:ascii="Cambria" w:hAnsi="Cambria"/>
                <w:b/>
                <w:i/>
                <w:sz w:val="20"/>
                <w:szCs w:val="20"/>
              </w:rPr>
              <w:t xml:space="preserve">Pirkimo dalis – tinkleliai rėmeliai ir tinkleliai </w:t>
            </w:r>
            <w:proofErr w:type="spellStart"/>
            <w:r w:rsidRPr="00F26AB2">
              <w:rPr>
                <w:rFonts w:ascii="Cambria" w:hAnsi="Cambria"/>
                <w:b/>
                <w:i/>
                <w:sz w:val="20"/>
                <w:szCs w:val="20"/>
              </w:rPr>
              <w:t>roletai</w:t>
            </w:r>
            <w:proofErr w:type="spellEnd"/>
          </w:p>
        </w:tc>
      </w:tr>
      <w:tr w:rsidR="00FF6AB2" w:rsidRPr="00F26AB2" w14:paraId="06B0FDDE" w14:textId="77777777" w:rsidTr="009A33BB">
        <w:tc>
          <w:tcPr>
            <w:tcW w:w="766" w:type="dxa"/>
            <w:tcMar>
              <w:left w:w="57" w:type="dxa"/>
              <w:right w:w="57" w:type="dxa"/>
            </w:tcMar>
          </w:tcPr>
          <w:p w14:paraId="2865B818" w14:textId="77777777" w:rsidR="00FF6AB2" w:rsidRPr="00F26AB2" w:rsidRDefault="00FF6AB2" w:rsidP="00FF6AB2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hAnsi="Cambria"/>
                <w:sz w:val="20"/>
                <w:szCs w:val="20"/>
              </w:rPr>
              <w:t>3.1</w:t>
            </w:r>
          </w:p>
        </w:tc>
        <w:tc>
          <w:tcPr>
            <w:tcW w:w="5896" w:type="dxa"/>
            <w:tcMar>
              <w:left w:w="57" w:type="dxa"/>
              <w:right w:w="57" w:type="dxa"/>
            </w:tcMar>
          </w:tcPr>
          <w:p w14:paraId="615443AA" w14:textId="77777777" w:rsidR="00FF6AB2" w:rsidRPr="00F26AB2" w:rsidRDefault="00FF6AB2" w:rsidP="00FF6AB2">
            <w:pPr>
              <w:pStyle w:val="NoSpacing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F2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Tinklelis - rėmelis turi atitikti tokias charakteristikas:</w:t>
            </w:r>
          </w:p>
          <w:p w14:paraId="78B4AD84" w14:textId="77777777" w:rsidR="00FF6AB2" w:rsidRPr="00F26AB2" w:rsidRDefault="00FF6AB2" w:rsidP="00FF6AB2">
            <w:pPr>
              <w:pStyle w:val="NoSpacing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2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Tinklelis – rėmelis susideda iš kampuose sutvirtinto jungiamosiomis detalėmis, profiliuoto aliuminio rėmelio arba </w:t>
            </w:r>
            <w:r w:rsidRPr="00F26AB2"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  <w:t>lygiaverčio</w:t>
            </w:r>
            <w:r w:rsidRPr="00F26AB2">
              <w:rPr>
                <w:rFonts w:ascii="Cambria" w:hAnsi="Cambria"/>
                <w:color w:val="000000" w:themeColor="text1"/>
                <w:sz w:val="20"/>
                <w:szCs w:val="20"/>
              </w:rPr>
              <w:t>, su jame įtemptu tinkliniu audiniu. Tvirtinamas prie lango rėmo specialių „auselių“ pagalba.</w:t>
            </w:r>
          </w:p>
          <w:p w14:paraId="46719C36" w14:textId="77777777" w:rsidR="00FF6AB2" w:rsidRPr="00F26AB2" w:rsidRDefault="00FF6AB2" w:rsidP="00FF6AB2">
            <w:pPr>
              <w:pStyle w:val="NoSpacing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26AB2">
              <w:rPr>
                <w:rFonts w:ascii="Cambria" w:hAnsi="Cambria"/>
                <w:color w:val="000000" w:themeColor="text1"/>
                <w:sz w:val="20"/>
                <w:szCs w:val="20"/>
              </w:rPr>
              <w:t>Rėmelio spalva: balta.</w:t>
            </w:r>
          </w:p>
          <w:p w14:paraId="0F8295D1" w14:textId="77777777" w:rsidR="00FC048A" w:rsidRPr="00F26AB2" w:rsidRDefault="00FC048A" w:rsidP="00FC048A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>Garantija</w:t>
            </w:r>
            <w:r w:rsidRPr="00F26AB2">
              <w:rPr>
                <w:rStyle w:val="Strong"/>
                <w:rFonts w:ascii="Cambria" w:hAnsi="Cambria"/>
                <w:sz w:val="20"/>
                <w:szCs w:val="20"/>
              </w:rPr>
              <w:t>:</w:t>
            </w:r>
            <w:r w:rsidRPr="00F26AB2">
              <w:rPr>
                <w:rFonts w:ascii="Cambria" w:hAnsi="Cambria"/>
                <w:sz w:val="20"/>
                <w:szCs w:val="20"/>
              </w:rPr>
              <w:t xml:space="preserve"> Suteikiama </w:t>
            </w:r>
            <w:r w:rsidRPr="00E22DC9">
              <w:rPr>
                <w:rStyle w:val="Strong"/>
                <w:rFonts w:ascii="Cambria" w:hAnsi="Cambria"/>
                <w:b w:val="0"/>
                <w:sz w:val="20"/>
                <w:szCs w:val="20"/>
              </w:rPr>
              <w:t>ne trumpesnė nei 24 mėnesių garantija</w:t>
            </w:r>
            <w:r w:rsidRPr="00F26AB2">
              <w:rPr>
                <w:rFonts w:ascii="Cambria" w:hAnsi="Cambria"/>
                <w:sz w:val="20"/>
                <w:szCs w:val="20"/>
              </w:rPr>
              <w:t>.</w:t>
            </w:r>
          </w:p>
          <w:p w14:paraId="1FBA305F" w14:textId="77777777" w:rsidR="00FF6AB2" w:rsidRPr="00F26AB2" w:rsidRDefault="00FF6AB2" w:rsidP="00FF6AB2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Gamintojas: nurodyti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44DE5DE4" w14:textId="77777777" w:rsidR="00FF6AB2" w:rsidRPr="00F26AB2" w:rsidRDefault="00FF6AB2" w:rsidP="003E3A0C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hAnsi="Cambria"/>
                <w:sz w:val="20"/>
                <w:szCs w:val="20"/>
              </w:rPr>
              <w:t>m</w:t>
            </w:r>
            <w:r w:rsidRPr="00F26AB2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21C4C235" w14:textId="77777777" w:rsidR="00FF6AB2" w:rsidRPr="00F26AB2" w:rsidRDefault="00FF6AB2" w:rsidP="003E3A0C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hAnsi="Cambria"/>
                <w:sz w:val="20"/>
                <w:szCs w:val="20"/>
              </w:rPr>
              <w:t>150</w:t>
            </w:r>
          </w:p>
        </w:tc>
        <w:tc>
          <w:tcPr>
            <w:tcW w:w="5245" w:type="dxa"/>
          </w:tcPr>
          <w:p w14:paraId="145B1E95" w14:textId="77777777" w:rsidR="00FF6AB2" w:rsidRPr="00F26AB2" w:rsidRDefault="00FF6AB2" w:rsidP="00FF6AB2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</w:tc>
      </w:tr>
      <w:tr w:rsidR="00FF6AB2" w:rsidRPr="00F26AB2" w14:paraId="1DE1ABC6" w14:textId="77777777" w:rsidTr="009A33BB">
        <w:tc>
          <w:tcPr>
            <w:tcW w:w="766" w:type="dxa"/>
            <w:tcMar>
              <w:left w:w="57" w:type="dxa"/>
              <w:right w:w="57" w:type="dxa"/>
            </w:tcMar>
          </w:tcPr>
          <w:p w14:paraId="4F07E8EB" w14:textId="77777777" w:rsidR="00FF6AB2" w:rsidRPr="00F26AB2" w:rsidRDefault="00FF6AB2" w:rsidP="00FF6AB2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hAnsi="Cambria"/>
                <w:sz w:val="20"/>
                <w:szCs w:val="20"/>
              </w:rPr>
              <w:t>3.2</w:t>
            </w:r>
          </w:p>
        </w:tc>
        <w:tc>
          <w:tcPr>
            <w:tcW w:w="5896" w:type="dxa"/>
            <w:tcMar>
              <w:left w:w="57" w:type="dxa"/>
              <w:right w:w="57" w:type="dxa"/>
            </w:tcMar>
          </w:tcPr>
          <w:p w14:paraId="7D7F4CD8" w14:textId="77777777" w:rsidR="00FF6AB2" w:rsidRPr="00F26AB2" w:rsidRDefault="00FF6AB2" w:rsidP="00FF6AB2">
            <w:pPr>
              <w:pStyle w:val="NoSpacing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F2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Tinklelis – </w:t>
            </w:r>
            <w:proofErr w:type="spellStart"/>
            <w:r w:rsidRPr="00F2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roletas</w:t>
            </w:r>
            <w:proofErr w:type="spellEnd"/>
            <w:r w:rsidRPr="00F26AB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 turi atitikti tokias charakteristikas:</w:t>
            </w:r>
          </w:p>
          <w:p w14:paraId="17B3F3A1" w14:textId="77777777" w:rsidR="00FF6AB2" w:rsidRPr="00F26AB2" w:rsidRDefault="00FF6AB2" w:rsidP="00FF6AB2">
            <w:pPr>
              <w:pStyle w:val="NoSpacing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2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Tinklelis – </w:t>
            </w:r>
            <w:proofErr w:type="spellStart"/>
            <w:r w:rsidRPr="00F26AB2">
              <w:rPr>
                <w:rFonts w:ascii="Cambria" w:hAnsi="Cambria"/>
                <w:color w:val="000000" w:themeColor="text1"/>
                <w:sz w:val="20"/>
                <w:szCs w:val="20"/>
              </w:rPr>
              <w:t>roletas</w:t>
            </w:r>
            <w:proofErr w:type="spellEnd"/>
            <w:r w:rsidRPr="00F2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susideda iš tinklelio kasetės su spyruokliniu mechanizmu su stabdžiu, tinklinio audinio ir tinklelio kreipiančiųjų. Tinklelis fiksuojasi apatinėje padėtyje. Sandarumas užtikrinamas šepetėliais kreipiančiosiose, kasetėje ir apatiniame profilyje.</w:t>
            </w:r>
          </w:p>
          <w:p w14:paraId="6D963663" w14:textId="77777777" w:rsidR="00FF6AB2" w:rsidRPr="00F26AB2" w:rsidRDefault="00FF6AB2" w:rsidP="00FF6AB2">
            <w:pPr>
              <w:pStyle w:val="NoSpacing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26AB2">
              <w:rPr>
                <w:rFonts w:ascii="Cambria" w:hAnsi="Cambria"/>
                <w:color w:val="000000" w:themeColor="text1"/>
                <w:sz w:val="20"/>
                <w:szCs w:val="20"/>
              </w:rPr>
              <w:t>Tinklelio aukštis 2,7±0,2m</w:t>
            </w:r>
          </w:p>
          <w:p w14:paraId="36B15812" w14:textId="77777777" w:rsidR="00FF6AB2" w:rsidRPr="00F26AB2" w:rsidRDefault="00FF6AB2" w:rsidP="00FF6AB2">
            <w:pPr>
              <w:pStyle w:val="NoSpacing"/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</w:pPr>
            <w:r w:rsidRPr="00F26AB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Kasetė ir kreipiančiosios yra pagamintos iš aliuminio arba </w:t>
            </w:r>
            <w:r w:rsidRPr="00F26AB2">
              <w:rPr>
                <w:rFonts w:ascii="Cambria" w:hAnsi="Cambria"/>
                <w:i/>
                <w:color w:val="000000" w:themeColor="text1"/>
                <w:sz w:val="20"/>
                <w:szCs w:val="20"/>
              </w:rPr>
              <w:t>lygiaverčio.</w:t>
            </w:r>
          </w:p>
          <w:p w14:paraId="4C8C77CA" w14:textId="77777777" w:rsidR="00FF6AB2" w:rsidRPr="00F26AB2" w:rsidRDefault="00FF6AB2" w:rsidP="00FF6AB2">
            <w:pPr>
              <w:pStyle w:val="NoSpacing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26AB2">
              <w:rPr>
                <w:rFonts w:ascii="Cambria" w:hAnsi="Cambria"/>
                <w:color w:val="000000" w:themeColor="text1"/>
                <w:sz w:val="20"/>
                <w:szCs w:val="20"/>
              </w:rPr>
              <w:t>Kasetės ir kreipiančiųjų spalva: balta.</w:t>
            </w:r>
          </w:p>
          <w:p w14:paraId="43DC64A3" w14:textId="77777777" w:rsidR="00FC048A" w:rsidRPr="00F26AB2" w:rsidRDefault="00FC048A" w:rsidP="00FC048A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Style w:val="Strong"/>
                <w:rFonts w:ascii="Cambria" w:hAnsi="Cambria"/>
                <w:b w:val="0"/>
                <w:sz w:val="20"/>
                <w:szCs w:val="20"/>
              </w:rPr>
              <w:t>Garantija</w:t>
            </w:r>
            <w:r w:rsidRPr="00F26AB2">
              <w:rPr>
                <w:rStyle w:val="Strong"/>
                <w:rFonts w:ascii="Cambria" w:hAnsi="Cambria"/>
                <w:sz w:val="20"/>
                <w:szCs w:val="20"/>
              </w:rPr>
              <w:t>:</w:t>
            </w:r>
            <w:r w:rsidRPr="00F26AB2">
              <w:rPr>
                <w:rFonts w:ascii="Cambria" w:hAnsi="Cambria"/>
                <w:sz w:val="20"/>
                <w:szCs w:val="20"/>
              </w:rPr>
              <w:t xml:space="preserve"> Suteikiama </w:t>
            </w:r>
            <w:r w:rsidRPr="00E22DC9">
              <w:rPr>
                <w:rStyle w:val="Strong"/>
                <w:rFonts w:ascii="Cambria" w:hAnsi="Cambria"/>
                <w:b w:val="0"/>
                <w:sz w:val="20"/>
                <w:szCs w:val="20"/>
              </w:rPr>
              <w:t>ne trumpesnė nei 24 mėnesių garantija</w:t>
            </w:r>
            <w:r w:rsidRPr="00F26AB2">
              <w:rPr>
                <w:rFonts w:ascii="Cambria" w:hAnsi="Cambria"/>
                <w:sz w:val="20"/>
                <w:szCs w:val="20"/>
              </w:rPr>
              <w:t>.</w:t>
            </w:r>
          </w:p>
          <w:p w14:paraId="790D9C66" w14:textId="77777777" w:rsidR="00FF6AB2" w:rsidRPr="00F26AB2" w:rsidRDefault="00FF6AB2" w:rsidP="00FF6AB2">
            <w:pPr>
              <w:pStyle w:val="NoSpacing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Gamintojas: nurodyti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14:paraId="1A35F76F" w14:textId="77777777" w:rsidR="00FF6AB2" w:rsidRPr="00F26AB2" w:rsidRDefault="00FF6AB2" w:rsidP="003E3A0C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hAnsi="Cambria"/>
                <w:sz w:val="20"/>
                <w:szCs w:val="20"/>
              </w:rPr>
              <w:t>m</w:t>
            </w:r>
            <w:r w:rsidRPr="00F26AB2">
              <w:rPr>
                <w:rFonts w:ascii="Cambria" w:hAnsi="Cambr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236212E6" w14:textId="77777777" w:rsidR="00FF6AB2" w:rsidRPr="00F26AB2" w:rsidRDefault="00FF6AB2" w:rsidP="003E3A0C">
            <w:pPr>
              <w:pStyle w:val="NoSpacing"/>
              <w:jc w:val="center"/>
              <w:rPr>
                <w:rFonts w:ascii="Cambria" w:hAnsi="Cambria"/>
                <w:sz w:val="20"/>
                <w:szCs w:val="20"/>
              </w:rPr>
            </w:pPr>
            <w:r w:rsidRPr="00F26AB2">
              <w:rPr>
                <w:rFonts w:ascii="Cambria" w:hAnsi="Cambria"/>
                <w:sz w:val="20"/>
                <w:szCs w:val="20"/>
              </w:rPr>
              <w:t>200</w:t>
            </w:r>
          </w:p>
        </w:tc>
        <w:tc>
          <w:tcPr>
            <w:tcW w:w="5245" w:type="dxa"/>
          </w:tcPr>
          <w:p w14:paraId="047BD687" w14:textId="77777777" w:rsidR="00FF6AB2" w:rsidRPr="00F26AB2" w:rsidRDefault="00FF6AB2" w:rsidP="00FF6AB2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5877D47" w14:textId="77777777" w:rsidR="0032210D" w:rsidRPr="00F26AB2" w:rsidRDefault="0032210D" w:rsidP="00F26AB2">
      <w:pPr>
        <w:pStyle w:val="NoSpacing"/>
        <w:rPr>
          <w:rFonts w:ascii="Cambria" w:hAnsi="Cambria"/>
          <w:b/>
          <w:i/>
          <w:sz w:val="20"/>
          <w:szCs w:val="20"/>
        </w:rPr>
      </w:pPr>
      <w:r w:rsidRPr="00F26AB2">
        <w:rPr>
          <w:rFonts w:ascii="Cambria" w:hAnsi="Cambria"/>
          <w:sz w:val="20"/>
          <w:szCs w:val="20"/>
        </w:rPr>
        <w:t xml:space="preserve">   </w:t>
      </w:r>
      <w:r w:rsidRPr="00F26AB2">
        <w:rPr>
          <w:rFonts w:ascii="Cambria" w:hAnsi="Cambria"/>
          <w:b/>
          <w:i/>
          <w:sz w:val="20"/>
          <w:szCs w:val="20"/>
        </w:rPr>
        <w:t>Bendrieji reikalavimai:</w:t>
      </w:r>
    </w:p>
    <w:p w14:paraId="69DE0F64" w14:textId="77777777" w:rsidR="0032210D" w:rsidRPr="00F26AB2" w:rsidRDefault="0032210D" w:rsidP="00F26AB2">
      <w:pPr>
        <w:pStyle w:val="NoSpacing"/>
        <w:numPr>
          <w:ilvl w:val="0"/>
          <w:numId w:val="10"/>
        </w:numPr>
        <w:rPr>
          <w:rFonts w:ascii="Cambria" w:hAnsi="Cambria"/>
          <w:sz w:val="20"/>
          <w:szCs w:val="20"/>
        </w:rPr>
      </w:pPr>
      <w:r w:rsidRPr="00F26AB2">
        <w:rPr>
          <w:rFonts w:ascii="Cambria" w:hAnsi="Cambria"/>
          <w:sz w:val="20"/>
          <w:szCs w:val="20"/>
        </w:rPr>
        <w:t xml:space="preserve">Pirkimas į dalis </w:t>
      </w:r>
      <w:r w:rsidR="00FF6AB2" w:rsidRPr="00F26AB2">
        <w:rPr>
          <w:rFonts w:ascii="Cambria" w:hAnsi="Cambria"/>
          <w:sz w:val="20"/>
          <w:szCs w:val="20"/>
        </w:rPr>
        <w:t xml:space="preserve">yra </w:t>
      </w:r>
      <w:r w:rsidRPr="00F26AB2">
        <w:rPr>
          <w:rFonts w:ascii="Cambria" w:hAnsi="Cambria"/>
          <w:i/>
          <w:sz w:val="20"/>
          <w:szCs w:val="20"/>
        </w:rPr>
        <w:t>skaidomas</w:t>
      </w:r>
      <w:r w:rsidRPr="00F26AB2">
        <w:rPr>
          <w:rFonts w:ascii="Cambria" w:hAnsi="Cambria"/>
          <w:sz w:val="20"/>
          <w:szCs w:val="20"/>
        </w:rPr>
        <w:t>.</w:t>
      </w:r>
    </w:p>
    <w:p w14:paraId="07016040" w14:textId="77777777" w:rsidR="006F5815" w:rsidRPr="00F26AB2" w:rsidRDefault="006F5815" w:rsidP="00F26AB2">
      <w:pPr>
        <w:pStyle w:val="NoSpacing"/>
        <w:numPr>
          <w:ilvl w:val="0"/>
          <w:numId w:val="10"/>
        </w:numPr>
        <w:rPr>
          <w:rFonts w:ascii="Cambria" w:hAnsi="Cambria"/>
          <w:sz w:val="20"/>
          <w:szCs w:val="20"/>
        </w:rPr>
      </w:pPr>
      <w:r w:rsidRPr="00F26AB2">
        <w:rPr>
          <w:rFonts w:ascii="Cambria" w:hAnsi="Cambria"/>
          <w:sz w:val="20"/>
          <w:szCs w:val="20"/>
        </w:rPr>
        <w:t xml:space="preserve">Šiuo pirkimu Lietuvos sveikatos mokslų universiteto ligoninė Kauno klinikos (toliau – Perkančioji Organizacija) siekia įsigyti žaliuzes, </w:t>
      </w:r>
      <w:proofErr w:type="spellStart"/>
      <w:r w:rsidRPr="00F26AB2">
        <w:rPr>
          <w:rFonts w:ascii="Cambria" w:hAnsi="Cambria"/>
          <w:sz w:val="20"/>
          <w:szCs w:val="20"/>
        </w:rPr>
        <w:t>roletus</w:t>
      </w:r>
      <w:proofErr w:type="spellEnd"/>
      <w:r w:rsidRPr="00F26AB2">
        <w:rPr>
          <w:rFonts w:ascii="Cambria" w:hAnsi="Cambria"/>
          <w:sz w:val="20"/>
          <w:szCs w:val="20"/>
        </w:rPr>
        <w:t xml:space="preserve">, tinklelius </w:t>
      </w:r>
      <w:proofErr w:type="spellStart"/>
      <w:r w:rsidRPr="00F26AB2">
        <w:rPr>
          <w:rFonts w:ascii="Cambria" w:hAnsi="Cambria"/>
          <w:sz w:val="20"/>
          <w:szCs w:val="20"/>
        </w:rPr>
        <w:t>roletus</w:t>
      </w:r>
      <w:proofErr w:type="spellEnd"/>
      <w:r w:rsidRPr="00F26AB2">
        <w:rPr>
          <w:rFonts w:ascii="Cambria" w:hAnsi="Cambria"/>
          <w:sz w:val="20"/>
          <w:szCs w:val="20"/>
        </w:rPr>
        <w:t xml:space="preserve"> ir rėmelius. </w:t>
      </w:r>
      <w:r w:rsidRPr="00F26AB2">
        <w:rPr>
          <w:rFonts w:ascii="Cambria" w:hAnsi="Cambria"/>
          <w:sz w:val="20"/>
          <w:szCs w:val="20"/>
          <w:lang w:eastAsia="lt-LT"/>
        </w:rPr>
        <w:t>Kainos vertinamos pagal 1 m² kainą, kuri apima visus darbus (matavimą, gamybą, transportavimą, montavimą). Tiekėjų siūlomos kainos turėtų būti formuojamos remiantis orientaciniais kiekiais ir įprastinėmis montavimo sąlygomis, numatant galimas korekcijas konkrečių užsakymų metu.</w:t>
      </w:r>
    </w:p>
    <w:p w14:paraId="5AD62076" w14:textId="1420162F" w:rsidR="006F5815" w:rsidRPr="00F26AB2" w:rsidRDefault="006F5815" w:rsidP="00F26AB2">
      <w:pPr>
        <w:pStyle w:val="NoSpacing"/>
        <w:numPr>
          <w:ilvl w:val="0"/>
          <w:numId w:val="10"/>
        </w:numPr>
        <w:rPr>
          <w:rFonts w:ascii="Cambria" w:hAnsi="Cambria"/>
          <w:sz w:val="20"/>
          <w:szCs w:val="20"/>
          <w:lang w:eastAsia="lt-LT"/>
        </w:rPr>
      </w:pPr>
      <w:r w:rsidRPr="00F26AB2">
        <w:rPr>
          <w:rFonts w:ascii="Cambria" w:hAnsi="Cambria"/>
          <w:sz w:val="20"/>
          <w:szCs w:val="20"/>
          <w:lang w:eastAsia="lt-LT"/>
        </w:rPr>
        <w:lastRenderedPageBreak/>
        <w:t xml:space="preserve">Techninėje specifikacijoje pateikti kiekiai ir reikalavimai yra </w:t>
      </w:r>
      <w:r w:rsidRPr="00F26AB2">
        <w:rPr>
          <w:rFonts w:ascii="Cambria" w:hAnsi="Cambria"/>
          <w:bCs/>
          <w:sz w:val="20"/>
          <w:szCs w:val="20"/>
          <w:lang w:eastAsia="lt-LT"/>
        </w:rPr>
        <w:t>orientaciniai</w:t>
      </w:r>
      <w:r w:rsidR="00272605">
        <w:rPr>
          <w:rFonts w:ascii="Cambria" w:hAnsi="Cambria"/>
          <w:sz w:val="20"/>
          <w:szCs w:val="20"/>
          <w:lang w:eastAsia="lt-LT"/>
        </w:rPr>
        <w:t>,</w:t>
      </w:r>
      <w:r w:rsidR="00FA415B">
        <w:rPr>
          <w:rFonts w:ascii="Cambria" w:hAnsi="Cambria"/>
          <w:sz w:val="20"/>
          <w:szCs w:val="20"/>
          <w:lang w:eastAsia="lt-LT"/>
        </w:rPr>
        <w:t xml:space="preserve"> </w:t>
      </w:r>
      <w:bookmarkStart w:id="0" w:name="_GoBack"/>
      <w:bookmarkEnd w:id="0"/>
      <w:r w:rsidRPr="00F26AB2">
        <w:rPr>
          <w:rFonts w:ascii="Cambria" w:hAnsi="Cambria"/>
          <w:sz w:val="20"/>
          <w:szCs w:val="20"/>
          <w:lang w:eastAsia="lt-LT"/>
        </w:rPr>
        <w:t xml:space="preserve">leidžiantys tiekėjui pasiūlyti tinkamą gaminį pagal bendrąsias charakteristikas. Kiekvieno užsakymo metu bus tikslinami konkretūs poreikiai su tiksliomis išmatavimų, tvirtinimo būdo ir valdymo tipo detalėmis. Tokiu būdu užtikrinamas </w:t>
      </w:r>
      <w:r w:rsidRPr="00F26AB2">
        <w:rPr>
          <w:rFonts w:ascii="Cambria" w:hAnsi="Cambria"/>
          <w:bCs/>
          <w:sz w:val="20"/>
          <w:szCs w:val="20"/>
          <w:lang w:eastAsia="lt-LT"/>
        </w:rPr>
        <w:t>proporcingumo</w:t>
      </w:r>
      <w:r w:rsidRPr="00F26AB2">
        <w:rPr>
          <w:rFonts w:ascii="Cambria" w:hAnsi="Cambria"/>
          <w:sz w:val="20"/>
          <w:szCs w:val="20"/>
          <w:lang w:eastAsia="lt-LT"/>
        </w:rPr>
        <w:t xml:space="preserve"> principas – tiekėjas neprivalo pateikti vieno universalaus sprendimo visiems langams,</w:t>
      </w:r>
      <w:r w:rsidR="00FA4733">
        <w:rPr>
          <w:rFonts w:ascii="Cambria" w:hAnsi="Cambria"/>
          <w:sz w:val="20"/>
          <w:szCs w:val="20"/>
          <w:lang w:eastAsia="lt-LT"/>
        </w:rPr>
        <w:t xml:space="preserve"> o sprendimai bus derinami su Perkančiąja organizacija</w:t>
      </w:r>
      <w:r w:rsidRPr="00F26AB2">
        <w:rPr>
          <w:rFonts w:ascii="Cambria" w:hAnsi="Cambria"/>
          <w:sz w:val="20"/>
          <w:szCs w:val="20"/>
          <w:lang w:eastAsia="lt-LT"/>
        </w:rPr>
        <w:t>.</w:t>
      </w:r>
    </w:p>
    <w:p w14:paraId="63A824F5" w14:textId="77777777" w:rsidR="0072359A" w:rsidRPr="00F26AB2" w:rsidRDefault="0072359A" w:rsidP="00F26AB2">
      <w:pPr>
        <w:pStyle w:val="NoSpacing"/>
        <w:numPr>
          <w:ilvl w:val="0"/>
          <w:numId w:val="10"/>
        </w:numPr>
        <w:rPr>
          <w:rFonts w:ascii="Cambria" w:hAnsi="Cambria"/>
          <w:b/>
          <w:sz w:val="20"/>
          <w:szCs w:val="20"/>
          <w:lang w:eastAsia="lt-LT"/>
        </w:rPr>
      </w:pPr>
      <w:r w:rsidRPr="00F26AB2">
        <w:rPr>
          <w:rFonts w:ascii="Cambria" w:hAnsi="Cambria"/>
          <w:sz w:val="20"/>
          <w:szCs w:val="20"/>
          <w:lang w:eastAsia="lt-LT"/>
        </w:rPr>
        <w:t xml:space="preserve">Montavimas ir tvirtinimas turi būti atliekamas </w:t>
      </w:r>
      <w:r w:rsidRPr="00F26AB2">
        <w:rPr>
          <w:rFonts w:ascii="Cambria" w:hAnsi="Cambria"/>
          <w:bCs/>
          <w:sz w:val="20"/>
          <w:szCs w:val="20"/>
          <w:lang w:eastAsia="lt-LT"/>
        </w:rPr>
        <w:t>nesugadinant lango rėmo konstrukcijos</w:t>
      </w:r>
      <w:r w:rsidRPr="00F26AB2">
        <w:rPr>
          <w:rFonts w:ascii="Cambria" w:hAnsi="Cambria"/>
          <w:sz w:val="20"/>
          <w:szCs w:val="20"/>
          <w:lang w:eastAsia="lt-LT"/>
        </w:rPr>
        <w:t xml:space="preserve">, tvirtinamas prie lango rėmo ar naudojant klijavimą ar priimant kitus tvirtinimo sprendimo būdus, atsižvelgiant į lango konstrukciją. Tvirtinimo tipas (varžtais ar klijavimas) priklausys nuo konkretaus lango konstrukcijos ir suderinamas su </w:t>
      </w:r>
      <w:r w:rsidR="00BD751B">
        <w:rPr>
          <w:rFonts w:ascii="Cambria" w:hAnsi="Cambria"/>
          <w:sz w:val="20"/>
          <w:szCs w:val="20"/>
          <w:lang w:eastAsia="lt-LT"/>
        </w:rPr>
        <w:t xml:space="preserve">Perkančiąja organizacija </w:t>
      </w:r>
      <w:r w:rsidRPr="00F26AB2">
        <w:rPr>
          <w:rFonts w:ascii="Cambria" w:hAnsi="Cambria"/>
          <w:bCs/>
          <w:sz w:val="20"/>
          <w:szCs w:val="20"/>
          <w:lang w:eastAsia="lt-LT"/>
        </w:rPr>
        <w:t>projektavimo/matavimo metu</w:t>
      </w:r>
      <w:r w:rsidRPr="00F26AB2">
        <w:rPr>
          <w:rFonts w:ascii="Cambria" w:hAnsi="Cambria"/>
          <w:sz w:val="20"/>
          <w:szCs w:val="20"/>
          <w:lang w:eastAsia="lt-LT"/>
        </w:rPr>
        <w:t>.</w:t>
      </w:r>
      <w:r w:rsidR="00F26AB2" w:rsidRPr="00F26AB2">
        <w:rPr>
          <w:rFonts w:ascii="Cambria" w:hAnsi="Cambria"/>
          <w:sz w:val="20"/>
          <w:szCs w:val="20"/>
          <w:lang w:eastAsia="lt-LT"/>
        </w:rPr>
        <w:t xml:space="preserve"> </w:t>
      </w:r>
      <w:r w:rsidR="00F26AB2" w:rsidRPr="00F26AB2">
        <w:rPr>
          <w:rFonts w:ascii="Cambria" w:hAnsi="Cambria"/>
          <w:sz w:val="20"/>
          <w:szCs w:val="20"/>
        </w:rPr>
        <w:t xml:space="preserve">Tiekėjas turi </w:t>
      </w:r>
      <w:r w:rsidR="00F26AB2" w:rsidRPr="00F26AB2">
        <w:rPr>
          <w:rStyle w:val="Strong"/>
          <w:rFonts w:ascii="Cambria" w:hAnsi="Cambria"/>
          <w:b w:val="0"/>
          <w:sz w:val="20"/>
          <w:szCs w:val="20"/>
        </w:rPr>
        <w:t>prieš gamybą apžiūrėti visus langų tipus</w:t>
      </w:r>
      <w:r w:rsidR="00F26AB2" w:rsidRPr="00F26AB2">
        <w:rPr>
          <w:rFonts w:ascii="Cambria" w:hAnsi="Cambria"/>
          <w:b/>
          <w:sz w:val="20"/>
          <w:szCs w:val="20"/>
        </w:rPr>
        <w:t xml:space="preserve"> </w:t>
      </w:r>
      <w:r w:rsidR="00F26AB2" w:rsidRPr="00F26AB2">
        <w:rPr>
          <w:rFonts w:ascii="Cambria" w:hAnsi="Cambria"/>
          <w:sz w:val="20"/>
          <w:szCs w:val="20"/>
        </w:rPr>
        <w:t>ir</w:t>
      </w:r>
      <w:r w:rsidR="00F26AB2" w:rsidRPr="00F26AB2">
        <w:rPr>
          <w:rFonts w:ascii="Cambria" w:hAnsi="Cambria"/>
          <w:b/>
          <w:sz w:val="20"/>
          <w:szCs w:val="20"/>
        </w:rPr>
        <w:t xml:space="preserve"> </w:t>
      </w:r>
      <w:r w:rsidR="00F26AB2" w:rsidRPr="00F26AB2">
        <w:rPr>
          <w:rStyle w:val="Strong"/>
          <w:rFonts w:ascii="Cambria" w:hAnsi="Cambria"/>
          <w:b w:val="0"/>
          <w:sz w:val="20"/>
          <w:szCs w:val="20"/>
        </w:rPr>
        <w:t>pritaikyti optimalų tvirtinimo būdą</w:t>
      </w:r>
      <w:r w:rsidR="00F26AB2" w:rsidRPr="00F26AB2">
        <w:rPr>
          <w:rFonts w:ascii="Cambria" w:hAnsi="Cambria"/>
          <w:b/>
          <w:sz w:val="20"/>
          <w:szCs w:val="20"/>
        </w:rPr>
        <w:t xml:space="preserve">, </w:t>
      </w:r>
      <w:r w:rsidR="00F26AB2" w:rsidRPr="00F26AB2">
        <w:rPr>
          <w:rFonts w:ascii="Cambria" w:hAnsi="Cambria"/>
          <w:sz w:val="20"/>
          <w:szCs w:val="20"/>
        </w:rPr>
        <w:t xml:space="preserve">užtikrinant </w:t>
      </w:r>
      <w:proofErr w:type="spellStart"/>
      <w:r w:rsidR="00F26AB2" w:rsidRPr="00F26AB2">
        <w:rPr>
          <w:rFonts w:ascii="Cambria" w:hAnsi="Cambria"/>
          <w:sz w:val="20"/>
          <w:szCs w:val="20"/>
        </w:rPr>
        <w:t>roletų</w:t>
      </w:r>
      <w:proofErr w:type="spellEnd"/>
      <w:r w:rsidR="00F26AB2" w:rsidRPr="00F26AB2">
        <w:rPr>
          <w:rFonts w:ascii="Cambria" w:hAnsi="Cambria"/>
          <w:sz w:val="20"/>
          <w:szCs w:val="20"/>
        </w:rPr>
        <w:t xml:space="preserve"> funkcionalumą, patvarumą ir paprastą priežiūrą. Visi sprendimai turi būti</w:t>
      </w:r>
      <w:r w:rsidR="00F26AB2" w:rsidRPr="00F26AB2">
        <w:rPr>
          <w:rFonts w:ascii="Cambria" w:hAnsi="Cambria"/>
          <w:b/>
          <w:sz w:val="20"/>
          <w:szCs w:val="20"/>
        </w:rPr>
        <w:t xml:space="preserve"> </w:t>
      </w:r>
      <w:r w:rsidR="00F26AB2" w:rsidRPr="00F26AB2">
        <w:rPr>
          <w:rStyle w:val="Strong"/>
          <w:rFonts w:ascii="Cambria" w:hAnsi="Cambria"/>
          <w:b w:val="0"/>
          <w:sz w:val="20"/>
          <w:szCs w:val="20"/>
        </w:rPr>
        <w:t xml:space="preserve">suderinti su </w:t>
      </w:r>
      <w:r w:rsidR="00BD751B">
        <w:rPr>
          <w:rStyle w:val="Strong"/>
          <w:rFonts w:ascii="Cambria" w:hAnsi="Cambria"/>
          <w:b w:val="0"/>
          <w:sz w:val="20"/>
          <w:szCs w:val="20"/>
        </w:rPr>
        <w:t>Perkančiąja organizacija</w:t>
      </w:r>
      <w:r w:rsidR="00F26AB2" w:rsidRPr="00F26AB2">
        <w:rPr>
          <w:rFonts w:ascii="Cambria" w:hAnsi="Cambria"/>
          <w:b/>
          <w:sz w:val="20"/>
          <w:szCs w:val="20"/>
        </w:rPr>
        <w:t xml:space="preserve"> </w:t>
      </w:r>
      <w:r w:rsidR="00F26AB2" w:rsidRPr="00F26AB2">
        <w:rPr>
          <w:rFonts w:ascii="Cambria" w:hAnsi="Cambria"/>
          <w:sz w:val="20"/>
          <w:szCs w:val="20"/>
        </w:rPr>
        <w:t>ir</w:t>
      </w:r>
      <w:r w:rsidR="00F26AB2" w:rsidRPr="00F26AB2">
        <w:rPr>
          <w:rFonts w:ascii="Cambria" w:hAnsi="Cambria"/>
          <w:b/>
          <w:sz w:val="20"/>
          <w:szCs w:val="20"/>
        </w:rPr>
        <w:t xml:space="preserve"> </w:t>
      </w:r>
      <w:r w:rsidR="00F26AB2" w:rsidRPr="00F26AB2">
        <w:rPr>
          <w:rStyle w:val="Strong"/>
          <w:rFonts w:ascii="Cambria" w:hAnsi="Cambria"/>
          <w:b w:val="0"/>
          <w:sz w:val="20"/>
          <w:szCs w:val="20"/>
        </w:rPr>
        <w:t>nepažeisti lango vientisumo, sandarumo ar estetikos</w:t>
      </w:r>
      <w:r w:rsidR="00F26AB2" w:rsidRPr="00F26AB2">
        <w:rPr>
          <w:rFonts w:ascii="Cambria" w:hAnsi="Cambria"/>
          <w:b/>
          <w:sz w:val="20"/>
          <w:szCs w:val="20"/>
        </w:rPr>
        <w:t>.</w:t>
      </w:r>
    </w:p>
    <w:p w14:paraId="449EBFE4" w14:textId="77777777" w:rsidR="006F5815" w:rsidRPr="00F26AB2" w:rsidRDefault="00D0173E" w:rsidP="00F26AB2">
      <w:pPr>
        <w:pStyle w:val="NoSpacing"/>
        <w:numPr>
          <w:ilvl w:val="0"/>
          <w:numId w:val="10"/>
        </w:numPr>
        <w:rPr>
          <w:rFonts w:ascii="Cambria" w:hAnsi="Cambria"/>
          <w:sz w:val="20"/>
          <w:szCs w:val="20"/>
        </w:rPr>
      </w:pPr>
      <w:r w:rsidRPr="00F26AB2">
        <w:rPr>
          <w:rFonts w:ascii="Cambria" w:hAnsi="Cambria"/>
          <w:sz w:val="20"/>
          <w:szCs w:val="20"/>
        </w:rPr>
        <w:t xml:space="preserve">Atsižvelgiant į specifinę naudojimo vietą (gydymo įstaiga), žaliuzės ir </w:t>
      </w:r>
      <w:proofErr w:type="spellStart"/>
      <w:r w:rsidRPr="00F26AB2">
        <w:rPr>
          <w:rFonts w:ascii="Cambria" w:hAnsi="Cambria"/>
          <w:sz w:val="20"/>
          <w:szCs w:val="20"/>
        </w:rPr>
        <w:t>roletai</w:t>
      </w:r>
      <w:proofErr w:type="spellEnd"/>
      <w:r w:rsidRPr="00F26AB2">
        <w:rPr>
          <w:rFonts w:ascii="Cambria" w:hAnsi="Cambria"/>
          <w:sz w:val="20"/>
          <w:szCs w:val="20"/>
        </w:rPr>
        <w:t xml:space="preserve"> tiek estetine ir higienos prasme turi atitikti jų paskirtį. Siekiant, kad darniai papildytų jau esamą ar formuojamą patalpų interjerą, pageidautina, kad žaliuzės ir </w:t>
      </w:r>
      <w:proofErr w:type="spellStart"/>
      <w:r w:rsidRPr="00F26AB2">
        <w:rPr>
          <w:rFonts w:ascii="Cambria" w:hAnsi="Cambria"/>
          <w:sz w:val="20"/>
          <w:szCs w:val="20"/>
        </w:rPr>
        <w:t>roletai</w:t>
      </w:r>
      <w:proofErr w:type="spellEnd"/>
      <w:r w:rsidRPr="00F26AB2">
        <w:rPr>
          <w:rFonts w:ascii="Cambria" w:hAnsi="Cambria"/>
          <w:sz w:val="20"/>
          <w:szCs w:val="20"/>
        </w:rPr>
        <w:t xml:space="preserve"> tarpusavy derėtų (spalvų, formos ir kt. prasme) ir patalpoje sudarytų vieningą visumą. Žaliuzėms ir </w:t>
      </w:r>
      <w:proofErr w:type="spellStart"/>
      <w:r w:rsidRPr="00F26AB2">
        <w:rPr>
          <w:rFonts w:ascii="Cambria" w:hAnsi="Cambria"/>
          <w:sz w:val="20"/>
          <w:szCs w:val="20"/>
        </w:rPr>
        <w:t>roletams</w:t>
      </w:r>
      <w:proofErr w:type="spellEnd"/>
      <w:r w:rsidR="00F26AB2" w:rsidRPr="00F26AB2">
        <w:rPr>
          <w:rFonts w:ascii="Cambria" w:hAnsi="Cambria"/>
          <w:sz w:val="20"/>
          <w:szCs w:val="20"/>
        </w:rPr>
        <w:t xml:space="preserve"> </w:t>
      </w:r>
      <w:r w:rsidRPr="00F26AB2">
        <w:rPr>
          <w:rFonts w:ascii="Cambria" w:hAnsi="Cambria"/>
          <w:sz w:val="20"/>
          <w:szCs w:val="20"/>
        </w:rPr>
        <w:t>naudojamų medžiagų spalvos ir faktūra gamybos metu turi būti derinami su konkrečiu užsakovu.</w:t>
      </w:r>
    </w:p>
    <w:p w14:paraId="19347575" w14:textId="77777777" w:rsidR="0032210D" w:rsidRPr="00F26AB2" w:rsidRDefault="0032210D" w:rsidP="00F26AB2">
      <w:pPr>
        <w:pStyle w:val="NoSpacing"/>
        <w:numPr>
          <w:ilvl w:val="0"/>
          <w:numId w:val="10"/>
        </w:numPr>
        <w:rPr>
          <w:rFonts w:ascii="Cambria" w:hAnsi="Cambria"/>
          <w:sz w:val="20"/>
          <w:szCs w:val="20"/>
        </w:rPr>
      </w:pPr>
      <w:r w:rsidRPr="00F26AB2">
        <w:rPr>
          <w:rFonts w:ascii="Cambria" w:hAnsi="Cambria"/>
          <w:sz w:val="20"/>
          <w:szCs w:val="20"/>
        </w:rPr>
        <w:t xml:space="preserve">Žaliuzių, </w:t>
      </w:r>
      <w:proofErr w:type="spellStart"/>
      <w:r w:rsidRPr="00F26AB2">
        <w:rPr>
          <w:rFonts w:ascii="Cambria" w:hAnsi="Cambria"/>
          <w:sz w:val="20"/>
          <w:szCs w:val="20"/>
        </w:rPr>
        <w:t>roletų</w:t>
      </w:r>
      <w:proofErr w:type="spellEnd"/>
      <w:r w:rsidRPr="00F26AB2">
        <w:rPr>
          <w:rFonts w:ascii="Cambria" w:hAnsi="Cambria"/>
          <w:sz w:val="20"/>
          <w:szCs w:val="20"/>
        </w:rPr>
        <w:t xml:space="preserve"> ir jų montavimo darbų kaina yra pardavimo kaina, įskaitant prekės pakuotę, transportavimą (pas konkretų užsakovą), krovimo ir montavimo darbų išlaidas, PVM ir visus kitus tiekėjo numatytus ar nenumatytus mokesčius. </w:t>
      </w:r>
    </w:p>
    <w:p w14:paraId="0C8AC500" w14:textId="77777777" w:rsidR="00D0173E" w:rsidRPr="00F26AB2" w:rsidRDefault="00D0173E" w:rsidP="00F26AB2">
      <w:pPr>
        <w:pStyle w:val="NoSpacing"/>
        <w:numPr>
          <w:ilvl w:val="0"/>
          <w:numId w:val="10"/>
        </w:numPr>
        <w:rPr>
          <w:rFonts w:ascii="Cambria" w:hAnsi="Cambria"/>
          <w:sz w:val="20"/>
          <w:szCs w:val="20"/>
        </w:rPr>
      </w:pPr>
      <w:r w:rsidRPr="00F26AB2">
        <w:rPr>
          <w:rFonts w:ascii="Cambria" w:hAnsi="Cambria"/>
          <w:sz w:val="20"/>
          <w:szCs w:val="20"/>
        </w:rPr>
        <w:t xml:space="preserve">Perkančioji organizacija, esant būtinybei, pasilieka teisę prašyti konkurso dalyvio papildomai pateikti reikalingus dokumentų (deklaracijų, sertifikatų, garantijų) nuorašus, iš kurių galėtų įsitikinti žaliuzių ir </w:t>
      </w:r>
      <w:proofErr w:type="spellStart"/>
      <w:r w:rsidRPr="00F26AB2">
        <w:rPr>
          <w:rFonts w:ascii="Cambria" w:hAnsi="Cambria"/>
          <w:sz w:val="20"/>
          <w:szCs w:val="20"/>
        </w:rPr>
        <w:t>roletų</w:t>
      </w:r>
      <w:proofErr w:type="spellEnd"/>
      <w:r w:rsidRPr="00F26AB2">
        <w:rPr>
          <w:rFonts w:ascii="Cambria" w:hAnsi="Cambria"/>
          <w:sz w:val="20"/>
          <w:szCs w:val="20"/>
        </w:rPr>
        <w:t xml:space="preserve"> atitiktimi šioje Techninėje specifikacijoje reikalaujamoms kiekybinėms ir kokybinėms jų charakteristikoms. </w:t>
      </w:r>
    </w:p>
    <w:p w14:paraId="42B44D05" w14:textId="77777777" w:rsidR="00D0173E" w:rsidRPr="00F26AB2" w:rsidRDefault="00D0173E" w:rsidP="00F26AB2">
      <w:pPr>
        <w:pStyle w:val="NoSpacing"/>
        <w:numPr>
          <w:ilvl w:val="0"/>
          <w:numId w:val="10"/>
        </w:numPr>
        <w:rPr>
          <w:rFonts w:ascii="Cambria" w:hAnsi="Cambria"/>
          <w:sz w:val="20"/>
          <w:szCs w:val="20"/>
        </w:rPr>
      </w:pPr>
      <w:r w:rsidRPr="00F26AB2">
        <w:rPr>
          <w:rFonts w:ascii="Cambria" w:hAnsi="Cambria"/>
          <w:sz w:val="20"/>
          <w:szCs w:val="20"/>
        </w:rPr>
        <w:t xml:space="preserve">Konkurso vertinimo komisijai raštiškai pareikalavus, komisijos nurodytu terminu būtina pateikti siūlomų prekių pavyzdžius ir papildomą dokumentaciją, patvirtinančią techninius parametrus. </w:t>
      </w:r>
    </w:p>
    <w:p w14:paraId="19FB7F40" w14:textId="77777777" w:rsidR="0032210D" w:rsidRPr="00F26AB2" w:rsidRDefault="00253220" w:rsidP="00F26AB2">
      <w:pPr>
        <w:pStyle w:val="NoSpacing"/>
        <w:numPr>
          <w:ilvl w:val="0"/>
          <w:numId w:val="10"/>
        </w:numPr>
        <w:rPr>
          <w:rFonts w:ascii="Cambria" w:hAnsi="Cambria"/>
          <w:sz w:val="20"/>
          <w:szCs w:val="20"/>
        </w:rPr>
      </w:pPr>
      <w:r w:rsidRPr="00F26AB2">
        <w:rPr>
          <w:rFonts w:ascii="Cambria" w:hAnsi="Cambria"/>
          <w:sz w:val="20"/>
          <w:szCs w:val="20"/>
        </w:rPr>
        <w:t xml:space="preserve">Aplinkos apsaugos reikalavimai, perkant žaliuzes ir </w:t>
      </w:r>
      <w:proofErr w:type="spellStart"/>
      <w:r w:rsidRPr="00F26AB2">
        <w:rPr>
          <w:rFonts w:ascii="Cambria" w:hAnsi="Cambria"/>
          <w:sz w:val="20"/>
          <w:szCs w:val="20"/>
        </w:rPr>
        <w:t>roletus</w:t>
      </w:r>
      <w:proofErr w:type="spellEnd"/>
      <w:r w:rsidRPr="00F26AB2">
        <w:rPr>
          <w:rFonts w:ascii="Cambria" w:hAnsi="Cambria"/>
          <w:sz w:val="20"/>
          <w:szCs w:val="20"/>
        </w:rPr>
        <w:t>, turi būti laikomasi bendrųjų aplinkos apsaugos principų,</w:t>
      </w:r>
      <w:r w:rsidR="0032210D" w:rsidRPr="00F26AB2">
        <w:rPr>
          <w:rFonts w:ascii="Cambria" w:hAnsi="Cambria"/>
          <w:sz w:val="20"/>
          <w:szCs w:val="20"/>
        </w:rPr>
        <w:t xml:space="preserve"> pateikiant </w:t>
      </w:r>
      <w:r w:rsidRPr="00F26AB2">
        <w:rPr>
          <w:rFonts w:ascii="Cambria" w:hAnsi="Cambria"/>
          <w:sz w:val="20"/>
          <w:szCs w:val="20"/>
        </w:rPr>
        <w:t>dokumentus</w:t>
      </w:r>
      <w:r w:rsidR="00F26AB2" w:rsidRPr="00F26AB2">
        <w:rPr>
          <w:rFonts w:ascii="Cambria" w:hAnsi="Cambria"/>
          <w:sz w:val="20"/>
          <w:szCs w:val="20"/>
        </w:rPr>
        <w:t xml:space="preserve"> arba skaitmenines sertifikatų kopijas</w:t>
      </w:r>
      <w:r w:rsidRPr="00F26AB2">
        <w:rPr>
          <w:rFonts w:ascii="Cambria" w:hAnsi="Cambria"/>
          <w:sz w:val="20"/>
          <w:szCs w:val="20"/>
        </w:rPr>
        <w:t xml:space="preserve">, patvirtinančius atitiktį </w:t>
      </w:r>
      <w:r w:rsidR="00625AFB">
        <w:rPr>
          <w:rFonts w:ascii="Cambria" w:hAnsi="Cambria"/>
          <w:sz w:val="20"/>
          <w:szCs w:val="20"/>
        </w:rPr>
        <w:t>bent vienam iš šių reikalavimų</w:t>
      </w:r>
      <w:r w:rsidRPr="00F26AB2">
        <w:rPr>
          <w:rFonts w:ascii="Cambria" w:hAnsi="Cambria"/>
          <w:sz w:val="20"/>
          <w:szCs w:val="20"/>
        </w:rPr>
        <w:t xml:space="preserve">, arba lygiaverčius </w:t>
      </w:r>
      <w:proofErr w:type="spellStart"/>
      <w:r w:rsidRPr="00F26AB2">
        <w:rPr>
          <w:rFonts w:ascii="Cambria" w:hAnsi="Cambria"/>
          <w:sz w:val="20"/>
          <w:szCs w:val="20"/>
        </w:rPr>
        <w:t>įrodymus</w:t>
      </w:r>
      <w:proofErr w:type="spellEnd"/>
      <w:r w:rsidR="0032210D" w:rsidRPr="00F26AB2">
        <w:rPr>
          <w:rFonts w:ascii="Cambria" w:hAnsi="Cambria"/>
          <w:sz w:val="20"/>
          <w:szCs w:val="20"/>
        </w:rPr>
        <w:t>:</w:t>
      </w:r>
    </w:p>
    <w:p w14:paraId="604D8A32" w14:textId="77777777" w:rsidR="00253220" w:rsidRPr="00E92B13" w:rsidRDefault="00C71BC0" w:rsidP="00F26AB2">
      <w:pPr>
        <w:pStyle w:val="NoSpacing"/>
        <w:ind w:left="720"/>
        <w:rPr>
          <w:rFonts w:ascii="Cambria" w:hAnsi="Cambria"/>
          <w:i/>
          <w:sz w:val="20"/>
          <w:szCs w:val="20"/>
          <w:lang w:eastAsia="lt-LT"/>
        </w:rPr>
      </w:pPr>
      <w:r w:rsidRPr="00F26AB2">
        <w:rPr>
          <w:rFonts w:ascii="Cambria" w:hAnsi="Cambria"/>
          <w:i/>
          <w:sz w:val="20"/>
          <w:szCs w:val="20"/>
          <w:lang w:eastAsia="lt-LT"/>
        </w:rPr>
        <w:t>5.1</w:t>
      </w:r>
      <w:r w:rsidRPr="00F26AB2">
        <w:rPr>
          <w:rFonts w:ascii="Cambria" w:hAnsi="Cambria"/>
          <w:sz w:val="20"/>
          <w:szCs w:val="20"/>
          <w:lang w:eastAsia="lt-LT"/>
        </w:rPr>
        <w:t xml:space="preserve"> </w:t>
      </w:r>
      <w:r w:rsidR="00253220" w:rsidRPr="00E92B13">
        <w:rPr>
          <w:rFonts w:ascii="Cambria" w:hAnsi="Cambria"/>
          <w:i/>
          <w:sz w:val="20"/>
          <w:szCs w:val="20"/>
        </w:rPr>
        <w:t>Gaminiai turi būti pagaminti iš perdirbamų arba mažai aplinką veikiančių medžiagų.</w:t>
      </w:r>
    </w:p>
    <w:p w14:paraId="19BB991A" w14:textId="77777777" w:rsidR="00253220" w:rsidRPr="00E92B13" w:rsidRDefault="00C71BC0" w:rsidP="00F26AB2">
      <w:pPr>
        <w:pStyle w:val="NoSpacing"/>
        <w:ind w:left="720"/>
        <w:rPr>
          <w:rFonts w:ascii="Cambria" w:hAnsi="Cambria"/>
          <w:i/>
          <w:sz w:val="20"/>
          <w:szCs w:val="20"/>
          <w:lang w:eastAsia="lt-LT"/>
        </w:rPr>
      </w:pPr>
      <w:r w:rsidRPr="00E92B13">
        <w:rPr>
          <w:rFonts w:ascii="Cambria" w:hAnsi="Cambria"/>
          <w:i/>
          <w:sz w:val="20"/>
          <w:szCs w:val="20"/>
          <w:lang w:eastAsia="lt-LT"/>
        </w:rPr>
        <w:t xml:space="preserve">5.2 Žaliuzėse neturėtų būti pavojingų cheminių medžiagų, tokių </w:t>
      </w:r>
      <w:r w:rsidR="00253220" w:rsidRPr="00E92B13">
        <w:rPr>
          <w:rFonts w:ascii="Cambria" w:hAnsi="Cambria"/>
          <w:i/>
          <w:sz w:val="20"/>
          <w:szCs w:val="20"/>
          <w:lang w:eastAsia="lt-LT"/>
        </w:rPr>
        <w:t xml:space="preserve">kaip </w:t>
      </w:r>
      <w:proofErr w:type="spellStart"/>
      <w:r w:rsidR="00253220" w:rsidRPr="00E92B13">
        <w:rPr>
          <w:rFonts w:ascii="Cambria" w:hAnsi="Cambria"/>
          <w:i/>
          <w:sz w:val="20"/>
          <w:szCs w:val="20"/>
          <w:lang w:eastAsia="lt-LT"/>
        </w:rPr>
        <w:t>ftalatai</w:t>
      </w:r>
      <w:proofErr w:type="spellEnd"/>
      <w:r w:rsidR="00253220" w:rsidRPr="00E92B13">
        <w:rPr>
          <w:rFonts w:ascii="Cambria" w:hAnsi="Cambria"/>
          <w:i/>
          <w:sz w:val="20"/>
          <w:szCs w:val="20"/>
          <w:lang w:eastAsia="lt-LT"/>
        </w:rPr>
        <w:t xml:space="preserve"> ar sunkieji metalai.</w:t>
      </w:r>
    </w:p>
    <w:p w14:paraId="4CED345D" w14:textId="77777777" w:rsidR="00253220" w:rsidRPr="00E92B13" w:rsidRDefault="00253220" w:rsidP="00F26AB2">
      <w:pPr>
        <w:pStyle w:val="NoSpacing"/>
        <w:ind w:left="720"/>
        <w:rPr>
          <w:rFonts w:ascii="Cambria" w:hAnsi="Cambria"/>
          <w:i/>
          <w:sz w:val="20"/>
          <w:szCs w:val="20"/>
        </w:rPr>
      </w:pPr>
      <w:r w:rsidRPr="00E92B13">
        <w:rPr>
          <w:rFonts w:ascii="Cambria" w:hAnsi="Cambria"/>
          <w:i/>
          <w:sz w:val="20"/>
          <w:szCs w:val="20"/>
          <w:lang w:eastAsia="lt-LT"/>
        </w:rPr>
        <w:t xml:space="preserve">5.3 </w:t>
      </w:r>
      <w:r w:rsidRPr="00E92B13">
        <w:rPr>
          <w:rFonts w:ascii="Cambria" w:hAnsi="Cambria"/>
          <w:i/>
          <w:sz w:val="20"/>
          <w:szCs w:val="20"/>
        </w:rPr>
        <w:t xml:space="preserve">Žaliuzės ir </w:t>
      </w:r>
      <w:proofErr w:type="spellStart"/>
      <w:r w:rsidRPr="00E92B13">
        <w:rPr>
          <w:rFonts w:ascii="Cambria" w:hAnsi="Cambria"/>
          <w:i/>
          <w:sz w:val="20"/>
          <w:szCs w:val="20"/>
        </w:rPr>
        <w:t>roletai</w:t>
      </w:r>
      <w:proofErr w:type="spellEnd"/>
      <w:r w:rsidRPr="00E92B13">
        <w:rPr>
          <w:rFonts w:ascii="Cambria" w:hAnsi="Cambria"/>
          <w:i/>
          <w:sz w:val="20"/>
          <w:szCs w:val="20"/>
        </w:rPr>
        <w:t xml:space="preserve"> turėtų prisidėti prie energijos efektyvumo pastate, mažinant šilumos praradimą žiemą ir apsaugant nuo perteklinės sau</w:t>
      </w:r>
      <w:r w:rsidR="004B7818" w:rsidRPr="00E92B13">
        <w:rPr>
          <w:rFonts w:ascii="Cambria" w:hAnsi="Cambria"/>
          <w:i/>
          <w:sz w:val="20"/>
          <w:szCs w:val="20"/>
        </w:rPr>
        <w:t xml:space="preserve">lės kaitros </w:t>
      </w:r>
      <w:r w:rsidRPr="00E92B13">
        <w:rPr>
          <w:rFonts w:ascii="Cambria" w:hAnsi="Cambria"/>
          <w:i/>
          <w:sz w:val="20"/>
          <w:szCs w:val="20"/>
        </w:rPr>
        <w:t>vasarą.</w:t>
      </w:r>
    </w:p>
    <w:p w14:paraId="42FEBD49" w14:textId="77777777" w:rsidR="00C71BC0" w:rsidRPr="00E92B13" w:rsidRDefault="00433853" w:rsidP="00F26AB2">
      <w:pPr>
        <w:pStyle w:val="NoSpacing"/>
        <w:ind w:left="720"/>
        <w:rPr>
          <w:rFonts w:ascii="Cambria" w:hAnsi="Cambria"/>
          <w:i/>
          <w:sz w:val="20"/>
          <w:szCs w:val="20"/>
          <w:lang w:eastAsia="lt-LT"/>
        </w:rPr>
      </w:pPr>
      <w:r w:rsidRPr="00E92B13">
        <w:rPr>
          <w:rFonts w:ascii="Cambria" w:hAnsi="Cambria"/>
          <w:i/>
          <w:sz w:val="20"/>
          <w:szCs w:val="20"/>
          <w:lang w:eastAsia="lt-LT"/>
        </w:rPr>
        <w:t>5.4</w:t>
      </w:r>
      <w:r w:rsidR="00C71BC0" w:rsidRPr="00E92B13">
        <w:rPr>
          <w:rFonts w:ascii="Cambria" w:hAnsi="Cambria"/>
          <w:i/>
          <w:sz w:val="20"/>
          <w:szCs w:val="20"/>
          <w:lang w:eastAsia="lt-LT"/>
        </w:rPr>
        <w:t xml:space="preserve"> Produktai turėtų būti patvarūs, lengvai prižiūrimi ir remontuojami, siekiant prailginti jų naudojimo trukmę ir sumažinti atliekų kiekį.​</w:t>
      </w:r>
    </w:p>
    <w:p w14:paraId="41B069C5" w14:textId="77777777" w:rsidR="00FF76CF" w:rsidRDefault="0032210D" w:rsidP="00FF76CF">
      <w:pPr>
        <w:pStyle w:val="NoSpacing"/>
        <w:numPr>
          <w:ilvl w:val="0"/>
          <w:numId w:val="10"/>
        </w:numPr>
        <w:rPr>
          <w:rFonts w:ascii="Cambria" w:hAnsi="Cambria"/>
          <w:sz w:val="20"/>
          <w:szCs w:val="20"/>
        </w:rPr>
      </w:pPr>
      <w:r w:rsidRPr="00F26AB2">
        <w:rPr>
          <w:rFonts w:ascii="Cambria" w:hAnsi="Cambria"/>
          <w:sz w:val="20"/>
          <w:szCs w:val="20"/>
        </w:rPr>
        <w:t xml:space="preserve">Grafoje „Siūloma techninė charakteristika, gamintojas“, turi būti nurodytos tikslūs ir konkretūs siūlomos prekės duomenys, nepaliekant lentelėje pateiktų dydžių reikšmių </w:t>
      </w:r>
      <w:proofErr w:type="spellStart"/>
      <w:r w:rsidRPr="00F26AB2">
        <w:rPr>
          <w:rFonts w:ascii="Cambria" w:hAnsi="Cambria"/>
          <w:sz w:val="20"/>
          <w:szCs w:val="20"/>
        </w:rPr>
        <w:t>tolerancijų</w:t>
      </w:r>
      <w:proofErr w:type="spellEnd"/>
      <w:r w:rsidRPr="00F26AB2">
        <w:rPr>
          <w:rFonts w:ascii="Cambria" w:hAnsi="Cambria"/>
          <w:sz w:val="20"/>
          <w:szCs w:val="20"/>
        </w:rPr>
        <w:t xml:space="preserve"> ir tokių reikšmių, kaip „lygiavertė“, „atitinka“ ir pan.</w:t>
      </w:r>
    </w:p>
    <w:p w14:paraId="27D672A6" w14:textId="77777777" w:rsidR="00FF76CF" w:rsidRDefault="00FF76CF" w:rsidP="00FF76CF">
      <w:pPr>
        <w:pStyle w:val="NoSpacing"/>
        <w:ind w:left="720"/>
        <w:rPr>
          <w:rFonts w:ascii="Cambria" w:hAnsi="Cambria"/>
          <w:sz w:val="20"/>
          <w:szCs w:val="20"/>
        </w:rPr>
      </w:pPr>
    </w:p>
    <w:p w14:paraId="68F91A1A" w14:textId="77777777" w:rsidR="00FF76CF" w:rsidRDefault="00FF76CF" w:rsidP="00FF76CF">
      <w:pPr>
        <w:pStyle w:val="NoSpacing"/>
        <w:ind w:left="720"/>
        <w:rPr>
          <w:rFonts w:ascii="Cambria" w:hAnsi="Cambria"/>
          <w:sz w:val="20"/>
          <w:szCs w:val="20"/>
        </w:rPr>
      </w:pPr>
    </w:p>
    <w:p w14:paraId="376B4272" w14:textId="77777777" w:rsidR="00FF76CF" w:rsidRDefault="00FF76CF" w:rsidP="00FF76CF">
      <w:pPr>
        <w:pStyle w:val="NoSpacing"/>
        <w:ind w:left="720"/>
        <w:rPr>
          <w:rFonts w:ascii="Cambria" w:hAnsi="Cambria"/>
          <w:sz w:val="20"/>
          <w:szCs w:val="20"/>
        </w:rPr>
      </w:pPr>
    </w:p>
    <w:p w14:paraId="28E0D194" w14:textId="77777777" w:rsidR="002A75F3" w:rsidRPr="00FF76CF" w:rsidRDefault="004B7818" w:rsidP="00FF76CF">
      <w:pPr>
        <w:pStyle w:val="NoSpacing"/>
        <w:ind w:left="720"/>
        <w:jc w:val="center"/>
        <w:rPr>
          <w:rFonts w:ascii="Cambria" w:hAnsi="Cambria"/>
          <w:sz w:val="20"/>
          <w:szCs w:val="20"/>
        </w:rPr>
      </w:pPr>
      <w:r w:rsidRPr="00FF76CF">
        <w:rPr>
          <w:rFonts w:ascii="Cambria" w:hAnsi="Cambria"/>
          <w:sz w:val="20"/>
          <w:szCs w:val="20"/>
        </w:rPr>
        <w:t>_______________________________________</w:t>
      </w:r>
    </w:p>
    <w:sectPr w:rsidR="002A75F3" w:rsidRPr="00FF76CF" w:rsidSect="001A7BEA">
      <w:headerReference w:type="even" r:id="rId10"/>
      <w:headerReference w:type="default" r:id="rId11"/>
      <w:type w:val="continuous"/>
      <w:pgSz w:w="16838" w:h="11906" w:orient="landscape" w:code="9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78042" w14:textId="77777777" w:rsidR="00AD2ED0" w:rsidRDefault="00AD2ED0">
      <w:pPr>
        <w:spacing w:after="0" w:line="240" w:lineRule="auto"/>
      </w:pPr>
      <w:r>
        <w:separator/>
      </w:r>
    </w:p>
  </w:endnote>
  <w:endnote w:type="continuationSeparator" w:id="0">
    <w:p w14:paraId="5AF170DD" w14:textId="77777777" w:rsidR="00AD2ED0" w:rsidRDefault="00AD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F7BAB" w14:textId="77777777" w:rsidR="00AD2ED0" w:rsidRDefault="00AD2ED0">
      <w:pPr>
        <w:spacing w:after="0" w:line="240" w:lineRule="auto"/>
      </w:pPr>
      <w:r>
        <w:separator/>
      </w:r>
    </w:p>
  </w:footnote>
  <w:footnote w:type="continuationSeparator" w:id="0">
    <w:p w14:paraId="7B1EDABB" w14:textId="77777777" w:rsidR="00AD2ED0" w:rsidRDefault="00AD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421D3" w14:textId="77777777" w:rsidR="0049299A" w:rsidRDefault="0032210D" w:rsidP="00061E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C25BDF" w14:textId="77777777" w:rsidR="0049299A" w:rsidRDefault="00AD2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15C33" w14:textId="4EA8A76C" w:rsidR="0049299A" w:rsidRDefault="0032210D" w:rsidP="00061E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415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AAD1B7" w14:textId="77777777" w:rsidR="0049299A" w:rsidRDefault="00AD2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683E"/>
    <w:multiLevelType w:val="hybridMultilevel"/>
    <w:tmpl w:val="ACACF07E"/>
    <w:lvl w:ilvl="0" w:tplc="0BECA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53BD"/>
    <w:multiLevelType w:val="hybridMultilevel"/>
    <w:tmpl w:val="12BE67F6"/>
    <w:lvl w:ilvl="0" w:tplc="BD7A9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06269"/>
    <w:multiLevelType w:val="hybridMultilevel"/>
    <w:tmpl w:val="C78E1C28"/>
    <w:lvl w:ilvl="0" w:tplc="0BECA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049ED"/>
    <w:multiLevelType w:val="hybridMultilevel"/>
    <w:tmpl w:val="954AB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C72F9"/>
    <w:multiLevelType w:val="hybridMultilevel"/>
    <w:tmpl w:val="FA3C841A"/>
    <w:lvl w:ilvl="0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A88153C"/>
    <w:multiLevelType w:val="multilevel"/>
    <w:tmpl w:val="A8CC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8A5291"/>
    <w:multiLevelType w:val="multilevel"/>
    <w:tmpl w:val="9C38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86D1E"/>
    <w:multiLevelType w:val="hybridMultilevel"/>
    <w:tmpl w:val="F6E08B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93A36"/>
    <w:multiLevelType w:val="multilevel"/>
    <w:tmpl w:val="E6784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192E6D"/>
    <w:multiLevelType w:val="hybridMultilevel"/>
    <w:tmpl w:val="11ECD936"/>
    <w:lvl w:ilvl="0" w:tplc="FE084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0D"/>
    <w:rsid w:val="00065F6B"/>
    <w:rsid w:val="000E1106"/>
    <w:rsid w:val="001A6082"/>
    <w:rsid w:val="001A7BEA"/>
    <w:rsid w:val="001B19C7"/>
    <w:rsid w:val="00253220"/>
    <w:rsid w:val="00255DDF"/>
    <w:rsid w:val="00272605"/>
    <w:rsid w:val="002A3552"/>
    <w:rsid w:val="002A75F3"/>
    <w:rsid w:val="002B3C1A"/>
    <w:rsid w:val="0032210D"/>
    <w:rsid w:val="0032734C"/>
    <w:rsid w:val="0034281F"/>
    <w:rsid w:val="003E3A0C"/>
    <w:rsid w:val="00423B5E"/>
    <w:rsid w:val="00433853"/>
    <w:rsid w:val="004A5846"/>
    <w:rsid w:val="004A76A3"/>
    <w:rsid w:val="004B7818"/>
    <w:rsid w:val="00594CCC"/>
    <w:rsid w:val="00625AFB"/>
    <w:rsid w:val="006F5815"/>
    <w:rsid w:val="0072359A"/>
    <w:rsid w:val="007B2132"/>
    <w:rsid w:val="00816B03"/>
    <w:rsid w:val="008638EE"/>
    <w:rsid w:val="008D184D"/>
    <w:rsid w:val="008D7837"/>
    <w:rsid w:val="009307A3"/>
    <w:rsid w:val="00A0284B"/>
    <w:rsid w:val="00AD2ED0"/>
    <w:rsid w:val="00B62D16"/>
    <w:rsid w:val="00BB1F8B"/>
    <w:rsid w:val="00BD751B"/>
    <w:rsid w:val="00BE1768"/>
    <w:rsid w:val="00C71BC0"/>
    <w:rsid w:val="00C81A31"/>
    <w:rsid w:val="00C96783"/>
    <w:rsid w:val="00D0173E"/>
    <w:rsid w:val="00D12035"/>
    <w:rsid w:val="00E22DC9"/>
    <w:rsid w:val="00E34CE2"/>
    <w:rsid w:val="00E623BB"/>
    <w:rsid w:val="00E92B13"/>
    <w:rsid w:val="00EC1C81"/>
    <w:rsid w:val="00F26AB2"/>
    <w:rsid w:val="00F846FB"/>
    <w:rsid w:val="00F849CA"/>
    <w:rsid w:val="00F85207"/>
    <w:rsid w:val="00FA415B"/>
    <w:rsid w:val="00FA4733"/>
    <w:rsid w:val="00FA6D9B"/>
    <w:rsid w:val="00FC048A"/>
    <w:rsid w:val="00FF6AB2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02AF"/>
  <w15:chartTrackingRefBased/>
  <w15:docId w15:val="{73298903-A6A2-4EE5-92D2-BF914775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221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210D"/>
  </w:style>
  <w:style w:type="character" w:styleId="PageNumber">
    <w:name w:val="page number"/>
    <w:basedOn w:val="DefaultParagraphFont"/>
    <w:rsid w:val="0032210D"/>
  </w:style>
  <w:style w:type="paragraph" w:styleId="ListParagraph">
    <w:name w:val="List Paragraph"/>
    <w:basedOn w:val="Normal"/>
    <w:uiPriority w:val="34"/>
    <w:qFormat/>
    <w:rsid w:val="0032210D"/>
    <w:pPr>
      <w:ind w:left="720"/>
      <w:contextualSpacing/>
    </w:pPr>
  </w:style>
  <w:style w:type="paragraph" w:styleId="NoSpacing">
    <w:name w:val="No Spacing"/>
    <w:uiPriority w:val="1"/>
    <w:qFormat/>
    <w:rsid w:val="0032210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4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342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FA08B5-906A-47FA-AC38-C33E3BD93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76F753-9601-42F2-809D-6E0DE1854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85E9F-04F7-42CC-954C-0F575F51BD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6264</Words>
  <Characters>3571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Kazakauskienė</dc:creator>
  <cp:keywords/>
  <dc:description/>
  <cp:lastModifiedBy>Lina Glebė</cp:lastModifiedBy>
  <cp:revision>6</cp:revision>
  <dcterms:created xsi:type="dcterms:W3CDTF">2025-05-20T10:21:00Z</dcterms:created>
  <dcterms:modified xsi:type="dcterms:W3CDTF">2025-06-13T11:34:00Z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