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2C41" w14:textId="4879B78A" w:rsidR="007559A9" w:rsidRPr="007559A9" w:rsidRDefault="007559A9" w:rsidP="007559A9">
      <w:pPr>
        <w:jc w:val="right"/>
        <w:rPr>
          <w:rFonts w:ascii="Times New Roman" w:eastAsia="Times New Roman" w:hAnsi="Times New Roman" w:cs="Times New Roman"/>
        </w:rPr>
      </w:pPr>
      <w:r w:rsidRPr="007559A9">
        <w:rPr>
          <w:rFonts w:ascii="Times New Roman" w:eastAsia="Times New Roman" w:hAnsi="Times New Roman" w:cs="Times New Roman"/>
        </w:rPr>
        <w:t>1 PRIEDAS</w:t>
      </w:r>
    </w:p>
    <w:p w14:paraId="3C895ABB" w14:textId="77777777" w:rsidR="003913C1" w:rsidRDefault="004D580B" w:rsidP="00391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D580B">
        <w:rPr>
          <w:rFonts w:ascii="Times New Roman" w:eastAsia="Times New Roman" w:hAnsi="Times New Roman" w:cs="Times New Roman"/>
          <w:b/>
          <w:bCs/>
        </w:rPr>
        <w:t>TRANSKRANIJINI</w:t>
      </w:r>
      <w:r w:rsidR="00801A74">
        <w:rPr>
          <w:rFonts w:ascii="Times New Roman" w:eastAsia="Times New Roman" w:hAnsi="Times New Roman" w:cs="Times New Roman"/>
          <w:b/>
          <w:bCs/>
        </w:rPr>
        <w:t>O</w:t>
      </w:r>
      <w:r w:rsidRPr="004D580B">
        <w:rPr>
          <w:rFonts w:ascii="Times New Roman" w:eastAsia="Times New Roman" w:hAnsi="Times New Roman" w:cs="Times New Roman"/>
          <w:b/>
          <w:bCs/>
        </w:rPr>
        <w:t xml:space="preserve"> DOPLERI</w:t>
      </w:r>
      <w:r w:rsidR="007C1D0E">
        <w:rPr>
          <w:rFonts w:ascii="Times New Roman" w:eastAsia="Times New Roman" w:hAnsi="Times New Roman" w:cs="Times New Roman"/>
          <w:b/>
          <w:bCs/>
        </w:rPr>
        <w:t>O</w:t>
      </w:r>
      <w:r w:rsidR="001D4B5E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321D7E8" w14:textId="7F6E10D9" w:rsidR="003D7CFD" w:rsidRDefault="004D580B" w:rsidP="00391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D580B">
        <w:rPr>
          <w:rFonts w:ascii="Times New Roman" w:eastAsia="Times New Roman" w:hAnsi="Times New Roman" w:cs="Times New Roman"/>
          <w:b/>
          <w:bCs/>
        </w:rPr>
        <w:t>TECHNINĖ SPECIFIKACIJA</w:t>
      </w:r>
    </w:p>
    <w:p w14:paraId="23A6AA4F" w14:textId="77777777" w:rsidR="003913C1" w:rsidRDefault="003913C1" w:rsidP="003913C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"/>
        <w:tblW w:w="1445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553"/>
        <w:gridCol w:w="4677"/>
        <w:gridCol w:w="6661"/>
      </w:tblGrid>
      <w:tr w:rsidR="00C35327" w:rsidRPr="003913C1" w14:paraId="659AE7F1" w14:textId="77777777" w:rsidTr="003913C1">
        <w:trPr>
          <w:trHeight w:val="630"/>
        </w:trPr>
        <w:tc>
          <w:tcPr>
            <w:tcW w:w="568" w:type="dxa"/>
            <w:shd w:val="clear" w:color="auto" w:fill="F2F2F2" w:themeFill="background1" w:themeFillShade="F2"/>
          </w:tcPr>
          <w:p w14:paraId="78E26D92" w14:textId="77777777" w:rsidR="004D580B" w:rsidRPr="003913C1" w:rsidRDefault="004D580B" w:rsidP="00C3532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</w:pPr>
          </w:p>
          <w:p w14:paraId="0B8DCC84" w14:textId="77777777" w:rsidR="004D580B" w:rsidRPr="003913C1" w:rsidRDefault="004D580B" w:rsidP="00C3532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</w:pPr>
          </w:p>
          <w:p w14:paraId="41842173" w14:textId="77777777" w:rsidR="004D580B" w:rsidRPr="003913C1" w:rsidRDefault="004D580B" w:rsidP="00C3532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</w:pPr>
          </w:p>
          <w:p w14:paraId="08883968" w14:textId="0503FD1E" w:rsidR="00C35327" w:rsidRPr="003913C1" w:rsidRDefault="00C35327" w:rsidP="004D58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</w:pPr>
            <w:r w:rsidRPr="003913C1"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  <w:t>Eil.</w:t>
            </w:r>
          </w:p>
          <w:p w14:paraId="297F9D55" w14:textId="72CCE0B0" w:rsidR="00C35327" w:rsidRPr="003913C1" w:rsidRDefault="00C35327" w:rsidP="00C3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913C1"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  <w:t>Nr.</w:t>
            </w:r>
          </w:p>
        </w:tc>
        <w:tc>
          <w:tcPr>
            <w:tcW w:w="2553" w:type="dxa"/>
            <w:shd w:val="clear" w:color="auto" w:fill="F2F2F2" w:themeFill="background1" w:themeFillShade="F2"/>
          </w:tcPr>
          <w:p w14:paraId="225020D3" w14:textId="77777777" w:rsidR="004D580B" w:rsidRPr="003913C1" w:rsidRDefault="004D580B" w:rsidP="00C3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0BF11356" w14:textId="77777777" w:rsidR="004D580B" w:rsidRPr="003913C1" w:rsidRDefault="004D580B" w:rsidP="00C3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4B25E990" w14:textId="77777777" w:rsidR="004D580B" w:rsidRPr="003913C1" w:rsidRDefault="004D580B" w:rsidP="00C3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68698890" w14:textId="77777777" w:rsidR="004D580B" w:rsidRPr="003913C1" w:rsidRDefault="004D580B" w:rsidP="00C3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6FD32056" w14:textId="77777777" w:rsidR="004D580B" w:rsidRPr="003913C1" w:rsidRDefault="004D580B" w:rsidP="00C3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55370E32" w14:textId="77777777" w:rsidR="004D580B" w:rsidRPr="003913C1" w:rsidRDefault="004D580B" w:rsidP="00C3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1FC398FA" w14:textId="118C7A28" w:rsidR="00C35327" w:rsidRPr="003913C1" w:rsidRDefault="00C35327" w:rsidP="00C3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913C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Parametrai</w:t>
            </w:r>
          </w:p>
        </w:tc>
        <w:tc>
          <w:tcPr>
            <w:tcW w:w="4677" w:type="dxa"/>
            <w:shd w:val="clear" w:color="auto" w:fill="F2F2F2" w:themeFill="background1" w:themeFillShade="F2"/>
          </w:tcPr>
          <w:p w14:paraId="2B791E7E" w14:textId="77777777" w:rsidR="004D580B" w:rsidRPr="003913C1" w:rsidRDefault="004D580B" w:rsidP="00C3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1A8C3722" w14:textId="77777777" w:rsidR="004D580B" w:rsidRPr="003913C1" w:rsidRDefault="004D580B" w:rsidP="00C3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7B71996F" w14:textId="77777777" w:rsidR="004D580B" w:rsidRPr="003913C1" w:rsidRDefault="004D580B" w:rsidP="00C3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4A08FF62" w14:textId="77777777" w:rsidR="004D580B" w:rsidRPr="003913C1" w:rsidRDefault="004D580B" w:rsidP="00C3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0EBF7422" w14:textId="77777777" w:rsidR="004D580B" w:rsidRPr="003913C1" w:rsidRDefault="004D580B" w:rsidP="00C3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1036AD1C" w14:textId="77777777" w:rsidR="004D580B" w:rsidRPr="003913C1" w:rsidRDefault="004D580B" w:rsidP="00C3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2DD07328" w14:textId="61D70062" w:rsidR="00C35327" w:rsidRPr="003913C1" w:rsidRDefault="00C35327" w:rsidP="00C3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913C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Reikalaujami techniniai parametrai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7B4B14" w14:textId="77777777" w:rsidR="00C35327" w:rsidRPr="003913C1" w:rsidRDefault="00C35327" w:rsidP="00C3532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</w:rPr>
            </w:pPr>
            <w:r w:rsidRPr="003913C1">
              <w:rPr>
                <w:rFonts w:ascii="Times New Roman" w:hAnsi="Times New Roman" w:cs="Times New Roman"/>
                <w:b/>
                <w:bCs/>
                <w:i/>
                <w:iCs/>
                <w:kern w:val="2"/>
              </w:rPr>
              <w:t>Siūlomi parametrai</w:t>
            </w:r>
          </w:p>
          <w:p w14:paraId="30DE922F" w14:textId="4FFC3327" w:rsidR="00C35327" w:rsidRPr="003913C1" w:rsidRDefault="00C35327" w:rsidP="00C3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913C1">
              <w:rPr>
                <w:rFonts w:ascii="Times New Roman" w:hAnsi="Times New Roman" w:cs="Times New Roman"/>
                <w:i/>
                <w:iCs/>
              </w:rPr>
              <w:t xml:space="preserve">Tiekėjas privalo patvirtinti atitikimą reikalavimui nurodydamas: taip/ne, ir kur to reikalaujama, įrašyti tikslią siūlomos prekės reikšmę. Taip pat </w:t>
            </w:r>
            <w:r w:rsidRPr="003913C1">
              <w:rPr>
                <w:rFonts w:ascii="Times New Roman" w:hAnsi="Times New Roman" w:cs="Times New Roman"/>
                <w:b/>
                <w:bCs/>
                <w:i/>
                <w:iCs/>
              </w:rPr>
              <w:t>turi pateikti prekės gamintojo techninę dokumentaciją (katalogus, brošiūras) ir/ar prekės gamintojo deklaracijas (jei gamintojo techninėje dokumentacijoje neišsamiai atsispindi siūlomos prekės atitikimas techninės specifikacijos reikalavimams)</w:t>
            </w:r>
            <w:r w:rsidRPr="003913C1">
              <w:rPr>
                <w:rFonts w:ascii="Times New Roman" w:hAnsi="Times New Roman" w:cs="Times New Roman"/>
                <w:i/>
                <w:iCs/>
              </w:rPr>
              <w:t xml:space="preserve"> arba nuorodas į viešai prieinamą prekės gamintojo interneto tinklalapį, kuriame Perkančioji organizacija galėtų patikrinti siūlomos prekės atitikimą techniniams reikalavimams</w:t>
            </w:r>
          </w:p>
        </w:tc>
      </w:tr>
      <w:tr w:rsidR="003913C1" w:rsidRPr="007C1D0E" w14:paraId="3032A985" w14:textId="77777777" w:rsidTr="003913C1">
        <w:trPr>
          <w:trHeight w:val="514"/>
        </w:trPr>
        <w:tc>
          <w:tcPr>
            <w:tcW w:w="568" w:type="dxa"/>
          </w:tcPr>
          <w:p w14:paraId="44BE5E93" w14:textId="169A512B" w:rsidR="003913C1" w:rsidRPr="003913C1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13C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7230" w:type="dxa"/>
            <w:gridSpan w:val="2"/>
          </w:tcPr>
          <w:p w14:paraId="5088BF1D" w14:textId="29FC2C5E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7C1D0E">
              <w:rPr>
                <w:rFonts w:ascii="Times New Roman" w:eastAsia="Times New Roman" w:hAnsi="Times New Roman" w:cs="Times New Roman"/>
                <w:b/>
                <w:bCs/>
              </w:rPr>
              <w:t>Transkranijinis</w:t>
            </w:r>
            <w:proofErr w:type="spellEnd"/>
            <w:r w:rsidRPr="007C1D0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C1D0E">
              <w:rPr>
                <w:rFonts w:ascii="Times New Roman" w:eastAsia="Times New Roman" w:hAnsi="Times New Roman" w:cs="Times New Roman"/>
                <w:b/>
                <w:bCs/>
              </w:rPr>
              <w:t>dopleris</w:t>
            </w:r>
            <w:proofErr w:type="spellEnd"/>
            <w:r w:rsidRPr="007C1D0E">
              <w:rPr>
                <w:rFonts w:ascii="Times New Roman" w:eastAsia="Times New Roman" w:hAnsi="Times New Roman" w:cs="Times New Roman"/>
                <w:b/>
                <w:bCs/>
              </w:rPr>
              <w:t xml:space="preserve"> su sektoriniu davikliu ir programine įranga, 1 vnt.</w:t>
            </w:r>
          </w:p>
        </w:tc>
        <w:tc>
          <w:tcPr>
            <w:tcW w:w="6661" w:type="dxa"/>
            <w:vAlign w:val="center"/>
          </w:tcPr>
          <w:p w14:paraId="29189C58" w14:textId="5A695F8D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hAnsi="Times New Roman" w:cs="Times New Roman"/>
                <w:bCs/>
                <w:color w:val="4C94D8"/>
                <w:lang w:val="lt-LT"/>
              </w:rPr>
              <w:t>[nurodyti modelį ir gamintoją]</w:t>
            </w:r>
          </w:p>
        </w:tc>
      </w:tr>
      <w:tr w:rsidR="003913C1" w:rsidRPr="007C1D0E" w14:paraId="632F4435" w14:textId="2150C75F" w:rsidTr="003913C1">
        <w:trPr>
          <w:trHeight w:val="1776"/>
        </w:trPr>
        <w:tc>
          <w:tcPr>
            <w:tcW w:w="568" w:type="dxa"/>
          </w:tcPr>
          <w:p w14:paraId="3464A318" w14:textId="637126A6" w:rsidR="003913C1" w:rsidRPr="007C1D0E" w:rsidRDefault="003913C1" w:rsidP="003913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7C1D0E">
              <w:rPr>
                <w:rFonts w:ascii="Times New Roman" w:eastAsia="Times New Roman" w:hAnsi="Times New Roman" w:cs="Times New Roman"/>
              </w:rPr>
              <w:t>.</w:t>
            </w:r>
          </w:p>
          <w:p w14:paraId="13D191F5" w14:textId="77777777" w:rsidR="003913C1" w:rsidRPr="007C1D0E" w:rsidRDefault="003913C1" w:rsidP="003913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53" w:type="dxa"/>
          </w:tcPr>
          <w:p w14:paraId="69D92D5B" w14:textId="77777777" w:rsidR="003913C1" w:rsidRPr="007C1D0E" w:rsidRDefault="003913C1" w:rsidP="003913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>Reikalavimai sektoriniam davikliui</w:t>
            </w:r>
          </w:p>
          <w:p w14:paraId="4BADF598" w14:textId="77777777" w:rsidR="003913C1" w:rsidRPr="007C1D0E" w:rsidRDefault="003913C1" w:rsidP="003913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77" w:type="dxa"/>
          </w:tcPr>
          <w:p w14:paraId="24EAC7CC" w14:textId="7C8A41CF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>1. Dažnio diapazonas  (ne siauresnis už nurodytą) – nuo 1 iki 5 MHz,</w:t>
            </w:r>
          </w:p>
          <w:p w14:paraId="5DFF9DE9" w14:textId="77777777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>2. Elementų skaičius ≥ 80,</w:t>
            </w:r>
          </w:p>
          <w:p w14:paraId="3259E92C" w14:textId="77777777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>3. Apžvalgos laukas ≥ 90°</w:t>
            </w:r>
          </w:p>
          <w:p w14:paraId="6BB39385" w14:textId="3E52FFF8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 xml:space="preserve">4. Monokristalinė arba </w:t>
            </w:r>
            <w:proofErr w:type="spellStart"/>
            <w:r w:rsidRPr="007C1D0E">
              <w:rPr>
                <w:rFonts w:ascii="Times New Roman" w:eastAsia="Times New Roman" w:hAnsi="Times New Roman" w:cs="Times New Roman"/>
              </w:rPr>
              <w:t>matricinė</w:t>
            </w:r>
            <w:proofErr w:type="spellEnd"/>
            <w:r w:rsidRPr="007C1D0E">
              <w:rPr>
                <w:rFonts w:ascii="Times New Roman" w:eastAsia="Times New Roman" w:hAnsi="Times New Roman" w:cs="Times New Roman"/>
              </w:rPr>
              <w:t>, arba lygiavertė technologija</w:t>
            </w:r>
          </w:p>
        </w:tc>
        <w:tc>
          <w:tcPr>
            <w:tcW w:w="6661" w:type="dxa"/>
          </w:tcPr>
          <w:p w14:paraId="2CBA2BFA" w14:textId="77777777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>Reikalavimai sektoriniam davikliui:</w:t>
            </w:r>
          </w:p>
          <w:p w14:paraId="676D6C66" w14:textId="5A2614D3" w:rsidR="003913C1" w:rsidRPr="007C1D0E" w:rsidRDefault="003913C1" w:rsidP="003913C1">
            <w:pPr>
              <w:spacing w:after="0" w:line="240" w:lineRule="auto"/>
              <w:rPr>
                <w:rFonts w:ascii="Times New Roman" w:hAnsi="Times New Roman" w:cs="Times New Roman"/>
                <w:color w:val="2C7FCE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 xml:space="preserve">1. Dažnio diapazonas  (ne siauresnis už nurodytą) – nuo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Pr="007C1D0E">
              <w:rPr>
                <w:rFonts w:ascii="Times New Roman" w:eastAsia="Times New Roman" w:hAnsi="Times New Roman" w:cs="Times New Roman"/>
              </w:rPr>
              <w:t xml:space="preserve"> iki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Pr="007C1D0E">
              <w:rPr>
                <w:rFonts w:ascii="Times New Roman" w:eastAsia="Times New Roman" w:hAnsi="Times New Roman" w:cs="Times New Roman"/>
              </w:rPr>
              <w:t xml:space="preserve"> MHz;</w:t>
            </w:r>
          </w:p>
          <w:p w14:paraId="77BCEBCD" w14:textId="6A2EC805" w:rsidR="003913C1" w:rsidRPr="007C1D0E" w:rsidRDefault="003913C1" w:rsidP="0039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 xml:space="preserve">2. Elementų skaičius: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konkrečiai];</w:t>
            </w:r>
          </w:p>
          <w:p w14:paraId="25AF21A4" w14:textId="3CB8D5A4" w:rsidR="003913C1" w:rsidRPr="007C1D0E" w:rsidRDefault="003913C1" w:rsidP="0039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 xml:space="preserve">3. Apžvalgos laukas: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konkrečiai];</w:t>
            </w:r>
          </w:p>
          <w:p w14:paraId="32FD579C" w14:textId="0F4B3E7B" w:rsidR="003913C1" w:rsidRPr="007C1D0E" w:rsidRDefault="003913C1" w:rsidP="003913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 xml:space="preserve">4. Monokristalinė arba </w:t>
            </w:r>
            <w:proofErr w:type="spellStart"/>
            <w:r w:rsidRPr="007C1D0E">
              <w:rPr>
                <w:rFonts w:ascii="Times New Roman" w:eastAsia="Times New Roman" w:hAnsi="Times New Roman" w:cs="Times New Roman"/>
              </w:rPr>
              <w:t>matricinė</w:t>
            </w:r>
            <w:proofErr w:type="spellEnd"/>
            <w:r w:rsidRPr="007C1D0E">
              <w:rPr>
                <w:rFonts w:ascii="Times New Roman" w:eastAsia="Times New Roman" w:hAnsi="Times New Roman" w:cs="Times New Roman"/>
              </w:rPr>
              <w:t xml:space="preserve">, arba lygiavertė technologija: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konkrečiai].</w:t>
            </w:r>
          </w:p>
        </w:tc>
      </w:tr>
      <w:tr w:rsidR="003913C1" w:rsidRPr="007C1D0E" w14:paraId="764B9617" w14:textId="32CE1FC9" w:rsidTr="003913C1">
        <w:trPr>
          <w:trHeight w:val="630"/>
        </w:trPr>
        <w:tc>
          <w:tcPr>
            <w:tcW w:w="568" w:type="dxa"/>
            <w:vAlign w:val="center"/>
          </w:tcPr>
          <w:p w14:paraId="07FA58CE" w14:textId="0D49CB70" w:rsidR="003913C1" w:rsidRPr="007C1D0E" w:rsidRDefault="003913C1" w:rsidP="003913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7C1D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53" w:type="dxa"/>
            <w:vAlign w:val="center"/>
          </w:tcPr>
          <w:p w14:paraId="2A2D98B3" w14:textId="77777777" w:rsidR="003913C1" w:rsidRPr="007C1D0E" w:rsidRDefault="003913C1" w:rsidP="003913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>Daviklio paskirtis</w:t>
            </w:r>
          </w:p>
        </w:tc>
        <w:tc>
          <w:tcPr>
            <w:tcW w:w="4677" w:type="dxa"/>
          </w:tcPr>
          <w:p w14:paraId="3247D7E8" w14:textId="77777777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>1. Kraujagyslių tyrimai;</w:t>
            </w:r>
          </w:p>
          <w:p w14:paraId="0932A0B3" w14:textId="77777777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7C1D0E">
              <w:rPr>
                <w:rFonts w:ascii="Times New Roman" w:eastAsia="Times New Roman" w:hAnsi="Times New Roman" w:cs="Times New Roman"/>
              </w:rPr>
              <w:t>Transkranijiniai</w:t>
            </w:r>
            <w:proofErr w:type="spellEnd"/>
            <w:r w:rsidRPr="007C1D0E">
              <w:rPr>
                <w:rFonts w:ascii="Times New Roman" w:eastAsia="Times New Roman" w:hAnsi="Times New Roman" w:cs="Times New Roman"/>
              </w:rPr>
              <w:t xml:space="preserve"> tyrimai;</w:t>
            </w:r>
          </w:p>
        </w:tc>
        <w:tc>
          <w:tcPr>
            <w:tcW w:w="6661" w:type="dxa"/>
          </w:tcPr>
          <w:p w14:paraId="79FB006A" w14:textId="77777777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>Daviklio paskirtis:</w:t>
            </w:r>
          </w:p>
          <w:p w14:paraId="6F95D42A" w14:textId="0ADD9F4D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 xml:space="preserve">1. Kraujagyslių tyrimai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taip/ne];</w:t>
            </w:r>
          </w:p>
          <w:p w14:paraId="28A63C4F" w14:textId="248BF51F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7C1D0E">
              <w:rPr>
                <w:rFonts w:ascii="Times New Roman" w:eastAsia="Times New Roman" w:hAnsi="Times New Roman" w:cs="Times New Roman"/>
              </w:rPr>
              <w:t>Transkranijiniai</w:t>
            </w:r>
            <w:proofErr w:type="spellEnd"/>
            <w:r w:rsidRPr="007C1D0E">
              <w:rPr>
                <w:rFonts w:ascii="Times New Roman" w:eastAsia="Times New Roman" w:hAnsi="Times New Roman" w:cs="Times New Roman"/>
              </w:rPr>
              <w:t xml:space="preserve"> tyrimai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taip/ne].</w:t>
            </w:r>
          </w:p>
        </w:tc>
      </w:tr>
      <w:tr w:rsidR="003913C1" w:rsidRPr="007C1D0E" w14:paraId="3A50EA2D" w14:textId="0C6477D2" w:rsidTr="003913C1">
        <w:trPr>
          <w:trHeight w:val="630"/>
        </w:trPr>
        <w:tc>
          <w:tcPr>
            <w:tcW w:w="568" w:type="dxa"/>
            <w:vAlign w:val="center"/>
          </w:tcPr>
          <w:p w14:paraId="4CC9F0DB" w14:textId="347386C2" w:rsidR="003913C1" w:rsidRPr="007C1D0E" w:rsidRDefault="003913C1" w:rsidP="003913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C1D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53" w:type="dxa"/>
            <w:vAlign w:val="center"/>
          </w:tcPr>
          <w:p w14:paraId="7A29EF2D" w14:textId="77777777" w:rsidR="003913C1" w:rsidRPr="007C1D0E" w:rsidRDefault="003913C1" w:rsidP="003913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>Daviklio palaikomi skenavimo režimai</w:t>
            </w:r>
          </w:p>
        </w:tc>
        <w:tc>
          <w:tcPr>
            <w:tcW w:w="4677" w:type="dxa"/>
          </w:tcPr>
          <w:p w14:paraId="35C98796" w14:textId="77777777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>1. 2D;</w:t>
            </w:r>
          </w:p>
          <w:p w14:paraId="0F63513F" w14:textId="77777777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>2. CW;</w:t>
            </w:r>
          </w:p>
          <w:p w14:paraId="7030A9DD" w14:textId="77777777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 xml:space="preserve">3. Reguliuojamo kampo pulsinės bangos </w:t>
            </w:r>
            <w:proofErr w:type="spellStart"/>
            <w:r w:rsidRPr="007C1D0E">
              <w:rPr>
                <w:rFonts w:ascii="Times New Roman" w:eastAsia="Times New Roman" w:hAnsi="Times New Roman" w:cs="Times New Roman"/>
              </w:rPr>
              <w:t>dopleris</w:t>
            </w:r>
            <w:proofErr w:type="spellEnd"/>
            <w:r w:rsidRPr="007C1D0E">
              <w:rPr>
                <w:rFonts w:ascii="Times New Roman" w:eastAsia="Times New Roman" w:hAnsi="Times New Roman" w:cs="Times New Roman"/>
              </w:rPr>
              <w:t>;</w:t>
            </w:r>
          </w:p>
          <w:p w14:paraId="15F1642C" w14:textId="77777777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>4. Didelio pulsų dažnio pasikartojimo režimas;</w:t>
            </w:r>
          </w:p>
          <w:p w14:paraId="689C9A37" w14:textId="77777777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 xml:space="preserve">5. Spalvinis </w:t>
            </w:r>
            <w:proofErr w:type="spellStart"/>
            <w:r w:rsidRPr="007C1D0E">
              <w:rPr>
                <w:rFonts w:ascii="Times New Roman" w:eastAsia="Times New Roman" w:hAnsi="Times New Roman" w:cs="Times New Roman"/>
              </w:rPr>
              <w:t>dopleris</w:t>
            </w:r>
            <w:proofErr w:type="spellEnd"/>
            <w:r w:rsidRPr="007C1D0E">
              <w:rPr>
                <w:rFonts w:ascii="Times New Roman" w:eastAsia="Times New Roman" w:hAnsi="Times New Roman" w:cs="Times New Roman"/>
              </w:rPr>
              <w:t>;</w:t>
            </w:r>
          </w:p>
          <w:p w14:paraId="5AD50C97" w14:textId="77777777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 xml:space="preserve">6. Audinių </w:t>
            </w:r>
            <w:proofErr w:type="spellStart"/>
            <w:r w:rsidRPr="007C1D0E">
              <w:rPr>
                <w:rFonts w:ascii="Times New Roman" w:eastAsia="Times New Roman" w:hAnsi="Times New Roman" w:cs="Times New Roman"/>
              </w:rPr>
              <w:t>dopleris</w:t>
            </w:r>
            <w:proofErr w:type="spellEnd"/>
            <w:r w:rsidRPr="007C1D0E"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6661" w:type="dxa"/>
          </w:tcPr>
          <w:p w14:paraId="1D22559A" w14:textId="77777777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>Daviklio palaikomi skenavimo režimai:</w:t>
            </w:r>
          </w:p>
          <w:p w14:paraId="685CAD3E" w14:textId="5F53AA47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 xml:space="preserve">1. 2D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taip/ne];</w:t>
            </w:r>
          </w:p>
          <w:p w14:paraId="466F126B" w14:textId="0738ABB4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 xml:space="preserve">2. CW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taip/ne];</w:t>
            </w:r>
          </w:p>
          <w:p w14:paraId="2E22661E" w14:textId="13257E66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 xml:space="preserve">3. Reguliuojamo kampo pulsinės bangos </w:t>
            </w:r>
            <w:proofErr w:type="spellStart"/>
            <w:r w:rsidRPr="007C1D0E">
              <w:rPr>
                <w:rFonts w:ascii="Times New Roman" w:eastAsia="Times New Roman" w:hAnsi="Times New Roman" w:cs="Times New Roman"/>
              </w:rPr>
              <w:t>dopleris</w:t>
            </w:r>
            <w:proofErr w:type="spellEnd"/>
            <w:r w:rsidRPr="007C1D0E">
              <w:rPr>
                <w:rFonts w:ascii="Times New Roman" w:eastAsia="Times New Roman" w:hAnsi="Times New Roman" w:cs="Times New Roman"/>
              </w:rPr>
              <w:t xml:space="preserve">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taip/ne];</w:t>
            </w:r>
          </w:p>
          <w:p w14:paraId="78B45F2B" w14:textId="131E83D1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 xml:space="preserve">4. Didelio pulsų dažnio pasikartojimo režimas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taip/ne];</w:t>
            </w:r>
          </w:p>
          <w:p w14:paraId="3AB3DF65" w14:textId="33EB87A7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 xml:space="preserve">5. Spalvinis </w:t>
            </w:r>
            <w:proofErr w:type="spellStart"/>
            <w:r w:rsidRPr="007C1D0E">
              <w:rPr>
                <w:rFonts w:ascii="Times New Roman" w:eastAsia="Times New Roman" w:hAnsi="Times New Roman" w:cs="Times New Roman"/>
              </w:rPr>
              <w:t>dopleris</w:t>
            </w:r>
            <w:proofErr w:type="spellEnd"/>
            <w:r w:rsidRPr="007C1D0E">
              <w:rPr>
                <w:rFonts w:ascii="Times New Roman" w:eastAsia="Times New Roman" w:hAnsi="Times New Roman" w:cs="Times New Roman"/>
              </w:rPr>
              <w:t xml:space="preserve">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taip/ne];</w:t>
            </w:r>
          </w:p>
          <w:p w14:paraId="055573F5" w14:textId="0955D5DA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 xml:space="preserve">6. Audinių </w:t>
            </w:r>
            <w:proofErr w:type="spellStart"/>
            <w:r w:rsidRPr="007C1D0E">
              <w:rPr>
                <w:rFonts w:ascii="Times New Roman" w:eastAsia="Times New Roman" w:hAnsi="Times New Roman" w:cs="Times New Roman"/>
              </w:rPr>
              <w:t>dopleris</w:t>
            </w:r>
            <w:proofErr w:type="spellEnd"/>
            <w:r w:rsidRPr="007C1D0E">
              <w:rPr>
                <w:rFonts w:ascii="Times New Roman" w:eastAsia="Times New Roman" w:hAnsi="Times New Roman" w:cs="Times New Roman"/>
              </w:rPr>
              <w:t xml:space="preserve">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taip/ne].</w:t>
            </w:r>
          </w:p>
        </w:tc>
      </w:tr>
      <w:tr w:rsidR="003913C1" w:rsidRPr="007C1D0E" w14:paraId="40435DCE" w14:textId="3A4E281D" w:rsidTr="003913C1">
        <w:trPr>
          <w:trHeight w:val="630"/>
        </w:trPr>
        <w:tc>
          <w:tcPr>
            <w:tcW w:w="568" w:type="dxa"/>
            <w:vAlign w:val="center"/>
          </w:tcPr>
          <w:p w14:paraId="4D349AB6" w14:textId="2337BB88" w:rsidR="003913C1" w:rsidRPr="007C1D0E" w:rsidRDefault="003913C1" w:rsidP="003913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7C1D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53" w:type="dxa"/>
            <w:vAlign w:val="center"/>
          </w:tcPr>
          <w:p w14:paraId="76201433" w14:textId="77777777" w:rsidR="003913C1" w:rsidRPr="007C1D0E" w:rsidRDefault="003913C1" w:rsidP="003913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>Programinė įranga</w:t>
            </w:r>
          </w:p>
        </w:tc>
        <w:tc>
          <w:tcPr>
            <w:tcW w:w="4677" w:type="dxa"/>
          </w:tcPr>
          <w:p w14:paraId="47B3F1CC" w14:textId="77777777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>1. Papildomai kartu su standartinėmis (</w:t>
            </w:r>
            <w:proofErr w:type="spellStart"/>
            <w:r w:rsidRPr="007C1D0E">
              <w:rPr>
                <w:rFonts w:ascii="Times New Roman" w:eastAsia="Times New Roman" w:hAnsi="Times New Roman" w:cs="Times New Roman"/>
              </w:rPr>
              <w:t>Autoscan</w:t>
            </w:r>
            <w:proofErr w:type="spellEnd"/>
            <w:r w:rsidRPr="007C1D0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C1D0E">
              <w:rPr>
                <w:rFonts w:ascii="Times New Roman" w:eastAsia="Times New Roman" w:hAnsi="Times New Roman" w:cs="Times New Roman"/>
              </w:rPr>
              <w:t>Adaptive</w:t>
            </w:r>
            <w:proofErr w:type="spellEnd"/>
            <w:r w:rsidRPr="007C1D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1D0E">
              <w:rPr>
                <w:rFonts w:ascii="Times New Roman" w:eastAsia="Times New Roman" w:hAnsi="Times New Roman" w:cs="Times New Roman"/>
              </w:rPr>
              <w:t>contrast</w:t>
            </w:r>
            <w:proofErr w:type="spellEnd"/>
            <w:r w:rsidRPr="007C1D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1D0E">
              <w:rPr>
                <w:rFonts w:ascii="Times New Roman" w:eastAsia="Times New Roman" w:hAnsi="Times New Roman" w:cs="Times New Roman"/>
              </w:rPr>
              <w:t>enhancement</w:t>
            </w:r>
            <w:proofErr w:type="spellEnd"/>
            <w:r w:rsidRPr="007C1D0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C1D0E">
              <w:rPr>
                <w:rFonts w:ascii="Times New Roman" w:eastAsia="Times New Roman" w:hAnsi="Times New Roman" w:cs="Times New Roman"/>
              </w:rPr>
              <w:t>Automatic</w:t>
            </w:r>
            <w:proofErr w:type="spellEnd"/>
            <w:r w:rsidRPr="007C1D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1D0E">
              <w:rPr>
                <w:rFonts w:ascii="Times New Roman" w:eastAsia="Times New Roman" w:hAnsi="Times New Roman" w:cs="Times New Roman"/>
              </w:rPr>
              <w:t>tissue</w:t>
            </w:r>
            <w:proofErr w:type="spellEnd"/>
            <w:r w:rsidRPr="007C1D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1D0E">
              <w:rPr>
                <w:rFonts w:ascii="Times New Roman" w:eastAsia="Times New Roman" w:hAnsi="Times New Roman" w:cs="Times New Roman"/>
              </w:rPr>
              <w:t>optimization</w:t>
            </w:r>
            <w:proofErr w:type="spellEnd"/>
            <w:r w:rsidRPr="007C1D0E">
              <w:rPr>
                <w:rFonts w:ascii="Times New Roman" w:eastAsia="Times New Roman" w:hAnsi="Times New Roman" w:cs="Times New Roman"/>
              </w:rPr>
              <w:t>, Auto TEQ)   vaizdo apdorojimo programomis veikianti, kardiologiniams TTE ir TEE tyrimams specializuota signalo duomenų apdorojimo funkcija, kuri slopina trikdžių signalus ir sustiprina pageidaujamus miokardo ir kardiologinių struktūrų signalus.</w:t>
            </w:r>
          </w:p>
          <w:p w14:paraId="5D4FEFF5" w14:textId="77777777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 xml:space="preserve">2. Programinė įranga </w:t>
            </w:r>
            <w:proofErr w:type="spellStart"/>
            <w:r w:rsidRPr="007C1D0E">
              <w:rPr>
                <w:rFonts w:ascii="Times New Roman" w:eastAsia="Times New Roman" w:hAnsi="Times New Roman" w:cs="Times New Roman"/>
              </w:rPr>
              <w:t>transkranijinio</w:t>
            </w:r>
            <w:proofErr w:type="spellEnd"/>
            <w:r w:rsidRPr="007C1D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1D0E">
              <w:rPr>
                <w:rFonts w:ascii="Times New Roman" w:eastAsia="Times New Roman" w:hAnsi="Times New Roman" w:cs="Times New Roman"/>
              </w:rPr>
              <w:t>doplerio</w:t>
            </w:r>
            <w:proofErr w:type="spellEnd"/>
            <w:r w:rsidRPr="007C1D0E">
              <w:rPr>
                <w:rFonts w:ascii="Times New Roman" w:eastAsia="Times New Roman" w:hAnsi="Times New Roman" w:cs="Times New Roman"/>
              </w:rPr>
              <w:t xml:space="preserve"> tyrimams atlikti</w:t>
            </w:r>
          </w:p>
          <w:p w14:paraId="5EB56377" w14:textId="77777777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>3. Programinė įranga kontrastiniams tyrimams atlikti</w:t>
            </w:r>
          </w:p>
          <w:p w14:paraId="6FB5C7C9" w14:textId="77777777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 xml:space="preserve">4. Siūlomas daviklis turi būti suderinamas su vaizdo optimizavimo funkcija vieno mygtuko paspaudimu 2D ir </w:t>
            </w:r>
            <w:proofErr w:type="spellStart"/>
            <w:r w:rsidRPr="007C1D0E">
              <w:rPr>
                <w:rFonts w:ascii="Times New Roman" w:eastAsia="Times New Roman" w:hAnsi="Times New Roman" w:cs="Times New Roman"/>
              </w:rPr>
              <w:t>doplerio</w:t>
            </w:r>
            <w:proofErr w:type="spellEnd"/>
            <w:r w:rsidRPr="007C1D0E">
              <w:rPr>
                <w:rFonts w:ascii="Times New Roman" w:eastAsia="Times New Roman" w:hAnsi="Times New Roman" w:cs="Times New Roman"/>
              </w:rPr>
              <w:t xml:space="preserve"> režimuose,</w:t>
            </w:r>
          </w:p>
          <w:p w14:paraId="2BBE5804" w14:textId="77777777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>5. Siūlomas daviklis turi būti suderinamas su nuolatinio pilkosios skalės parametrų nustatymo realiu laiku, dinaminio stiprinimo kompensavimo kiekvienai skenavimo linijai 2D ir 3D režimuose funkcija</w:t>
            </w:r>
          </w:p>
        </w:tc>
        <w:tc>
          <w:tcPr>
            <w:tcW w:w="6661" w:type="dxa"/>
          </w:tcPr>
          <w:p w14:paraId="21919CB1" w14:textId="77777777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>Programinė įranga:</w:t>
            </w:r>
          </w:p>
          <w:p w14:paraId="15AA5599" w14:textId="50839AB4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>1. Papildomai kartu su standartinėmis (</w:t>
            </w:r>
            <w:proofErr w:type="spellStart"/>
            <w:r w:rsidRPr="007C1D0E">
              <w:rPr>
                <w:rFonts w:ascii="Times New Roman" w:eastAsia="Times New Roman" w:hAnsi="Times New Roman" w:cs="Times New Roman"/>
              </w:rPr>
              <w:t>Autoscan</w:t>
            </w:r>
            <w:proofErr w:type="spellEnd"/>
            <w:r w:rsidRPr="007C1D0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C1D0E">
              <w:rPr>
                <w:rFonts w:ascii="Times New Roman" w:eastAsia="Times New Roman" w:hAnsi="Times New Roman" w:cs="Times New Roman"/>
              </w:rPr>
              <w:t>Adaptive</w:t>
            </w:r>
            <w:proofErr w:type="spellEnd"/>
            <w:r w:rsidRPr="007C1D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1D0E">
              <w:rPr>
                <w:rFonts w:ascii="Times New Roman" w:eastAsia="Times New Roman" w:hAnsi="Times New Roman" w:cs="Times New Roman"/>
              </w:rPr>
              <w:t>contrast</w:t>
            </w:r>
            <w:proofErr w:type="spellEnd"/>
            <w:r w:rsidRPr="007C1D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1D0E">
              <w:rPr>
                <w:rFonts w:ascii="Times New Roman" w:eastAsia="Times New Roman" w:hAnsi="Times New Roman" w:cs="Times New Roman"/>
              </w:rPr>
              <w:t>enhancement</w:t>
            </w:r>
            <w:proofErr w:type="spellEnd"/>
            <w:r w:rsidRPr="007C1D0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C1D0E">
              <w:rPr>
                <w:rFonts w:ascii="Times New Roman" w:eastAsia="Times New Roman" w:hAnsi="Times New Roman" w:cs="Times New Roman"/>
              </w:rPr>
              <w:t>Automatic</w:t>
            </w:r>
            <w:proofErr w:type="spellEnd"/>
            <w:r w:rsidRPr="007C1D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1D0E">
              <w:rPr>
                <w:rFonts w:ascii="Times New Roman" w:eastAsia="Times New Roman" w:hAnsi="Times New Roman" w:cs="Times New Roman"/>
              </w:rPr>
              <w:t>tissue</w:t>
            </w:r>
            <w:proofErr w:type="spellEnd"/>
            <w:r w:rsidRPr="007C1D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1D0E">
              <w:rPr>
                <w:rFonts w:ascii="Times New Roman" w:eastAsia="Times New Roman" w:hAnsi="Times New Roman" w:cs="Times New Roman"/>
              </w:rPr>
              <w:t>optimization</w:t>
            </w:r>
            <w:proofErr w:type="spellEnd"/>
            <w:r w:rsidRPr="007C1D0E">
              <w:rPr>
                <w:rFonts w:ascii="Times New Roman" w:eastAsia="Times New Roman" w:hAnsi="Times New Roman" w:cs="Times New Roman"/>
              </w:rPr>
              <w:t xml:space="preserve">, Auto TEQ)   vaizdo apdorojimo programomis veikianti, kardiologiniams TTE ir TEE tyrimams specializuota signalo duomenų apdorojimo funkcija, kuri slopina trikdžių signalus ir sustiprina pageidaujamus miokardo ir kardiologinių struktūrų signalus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taip/ne];</w:t>
            </w:r>
          </w:p>
          <w:p w14:paraId="42A27E63" w14:textId="60942A35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 xml:space="preserve">2. Programinė įranga </w:t>
            </w:r>
            <w:proofErr w:type="spellStart"/>
            <w:r w:rsidRPr="007C1D0E">
              <w:rPr>
                <w:rFonts w:ascii="Times New Roman" w:eastAsia="Times New Roman" w:hAnsi="Times New Roman" w:cs="Times New Roman"/>
              </w:rPr>
              <w:t>transkranijinio</w:t>
            </w:r>
            <w:proofErr w:type="spellEnd"/>
            <w:r w:rsidRPr="007C1D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1D0E">
              <w:rPr>
                <w:rFonts w:ascii="Times New Roman" w:eastAsia="Times New Roman" w:hAnsi="Times New Roman" w:cs="Times New Roman"/>
              </w:rPr>
              <w:t>doplerio</w:t>
            </w:r>
            <w:proofErr w:type="spellEnd"/>
            <w:r w:rsidRPr="007C1D0E">
              <w:rPr>
                <w:rFonts w:ascii="Times New Roman" w:eastAsia="Times New Roman" w:hAnsi="Times New Roman" w:cs="Times New Roman"/>
              </w:rPr>
              <w:t xml:space="preserve"> tyrimams atlikti: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taip/ne];</w:t>
            </w:r>
          </w:p>
          <w:p w14:paraId="6ED77175" w14:textId="2F241AF5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 xml:space="preserve">3. Programinė įranga kontrastiniams tyrimams atlikti: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taip/ne];</w:t>
            </w:r>
          </w:p>
          <w:p w14:paraId="5A287902" w14:textId="172AEB78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 xml:space="preserve">4. Siūlomas daviklis turi būti suderinamas su vaizdo optimizavimo funkcija vieno mygtuko paspaudimu 2D ir </w:t>
            </w:r>
            <w:proofErr w:type="spellStart"/>
            <w:r w:rsidRPr="007C1D0E">
              <w:rPr>
                <w:rFonts w:ascii="Times New Roman" w:eastAsia="Times New Roman" w:hAnsi="Times New Roman" w:cs="Times New Roman"/>
              </w:rPr>
              <w:t>doplerio</w:t>
            </w:r>
            <w:proofErr w:type="spellEnd"/>
            <w:r w:rsidRPr="007C1D0E">
              <w:rPr>
                <w:rFonts w:ascii="Times New Roman" w:eastAsia="Times New Roman" w:hAnsi="Times New Roman" w:cs="Times New Roman"/>
              </w:rPr>
              <w:t xml:space="preserve"> režimuose: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taip/ne];</w:t>
            </w:r>
          </w:p>
          <w:p w14:paraId="6365BD85" w14:textId="6498127D" w:rsidR="003913C1" w:rsidRPr="007C1D0E" w:rsidRDefault="003913C1" w:rsidP="0039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 xml:space="preserve">5. Siūlomas daviklis turi būti suderinamas su nuolatinio pilkosios skalės parametrų nustatymo realiu laiku, dinaminio stiprinimo kompensavimo kiekvienai skenavimo linijai 2D ir 3D režimuose funkcija: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taip/ne].</w:t>
            </w:r>
          </w:p>
        </w:tc>
      </w:tr>
      <w:tr w:rsidR="003913C1" w:rsidRPr="007C1D0E" w14:paraId="25558562" w14:textId="5124811D" w:rsidTr="003913C1">
        <w:trPr>
          <w:trHeight w:val="369"/>
        </w:trPr>
        <w:tc>
          <w:tcPr>
            <w:tcW w:w="568" w:type="dxa"/>
            <w:vAlign w:val="center"/>
          </w:tcPr>
          <w:p w14:paraId="73728532" w14:textId="35820725" w:rsidR="003913C1" w:rsidRPr="007C1D0E" w:rsidRDefault="003913C1" w:rsidP="003913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7C1D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53" w:type="dxa"/>
            <w:vAlign w:val="center"/>
          </w:tcPr>
          <w:p w14:paraId="0B6CB572" w14:textId="77777777" w:rsidR="003913C1" w:rsidRPr="007C1D0E" w:rsidRDefault="003913C1" w:rsidP="003913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>Garantija</w:t>
            </w:r>
          </w:p>
        </w:tc>
        <w:tc>
          <w:tcPr>
            <w:tcW w:w="4677" w:type="dxa"/>
            <w:vAlign w:val="center"/>
          </w:tcPr>
          <w:p w14:paraId="647987A4" w14:textId="22655F89" w:rsidR="003913C1" w:rsidRPr="007C1D0E" w:rsidRDefault="003913C1" w:rsidP="003913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>≥ 24 mėnesiai</w:t>
            </w:r>
          </w:p>
        </w:tc>
        <w:tc>
          <w:tcPr>
            <w:tcW w:w="6661" w:type="dxa"/>
          </w:tcPr>
          <w:p w14:paraId="007A21A9" w14:textId="66814851" w:rsidR="003913C1" w:rsidRPr="007C1D0E" w:rsidRDefault="003913C1" w:rsidP="003913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1D0E">
              <w:rPr>
                <w:rFonts w:ascii="Times New Roman" w:eastAsia="Times New Roman" w:hAnsi="Times New Roman" w:cs="Times New Roman"/>
              </w:rPr>
              <w:t>Garantija:</w:t>
            </w:r>
            <w:r w:rsidRPr="007C1D0E">
              <w:rPr>
                <w:rFonts w:ascii="Times New Roman" w:hAnsi="Times New Roman" w:cs="Times New Roman"/>
                <w:color w:val="2C7FCE"/>
              </w:rPr>
              <w:t xml:space="preserve">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Pr="007C1D0E">
              <w:rPr>
                <w:rFonts w:ascii="Times New Roman" w:hAnsi="Times New Roman" w:cs="Times New Roman"/>
                <w:color w:val="2C7FCE"/>
              </w:rPr>
              <w:t xml:space="preserve"> </w:t>
            </w:r>
            <w:r w:rsidRPr="007C1D0E">
              <w:rPr>
                <w:rFonts w:ascii="Times New Roman" w:eastAsia="Times New Roman" w:hAnsi="Times New Roman" w:cs="Times New Roman"/>
              </w:rPr>
              <w:t>mėn.</w:t>
            </w:r>
          </w:p>
        </w:tc>
      </w:tr>
    </w:tbl>
    <w:p w14:paraId="5CEABC2B" w14:textId="5B0DFD0A" w:rsidR="003D7CFD" w:rsidRPr="007C1D0E" w:rsidRDefault="00A34626" w:rsidP="00A34626">
      <w:pPr>
        <w:jc w:val="center"/>
        <w:rPr>
          <w:rFonts w:ascii="Times New Roman" w:eastAsia="Times New Roman" w:hAnsi="Times New Roman" w:cs="Times New Roman"/>
        </w:rPr>
      </w:pPr>
      <w:r w:rsidRPr="007C1D0E">
        <w:rPr>
          <w:rFonts w:ascii="Times New Roman" w:eastAsia="Times New Roman" w:hAnsi="Times New Roman" w:cs="Times New Roman"/>
        </w:rPr>
        <w:t>_______________________________</w:t>
      </w:r>
    </w:p>
    <w:sectPr w:rsidR="003D7CFD" w:rsidRPr="007C1D0E" w:rsidSect="00C35327">
      <w:pgSz w:w="16838" w:h="11906" w:orient="landscape"/>
      <w:pgMar w:top="1440" w:right="1440" w:bottom="1440" w:left="1440" w:header="567" w:footer="567" w:gutter="0"/>
      <w:pgNumType w:start="1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FD"/>
    <w:rsid w:val="001D4B5E"/>
    <w:rsid w:val="003913C1"/>
    <w:rsid w:val="003D7CFD"/>
    <w:rsid w:val="004D580B"/>
    <w:rsid w:val="00595237"/>
    <w:rsid w:val="005A2C12"/>
    <w:rsid w:val="00614474"/>
    <w:rsid w:val="00646EF5"/>
    <w:rsid w:val="00735DA9"/>
    <w:rsid w:val="007559A9"/>
    <w:rsid w:val="007C1D0E"/>
    <w:rsid w:val="00801A74"/>
    <w:rsid w:val="008B31FF"/>
    <w:rsid w:val="008C7477"/>
    <w:rsid w:val="00A34626"/>
    <w:rsid w:val="00A8509B"/>
    <w:rsid w:val="00AA15FF"/>
    <w:rsid w:val="00AE075B"/>
    <w:rsid w:val="00C35327"/>
    <w:rsid w:val="00DD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3AE1"/>
  <w15:docId w15:val="{D46706F7-F893-4EA5-B1F4-C5FDD353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2484</Words>
  <Characters>1417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Inga Ruikienė</cp:lastModifiedBy>
  <cp:revision>16</cp:revision>
  <dcterms:created xsi:type="dcterms:W3CDTF">2025-06-13T08:04:00Z</dcterms:created>
  <dcterms:modified xsi:type="dcterms:W3CDTF">2025-06-13T11:44:00Z</dcterms:modified>
</cp:coreProperties>
</file>