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7B004A" w14:paraId="3E6A0EAB" w14:textId="77777777" w:rsidTr="001555AC">
        <w:trPr>
          <w:trHeight w:val="20"/>
        </w:trPr>
        <w:tc>
          <w:tcPr>
            <w:tcW w:w="5000" w:type="pct"/>
            <w:shd w:val="clear" w:color="auto" w:fill="FFFFCC"/>
          </w:tcPr>
          <w:p w14:paraId="518A36ED" w14:textId="5826DDC0" w:rsidR="00F372C9" w:rsidRPr="00D74648" w:rsidRDefault="000A39CC" w:rsidP="00F372C9">
            <w:pPr>
              <w:spacing w:line="252" w:lineRule="auto"/>
              <w:jc w:val="center"/>
              <w:rPr>
                <w:rFonts w:ascii="Times New Roman" w:hAnsi="Times New Roman" w:cs="Times New Roman"/>
                <w:b/>
                <w:bCs/>
                <w:sz w:val="24"/>
                <w:szCs w:val="24"/>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sidRPr="00D74648">
              <w:rPr>
                <w:rFonts w:ascii="Times New Roman" w:hAnsi="Times New Roman" w:cs="Times New Roman"/>
                <w:b/>
                <w:bCs/>
                <w:sz w:val="24"/>
                <w:szCs w:val="24"/>
              </w:rPr>
              <w:t>Dujų analizatoriai</w:t>
            </w:r>
          </w:p>
        </w:tc>
      </w:tr>
    </w:tbl>
    <w:bookmarkEnd w:id="0"/>
    <w:bookmarkEnd w:id="1"/>
    <w:bookmarkEnd w:id="2"/>
    <w:bookmarkEnd w:id="3"/>
    <w:bookmarkEnd w:id="4"/>
    <w:bookmarkEnd w:id="5"/>
    <w:bookmarkEnd w:id="6"/>
    <w:bookmarkEnd w:id="7"/>
    <w:bookmarkEnd w:id="8"/>
    <w:bookmarkEnd w:id="9"/>
    <w:bookmarkEnd w:id="10"/>
    <w:bookmarkEnd w:id="11"/>
    <w:bookmarkEnd w:id="12"/>
    <w:bookmarkEnd w:id="13"/>
    <w:p w14:paraId="6896C02B" w14:textId="2BC805C8" w:rsidR="00D74648" w:rsidRPr="00290389" w:rsidRDefault="00E64C28" w:rsidP="00E64C28">
      <w:pPr>
        <w:spacing w:after="0" w:line="240" w:lineRule="auto"/>
        <w:rPr>
          <w:rFonts w:ascii="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 xml:space="preserve">                                                               </w:t>
      </w:r>
      <w:r w:rsidR="00D74648" w:rsidRPr="00290389">
        <w:rPr>
          <w:rFonts w:ascii="Times New Roman" w:eastAsia="Times New Roman" w:hAnsi="Times New Roman" w:cs="Times New Roman"/>
          <w:b/>
          <w:color w:val="000000"/>
          <w:sz w:val="24"/>
          <w:szCs w:val="24"/>
          <w:lang w:eastAsia="lt-LT"/>
        </w:rPr>
        <w:t>DUJŲ ANALIZATORIŲ</w:t>
      </w:r>
    </w:p>
    <w:p w14:paraId="7A570FE1" w14:textId="77777777" w:rsidR="00D74648" w:rsidRPr="00290389" w:rsidRDefault="00D74648" w:rsidP="00D74648">
      <w:pPr>
        <w:tabs>
          <w:tab w:val="num" w:pos="851"/>
        </w:tabs>
        <w:spacing w:after="0" w:line="240" w:lineRule="auto"/>
        <w:jc w:val="center"/>
        <w:rPr>
          <w:rFonts w:ascii="Times New Roman" w:eastAsia="Calibri" w:hAnsi="Times New Roman" w:cs="Times New Roman"/>
          <w:b/>
          <w:sz w:val="24"/>
          <w:szCs w:val="24"/>
        </w:rPr>
      </w:pPr>
      <w:r w:rsidRPr="00290389">
        <w:rPr>
          <w:rFonts w:ascii="Times New Roman" w:eastAsia="Calibri" w:hAnsi="Times New Roman" w:cs="Times New Roman"/>
          <w:b/>
          <w:sz w:val="24"/>
          <w:szCs w:val="24"/>
        </w:rPr>
        <w:t xml:space="preserve">TECHNINĖ SPECIFIKACIJA </w:t>
      </w:r>
    </w:p>
    <w:p w14:paraId="790917E8" w14:textId="77777777" w:rsidR="00D74648" w:rsidRPr="00AF7A1B" w:rsidRDefault="00D74648" w:rsidP="00D74648">
      <w:pPr>
        <w:spacing w:after="0" w:line="240" w:lineRule="auto"/>
        <w:rPr>
          <w:rFonts w:ascii="Times New Roman" w:hAnsi="Times New Roman" w:cs="Times New Roman"/>
          <w:sz w:val="24"/>
          <w:szCs w:val="24"/>
        </w:rPr>
      </w:pPr>
    </w:p>
    <w:p w14:paraId="6CE71225" w14:textId="1D2A20AE" w:rsidR="00D74648" w:rsidRPr="004048B8" w:rsidRDefault="00D74648" w:rsidP="00D74648">
      <w:pPr>
        <w:pStyle w:val="NumberList"/>
        <w:numPr>
          <w:ilvl w:val="0"/>
          <w:numId w:val="48"/>
        </w:numPr>
        <w:ind w:left="0" w:firstLine="0"/>
        <w:rPr>
          <w:rFonts w:ascii="Times New Roman" w:hAnsi="Times New Roman"/>
          <w:szCs w:val="24"/>
          <w:lang w:val="lt-LT"/>
        </w:rPr>
      </w:pPr>
      <w:r w:rsidRPr="004048B8">
        <w:rPr>
          <w:rFonts w:ascii="Times New Roman" w:hAnsi="Times New Roman"/>
          <w:szCs w:val="24"/>
          <w:lang w:val="lt-LT"/>
        </w:rPr>
        <w:t xml:space="preserve">Ketinama įsigyti 11 (vienuolika) vnt. nešiojamus </w:t>
      </w:r>
      <w:proofErr w:type="spellStart"/>
      <w:r w:rsidRPr="004048B8">
        <w:rPr>
          <w:rFonts w:ascii="Times New Roman" w:hAnsi="Times New Roman"/>
          <w:szCs w:val="24"/>
          <w:lang w:val="lt-LT"/>
        </w:rPr>
        <w:t>multifunkcinus</w:t>
      </w:r>
      <w:proofErr w:type="spellEnd"/>
      <w:r w:rsidRPr="004048B8">
        <w:rPr>
          <w:rFonts w:ascii="Times New Roman" w:hAnsi="Times New Roman"/>
          <w:szCs w:val="24"/>
          <w:lang w:val="lt-LT"/>
        </w:rPr>
        <w:t xml:space="preserve"> </w:t>
      </w:r>
      <w:bookmarkStart w:id="15" w:name="_Hlk200612121"/>
      <w:r w:rsidRPr="004048B8">
        <w:rPr>
          <w:rFonts w:ascii="Times New Roman" w:hAnsi="Times New Roman"/>
          <w:szCs w:val="24"/>
          <w:lang w:val="lt-LT"/>
        </w:rPr>
        <w:t>dujų analizatorius</w:t>
      </w:r>
      <w:bookmarkEnd w:id="15"/>
      <w:r w:rsidR="009042E3" w:rsidRPr="004048B8">
        <w:rPr>
          <w:rFonts w:ascii="Times New Roman" w:hAnsi="Times New Roman"/>
          <w:szCs w:val="24"/>
          <w:lang w:val="lt-LT"/>
        </w:rPr>
        <w:t>, kurie turi atitikti</w:t>
      </w:r>
      <w:r w:rsidRPr="004048B8">
        <w:rPr>
          <w:rFonts w:ascii="Times New Roman" w:hAnsi="Times New Roman"/>
          <w:szCs w:val="24"/>
          <w:lang w:val="lt-LT"/>
        </w:rPr>
        <w:t xml:space="preserve">: </w:t>
      </w:r>
    </w:p>
    <w:p w14:paraId="77B000D0" w14:textId="77777777" w:rsidR="00D74648" w:rsidRPr="004048B8" w:rsidRDefault="00D74648" w:rsidP="00D74648">
      <w:pPr>
        <w:pStyle w:val="NumberList"/>
        <w:ind w:left="0" w:firstLine="360"/>
        <w:rPr>
          <w:rFonts w:ascii="Times New Roman" w:hAnsi="Times New Roman"/>
          <w:szCs w:val="24"/>
          <w:lang w:val="lt-LT"/>
        </w:rPr>
      </w:pPr>
      <w:r w:rsidRPr="004048B8">
        <w:rPr>
          <w:rFonts w:ascii="Times New Roman" w:hAnsi="Times New Roman"/>
          <w:szCs w:val="24"/>
          <w:lang w:val="lt-LT"/>
        </w:rPr>
        <w:t xml:space="preserve">1.1. </w:t>
      </w:r>
      <w:r w:rsidRPr="004048B8">
        <w:rPr>
          <w:rFonts w:ascii="Times New Roman" w:hAnsi="Times New Roman"/>
          <w:b/>
          <w:bCs/>
          <w:szCs w:val="24"/>
          <w:lang w:val="lt-LT"/>
        </w:rPr>
        <w:t>10 (dešimt) vnt. -</w:t>
      </w:r>
      <w:r w:rsidRPr="004048B8">
        <w:rPr>
          <w:rFonts w:ascii="Times New Roman" w:hAnsi="Times New Roman"/>
          <w:szCs w:val="24"/>
          <w:lang w:val="lt-LT"/>
        </w:rPr>
        <w:t xml:space="preserve"> analizatorius turi matuoti deguonies, vandenilio sulfido, anglies monoksido koncentraciją ir sprogių dujų iki </w:t>
      </w:r>
      <w:proofErr w:type="spellStart"/>
      <w:r w:rsidRPr="004048B8">
        <w:rPr>
          <w:rFonts w:ascii="Times New Roman" w:hAnsi="Times New Roman"/>
          <w:szCs w:val="24"/>
          <w:lang w:val="lt-LT"/>
        </w:rPr>
        <w:t>sprogiminę</w:t>
      </w:r>
      <w:proofErr w:type="spellEnd"/>
      <w:r w:rsidRPr="004048B8">
        <w:rPr>
          <w:rFonts w:ascii="Times New Roman" w:hAnsi="Times New Roman"/>
          <w:szCs w:val="24"/>
          <w:lang w:val="lt-LT"/>
        </w:rPr>
        <w:t xml:space="preserve"> koncentraciją lauke (aplinkos ore).</w:t>
      </w:r>
    </w:p>
    <w:p w14:paraId="361C10A4" w14:textId="77777777" w:rsidR="00D74648" w:rsidRPr="004048B8" w:rsidRDefault="00D74648" w:rsidP="00D74648">
      <w:pPr>
        <w:pStyle w:val="NumberList"/>
        <w:rPr>
          <w:rFonts w:ascii="Times New Roman" w:hAnsi="Times New Roman"/>
          <w:szCs w:val="24"/>
          <w:lang w:val="lt-LT"/>
        </w:rPr>
      </w:pPr>
      <w:r w:rsidRPr="004048B8">
        <w:rPr>
          <w:rFonts w:ascii="Times New Roman" w:hAnsi="Times New Roman"/>
          <w:szCs w:val="24"/>
          <w:lang w:val="lt-LT"/>
        </w:rPr>
        <w:t xml:space="preserve">       Reikalaujami sensorių matavimo diapazonai:</w:t>
      </w:r>
    </w:p>
    <w:p w14:paraId="6DB73EC3" w14:textId="77777777" w:rsidR="00D74648" w:rsidRPr="004048B8" w:rsidRDefault="00D74648" w:rsidP="00D74648">
      <w:pPr>
        <w:pStyle w:val="NumberList"/>
        <w:numPr>
          <w:ilvl w:val="0"/>
          <w:numId w:val="49"/>
        </w:numPr>
        <w:rPr>
          <w:rFonts w:ascii="Times New Roman" w:hAnsi="Times New Roman"/>
          <w:szCs w:val="24"/>
          <w:lang w:val="lt-LT"/>
        </w:rPr>
      </w:pPr>
      <w:r w:rsidRPr="004048B8">
        <w:rPr>
          <w:rFonts w:ascii="Times New Roman" w:hAnsi="Times New Roman"/>
          <w:szCs w:val="24"/>
          <w:lang w:val="lt-LT"/>
        </w:rPr>
        <w:t>LEL (</w:t>
      </w:r>
      <w:proofErr w:type="spellStart"/>
      <w:r w:rsidRPr="004048B8">
        <w:rPr>
          <w:rFonts w:ascii="Times New Roman" w:hAnsi="Times New Roman"/>
          <w:szCs w:val="24"/>
          <w:lang w:val="lt-LT"/>
        </w:rPr>
        <w:t>Methane</w:t>
      </w:r>
      <w:proofErr w:type="spellEnd"/>
      <w:r w:rsidRPr="004048B8">
        <w:rPr>
          <w:rFonts w:ascii="Times New Roman" w:hAnsi="Times New Roman"/>
          <w:szCs w:val="24"/>
          <w:lang w:val="lt-LT"/>
        </w:rPr>
        <w:t>) ne siauresniame diapazone kaip 0÷100 %;</w:t>
      </w:r>
    </w:p>
    <w:p w14:paraId="29EFC137" w14:textId="77777777" w:rsidR="00D74648" w:rsidRPr="004048B8" w:rsidRDefault="00D74648" w:rsidP="00D74648">
      <w:pPr>
        <w:pStyle w:val="NumberList"/>
        <w:numPr>
          <w:ilvl w:val="0"/>
          <w:numId w:val="49"/>
        </w:numPr>
        <w:rPr>
          <w:rFonts w:ascii="Times New Roman" w:hAnsi="Times New Roman"/>
          <w:szCs w:val="24"/>
          <w:lang w:val="lt-LT"/>
        </w:rPr>
      </w:pPr>
      <w:r w:rsidRPr="004048B8">
        <w:rPr>
          <w:rFonts w:ascii="Times New Roman" w:hAnsi="Times New Roman"/>
          <w:szCs w:val="24"/>
          <w:lang w:val="lt-LT"/>
        </w:rPr>
        <w:t>O</w:t>
      </w:r>
      <w:r w:rsidRPr="004048B8">
        <w:rPr>
          <w:rFonts w:ascii="Times New Roman" w:hAnsi="Times New Roman"/>
          <w:szCs w:val="24"/>
          <w:vertAlign w:val="subscript"/>
          <w:lang w:val="lt-LT"/>
        </w:rPr>
        <w:t>2</w:t>
      </w:r>
      <w:r w:rsidRPr="004048B8">
        <w:rPr>
          <w:rFonts w:ascii="Times New Roman" w:hAnsi="Times New Roman"/>
          <w:szCs w:val="24"/>
          <w:lang w:val="lt-LT"/>
        </w:rPr>
        <w:t xml:space="preserve"> ne siauresniame diapazone kaip </w:t>
      </w:r>
      <w:r w:rsidRPr="004048B8">
        <w:rPr>
          <w:rFonts w:ascii="Times New Roman" w:hAnsi="Times New Roman"/>
          <w:szCs w:val="24"/>
          <w:vertAlign w:val="subscript"/>
          <w:lang w:val="lt-LT"/>
        </w:rPr>
        <w:t xml:space="preserve"> </w:t>
      </w:r>
      <w:r w:rsidRPr="004048B8">
        <w:rPr>
          <w:rFonts w:ascii="Times New Roman" w:hAnsi="Times New Roman"/>
          <w:szCs w:val="24"/>
          <w:lang w:val="lt-LT"/>
        </w:rPr>
        <w:t>0÷30 %;</w:t>
      </w:r>
    </w:p>
    <w:p w14:paraId="6DD436EA" w14:textId="77777777" w:rsidR="00D74648" w:rsidRPr="004048B8" w:rsidRDefault="00D74648" w:rsidP="00D74648">
      <w:pPr>
        <w:pStyle w:val="NumberList"/>
        <w:numPr>
          <w:ilvl w:val="0"/>
          <w:numId w:val="49"/>
        </w:numPr>
        <w:rPr>
          <w:rFonts w:ascii="Times New Roman" w:hAnsi="Times New Roman"/>
          <w:szCs w:val="24"/>
          <w:lang w:val="lt-LT"/>
        </w:rPr>
      </w:pPr>
      <w:r w:rsidRPr="004048B8">
        <w:rPr>
          <w:rFonts w:ascii="Times New Roman" w:hAnsi="Times New Roman"/>
          <w:szCs w:val="24"/>
          <w:lang w:val="lt-LT"/>
        </w:rPr>
        <w:t>H</w:t>
      </w:r>
      <w:r w:rsidRPr="004048B8">
        <w:rPr>
          <w:rFonts w:ascii="Times New Roman" w:hAnsi="Times New Roman"/>
          <w:szCs w:val="24"/>
          <w:vertAlign w:val="subscript"/>
          <w:lang w:val="lt-LT"/>
        </w:rPr>
        <w:t>2</w:t>
      </w:r>
      <w:r w:rsidRPr="004048B8">
        <w:rPr>
          <w:rFonts w:ascii="Times New Roman" w:hAnsi="Times New Roman"/>
          <w:szCs w:val="24"/>
          <w:lang w:val="lt-LT"/>
        </w:rPr>
        <w:t xml:space="preserve">S ne siauresniame diapazone kaip 0÷500 </w:t>
      </w:r>
      <w:proofErr w:type="spellStart"/>
      <w:r w:rsidRPr="004048B8">
        <w:rPr>
          <w:rFonts w:ascii="Times New Roman" w:hAnsi="Times New Roman"/>
          <w:szCs w:val="24"/>
          <w:lang w:val="lt-LT"/>
        </w:rPr>
        <w:t>ppm</w:t>
      </w:r>
      <w:proofErr w:type="spellEnd"/>
      <w:r w:rsidRPr="004048B8">
        <w:rPr>
          <w:rFonts w:ascii="Times New Roman" w:hAnsi="Times New Roman"/>
          <w:szCs w:val="24"/>
          <w:lang w:val="lt-LT"/>
        </w:rPr>
        <w:t>;</w:t>
      </w:r>
    </w:p>
    <w:p w14:paraId="014BAA58" w14:textId="77777777" w:rsidR="00D74648" w:rsidRPr="004048B8" w:rsidRDefault="00D74648" w:rsidP="00D74648">
      <w:pPr>
        <w:pStyle w:val="NumberList"/>
        <w:numPr>
          <w:ilvl w:val="0"/>
          <w:numId w:val="49"/>
        </w:numPr>
        <w:rPr>
          <w:rFonts w:ascii="Times New Roman" w:hAnsi="Times New Roman"/>
          <w:szCs w:val="24"/>
          <w:lang w:val="lt-LT"/>
        </w:rPr>
      </w:pPr>
      <w:r w:rsidRPr="004048B8">
        <w:rPr>
          <w:rFonts w:ascii="Times New Roman" w:hAnsi="Times New Roman"/>
          <w:szCs w:val="24"/>
          <w:lang w:val="lt-LT"/>
        </w:rPr>
        <w:t xml:space="preserve">CO ne siauresniame diapazone kaip  0÷1000 </w:t>
      </w:r>
      <w:proofErr w:type="spellStart"/>
      <w:r w:rsidRPr="004048B8">
        <w:rPr>
          <w:rFonts w:ascii="Times New Roman" w:hAnsi="Times New Roman"/>
          <w:szCs w:val="24"/>
          <w:lang w:val="lt-LT"/>
        </w:rPr>
        <w:t>ppm</w:t>
      </w:r>
      <w:proofErr w:type="spellEnd"/>
      <w:r w:rsidRPr="004048B8">
        <w:rPr>
          <w:rFonts w:ascii="Times New Roman" w:hAnsi="Times New Roman"/>
          <w:szCs w:val="24"/>
          <w:lang w:val="lt-LT"/>
        </w:rPr>
        <w:t>.</w:t>
      </w:r>
    </w:p>
    <w:p w14:paraId="4ED2A4D8" w14:textId="77777777" w:rsidR="00D74648" w:rsidRPr="004048B8" w:rsidRDefault="00D74648" w:rsidP="00D74648">
      <w:pPr>
        <w:pStyle w:val="NumberList"/>
        <w:ind w:left="0" w:firstLine="0"/>
        <w:rPr>
          <w:rFonts w:ascii="Times New Roman" w:hAnsi="Times New Roman"/>
          <w:szCs w:val="24"/>
          <w:lang w:val="lt-LT"/>
        </w:rPr>
      </w:pPr>
      <w:r w:rsidRPr="004048B8">
        <w:rPr>
          <w:rFonts w:ascii="Times New Roman" w:hAnsi="Times New Roman"/>
          <w:szCs w:val="24"/>
          <w:lang w:val="lt-LT"/>
        </w:rPr>
        <w:t xml:space="preserve">       1.2. </w:t>
      </w:r>
      <w:r w:rsidRPr="004048B8">
        <w:rPr>
          <w:rFonts w:ascii="Times New Roman" w:hAnsi="Times New Roman"/>
          <w:b/>
          <w:bCs/>
          <w:szCs w:val="24"/>
          <w:lang w:val="lt-LT"/>
        </w:rPr>
        <w:t>1 (vienas) vnt. -</w:t>
      </w:r>
      <w:r w:rsidRPr="004048B8">
        <w:rPr>
          <w:rFonts w:ascii="Times New Roman" w:hAnsi="Times New Roman"/>
          <w:szCs w:val="24"/>
          <w:lang w:val="lt-LT"/>
        </w:rPr>
        <w:t xml:space="preserve"> analizatorius turi matuoti vandenilio koncentraciją lauke (aplinkos ore).</w:t>
      </w:r>
    </w:p>
    <w:p w14:paraId="020AD920" w14:textId="77777777" w:rsidR="00D74648" w:rsidRPr="004048B8" w:rsidRDefault="00D74648" w:rsidP="00D74648">
      <w:pPr>
        <w:pStyle w:val="NumberList"/>
        <w:ind w:left="0" w:firstLine="0"/>
        <w:rPr>
          <w:rFonts w:ascii="Times New Roman" w:hAnsi="Times New Roman"/>
          <w:szCs w:val="24"/>
          <w:lang w:val="lt-LT"/>
        </w:rPr>
      </w:pPr>
      <w:r w:rsidRPr="004048B8">
        <w:rPr>
          <w:rFonts w:ascii="Times New Roman" w:hAnsi="Times New Roman"/>
          <w:szCs w:val="24"/>
          <w:lang w:val="lt-LT"/>
        </w:rPr>
        <w:t xml:space="preserve">             Reikalaujami sensorių matavimo diapazonai:</w:t>
      </w:r>
    </w:p>
    <w:p w14:paraId="753859B8" w14:textId="77777777" w:rsidR="00D74648" w:rsidRPr="004048B8" w:rsidRDefault="00D74648" w:rsidP="00D74648">
      <w:pPr>
        <w:pStyle w:val="NumberList"/>
        <w:numPr>
          <w:ilvl w:val="0"/>
          <w:numId w:val="49"/>
        </w:numPr>
        <w:rPr>
          <w:rFonts w:ascii="Times New Roman" w:hAnsi="Times New Roman"/>
          <w:szCs w:val="24"/>
          <w:lang w:val="lt-LT"/>
        </w:rPr>
      </w:pPr>
      <w:r w:rsidRPr="004048B8">
        <w:rPr>
          <w:rFonts w:ascii="Times New Roman" w:hAnsi="Times New Roman"/>
          <w:szCs w:val="24"/>
          <w:lang w:val="lt-LT"/>
        </w:rPr>
        <w:t xml:space="preserve">Vandenilio dujų matavimo diapazonas ne siauresniame diapazone kaip 0÷2000 </w:t>
      </w:r>
      <w:proofErr w:type="spellStart"/>
      <w:r w:rsidRPr="004048B8">
        <w:rPr>
          <w:rFonts w:ascii="Times New Roman" w:hAnsi="Times New Roman"/>
          <w:szCs w:val="24"/>
          <w:lang w:val="lt-LT"/>
        </w:rPr>
        <w:t>ppm</w:t>
      </w:r>
      <w:proofErr w:type="spellEnd"/>
      <w:r w:rsidRPr="004048B8">
        <w:rPr>
          <w:rFonts w:ascii="Times New Roman" w:hAnsi="Times New Roman"/>
          <w:szCs w:val="24"/>
          <w:lang w:val="lt-LT"/>
        </w:rPr>
        <w:t>;</w:t>
      </w:r>
    </w:p>
    <w:p w14:paraId="0DD6D16C" w14:textId="43915F52" w:rsidR="00D74648" w:rsidRPr="004048B8" w:rsidRDefault="00D74648" w:rsidP="00D74648">
      <w:pPr>
        <w:pStyle w:val="NumberList"/>
        <w:ind w:left="0" w:firstLine="0"/>
        <w:rPr>
          <w:rFonts w:ascii="Times New Roman" w:hAnsi="Times New Roman"/>
          <w:szCs w:val="24"/>
          <w:lang w:val="lt-LT"/>
        </w:rPr>
      </w:pPr>
      <w:r w:rsidRPr="004048B8">
        <w:rPr>
          <w:rFonts w:ascii="Times New Roman" w:hAnsi="Times New Roman"/>
          <w:szCs w:val="24"/>
          <w:lang w:val="lt-LT"/>
        </w:rPr>
        <w:t>2. Kalibruojam</w:t>
      </w:r>
      <w:r w:rsidR="009F6E18" w:rsidRPr="004048B8">
        <w:rPr>
          <w:rFonts w:ascii="Times New Roman" w:hAnsi="Times New Roman"/>
          <w:szCs w:val="24"/>
          <w:lang w:val="lt-LT"/>
        </w:rPr>
        <w:t>i</w:t>
      </w:r>
      <w:r w:rsidRPr="004048B8">
        <w:rPr>
          <w:rFonts w:ascii="Times New Roman" w:hAnsi="Times New Roman"/>
          <w:szCs w:val="24"/>
          <w:lang w:val="lt-LT"/>
        </w:rPr>
        <w:t xml:space="preserve"> metano - oro mišiniu.</w:t>
      </w:r>
    </w:p>
    <w:p w14:paraId="052CE418" w14:textId="77777777" w:rsidR="00D74648" w:rsidRPr="004048B8" w:rsidRDefault="00D74648" w:rsidP="00D74648">
      <w:pPr>
        <w:pStyle w:val="NumberList"/>
        <w:ind w:left="0" w:firstLine="0"/>
        <w:rPr>
          <w:rFonts w:ascii="Times New Roman" w:hAnsi="Times New Roman"/>
          <w:szCs w:val="24"/>
          <w:lang w:val="lt-LT"/>
        </w:rPr>
      </w:pPr>
      <w:r w:rsidRPr="004048B8">
        <w:rPr>
          <w:rFonts w:ascii="Times New Roman" w:hAnsi="Times New Roman"/>
          <w:szCs w:val="24"/>
          <w:lang w:val="lt-LT"/>
        </w:rPr>
        <w:t>3. Dujų analizatoriai turi turėti įmontuotą siurbliuką priverstiniam ėminio paėmimui. Siurbliukas turi būti įmontuotas prietaise ir neskirtas nuiminėti/uždėti kaskart prieš atliekant matavimus.</w:t>
      </w:r>
    </w:p>
    <w:p w14:paraId="2637279D" w14:textId="77777777" w:rsidR="00D74648" w:rsidRPr="004048B8" w:rsidRDefault="00D74648" w:rsidP="00D74648">
      <w:pPr>
        <w:pStyle w:val="NumberList"/>
        <w:ind w:left="0" w:firstLine="0"/>
        <w:rPr>
          <w:rFonts w:ascii="Times New Roman" w:hAnsi="Times New Roman"/>
          <w:szCs w:val="24"/>
          <w:lang w:val="lt-LT"/>
        </w:rPr>
      </w:pPr>
      <w:r w:rsidRPr="004048B8">
        <w:rPr>
          <w:rFonts w:ascii="Times New Roman" w:hAnsi="Times New Roman"/>
          <w:szCs w:val="24"/>
          <w:lang w:val="lt-LT"/>
        </w:rPr>
        <w:t>4. Dujų analizatoriais kontroliuojamos aplinkos temperatūra ne siauresniame diapazone kaip nuo –20 ÷ +50</w:t>
      </w:r>
      <w:r w:rsidRPr="004048B8">
        <w:rPr>
          <w:rFonts w:ascii="Times New Roman" w:hAnsi="Times New Roman"/>
          <w:szCs w:val="24"/>
          <w:vertAlign w:val="superscript"/>
          <w:lang w:val="lt-LT"/>
        </w:rPr>
        <w:t>O</w:t>
      </w:r>
      <w:r w:rsidRPr="004048B8">
        <w:rPr>
          <w:rFonts w:ascii="Times New Roman" w:hAnsi="Times New Roman"/>
          <w:szCs w:val="24"/>
          <w:lang w:val="lt-LT"/>
        </w:rPr>
        <w:t>C, santykinė drėgmė ne mažiau kaip iki 95 %.</w:t>
      </w:r>
    </w:p>
    <w:p w14:paraId="2CF78309" w14:textId="77777777" w:rsidR="00D74648" w:rsidRPr="004048B8" w:rsidRDefault="00D74648" w:rsidP="00D74648">
      <w:pPr>
        <w:pStyle w:val="NumberList"/>
        <w:ind w:left="0" w:firstLine="0"/>
        <w:rPr>
          <w:rFonts w:ascii="Times New Roman" w:hAnsi="Times New Roman"/>
          <w:szCs w:val="24"/>
          <w:lang w:val="lt-LT"/>
        </w:rPr>
      </w:pPr>
      <w:r w:rsidRPr="004048B8">
        <w:rPr>
          <w:rFonts w:ascii="Times New Roman" w:hAnsi="Times New Roman"/>
          <w:szCs w:val="24"/>
          <w:lang w:val="lt-LT"/>
        </w:rPr>
        <w:t>5. Dujų analizatoriai turi turėti vietinės indikacijos displėjų, šviesinę, garsinę bei vibracinę signalizaciją.</w:t>
      </w:r>
    </w:p>
    <w:p w14:paraId="2E6AB14F" w14:textId="77777777" w:rsidR="00D74648" w:rsidRPr="004048B8" w:rsidRDefault="00D74648" w:rsidP="00D74648">
      <w:pPr>
        <w:pStyle w:val="NumberList"/>
        <w:ind w:left="0" w:firstLine="0"/>
        <w:rPr>
          <w:rFonts w:ascii="Times New Roman" w:hAnsi="Times New Roman"/>
          <w:szCs w:val="24"/>
          <w:lang w:val="lt-LT"/>
        </w:rPr>
      </w:pPr>
      <w:r w:rsidRPr="004048B8">
        <w:rPr>
          <w:rFonts w:ascii="Times New Roman" w:hAnsi="Times New Roman"/>
          <w:szCs w:val="24"/>
          <w:lang w:val="lt-LT"/>
        </w:rPr>
        <w:t>6. Dujų analizatorių absoliutinė paklaida ne didesnė kaip -/+ 6% nuo matuojamos reikšmės.</w:t>
      </w:r>
    </w:p>
    <w:p w14:paraId="4E20F0A6" w14:textId="77777777" w:rsidR="00D74648" w:rsidRPr="004048B8" w:rsidRDefault="00D74648" w:rsidP="00D74648">
      <w:pPr>
        <w:pStyle w:val="NumberList"/>
        <w:ind w:left="0" w:firstLine="0"/>
        <w:rPr>
          <w:rFonts w:ascii="Times New Roman" w:hAnsi="Times New Roman"/>
          <w:szCs w:val="24"/>
          <w:lang w:val="lt-LT"/>
        </w:rPr>
      </w:pPr>
      <w:r w:rsidRPr="004048B8">
        <w:rPr>
          <w:rFonts w:ascii="Times New Roman" w:hAnsi="Times New Roman"/>
          <w:szCs w:val="24"/>
          <w:lang w:val="lt-LT"/>
        </w:rPr>
        <w:t>7. Dujų analizatorių suveikimo laikas ne didesnis 15s.</w:t>
      </w:r>
    </w:p>
    <w:p w14:paraId="60BCFF0C" w14:textId="77777777" w:rsidR="00D74648" w:rsidRPr="004048B8" w:rsidRDefault="00D74648" w:rsidP="00D74648">
      <w:pPr>
        <w:pStyle w:val="NumberList"/>
        <w:ind w:left="0" w:firstLine="0"/>
        <w:rPr>
          <w:rFonts w:ascii="Times New Roman" w:hAnsi="Times New Roman"/>
          <w:szCs w:val="24"/>
          <w:lang w:val="lt-LT"/>
        </w:rPr>
      </w:pPr>
      <w:r w:rsidRPr="004048B8">
        <w:rPr>
          <w:rFonts w:ascii="Times New Roman" w:hAnsi="Times New Roman"/>
          <w:szCs w:val="24"/>
          <w:lang w:val="lt-LT"/>
        </w:rPr>
        <w:t>8. Duju analizatoriaus metmenys ne didesni nei 200 mm x 80 mm x 60 mm.</w:t>
      </w:r>
    </w:p>
    <w:p w14:paraId="4D915B08" w14:textId="77777777" w:rsidR="00D74648" w:rsidRPr="004048B8" w:rsidRDefault="00D74648" w:rsidP="00D74648">
      <w:pPr>
        <w:pStyle w:val="NumberList"/>
        <w:ind w:left="0" w:firstLine="0"/>
        <w:rPr>
          <w:rFonts w:ascii="Times New Roman" w:hAnsi="Times New Roman"/>
          <w:szCs w:val="24"/>
          <w:lang w:val="lt-LT"/>
        </w:rPr>
      </w:pPr>
      <w:r w:rsidRPr="004048B8">
        <w:rPr>
          <w:rFonts w:ascii="Times New Roman" w:hAnsi="Times New Roman"/>
          <w:szCs w:val="24"/>
          <w:lang w:val="lt-LT"/>
        </w:rPr>
        <w:t>9. Dujų analizatoriaus su įmontuotų mėginių paėmimo siurbliu masė ne didesnė nei – 550 g.</w:t>
      </w:r>
    </w:p>
    <w:p w14:paraId="5C5E1C6B" w14:textId="77777777" w:rsidR="00D74648" w:rsidRPr="004048B8" w:rsidRDefault="00D74648" w:rsidP="00D74648">
      <w:pPr>
        <w:pStyle w:val="NumberList"/>
        <w:ind w:left="0" w:firstLine="0"/>
        <w:rPr>
          <w:rFonts w:ascii="Times New Roman" w:hAnsi="Times New Roman"/>
          <w:szCs w:val="24"/>
          <w:lang w:val="lt-LT"/>
        </w:rPr>
      </w:pPr>
      <w:r w:rsidRPr="004048B8">
        <w:rPr>
          <w:rFonts w:ascii="Times New Roman" w:hAnsi="Times New Roman"/>
          <w:szCs w:val="24"/>
          <w:lang w:val="lt-LT"/>
        </w:rPr>
        <w:t>10. Pristatymo metu, dujų analizatoriai turi būti įtraukti į Lietuvos matavimo priemonių valstybės registrą. Turi būti pateikta  su kiekvienu komplektu lietuvių kalba parengtas prietaiso aprašymas, techninės charakteristikas, vartotojams skirtas naudojimo ir priežiūros instrukcijas, kuriose būtų pateikta informacija, reikalinga, kad prietaisas teiktų tikslius matavimo rezultatus, būtų tinkamai ir saugiai naudojamas ir prižiūrimas.</w:t>
      </w:r>
    </w:p>
    <w:p w14:paraId="21751EE6" w14:textId="77777777" w:rsidR="00D74648" w:rsidRPr="004048B8" w:rsidRDefault="00D74648" w:rsidP="00D74648">
      <w:pPr>
        <w:pStyle w:val="DefaultText"/>
        <w:rPr>
          <w:rFonts w:ascii="Times New Roman" w:hAnsi="Times New Roman"/>
          <w:b/>
          <w:bCs/>
          <w:szCs w:val="24"/>
          <w:lang w:val="lt-LT"/>
        </w:rPr>
      </w:pPr>
      <w:r w:rsidRPr="004048B8">
        <w:rPr>
          <w:rFonts w:ascii="Times New Roman" w:hAnsi="Times New Roman"/>
          <w:szCs w:val="24"/>
          <w:lang w:val="lt-LT"/>
        </w:rPr>
        <w:t>11. Dujų analizatoriai turi būti tinkami naudoti sprogiose aplinkose (1 zona IIC T4).</w:t>
      </w:r>
    </w:p>
    <w:p w14:paraId="252F11DB" w14:textId="77777777" w:rsidR="00D74648" w:rsidRPr="004048B8" w:rsidRDefault="00D74648" w:rsidP="00D74648">
      <w:pPr>
        <w:pStyle w:val="DefaultText"/>
        <w:rPr>
          <w:rFonts w:ascii="Times New Roman" w:hAnsi="Times New Roman"/>
          <w:b/>
          <w:bCs/>
          <w:szCs w:val="24"/>
          <w:lang w:val="lt-LT"/>
        </w:rPr>
      </w:pPr>
      <w:r w:rsidRPr="004048B8">
        <w:rPr>
          <w:rFonts w:ascii="Times New Roman" w:hAnsi="Times New Roman"/>
          <w:szCs w:val="24"/>
          <w:lang w:val="lt-LT"/>
        </w:rPr>
        <w:t>12. Dujų analizatoriai</w:t>
      </w:r>
      <w:r w:rsidRPr="004048B8">
        <w:rPr>
          <w:rFonts w:ascii="Times New Roman" w:hAnsi="Times New Roman"/>
          <w:snapToGrid/>
          <w:szCs w:val="24"/>
          <w:lang w:val="lt-LT"/>
        </w:rPr>
        <w:t xml:space="preserve"> turi būti komplektuojami su šia papildoma įranga:</w:t>
      </w:r>
    </w:p>
    <w:p w14:paraId="19CCD028" w14:textId="77777777" w:rsidR="00D74648" w:rsidRPr="004048B8" w:rsidRDefault="00D74648" w:rsidP="00D74648">
      <w:pPr>
        <w:numPr>
          <w:ilvl w:val="0"/>
          <w:numId w:val="49"/>
        </w:numPr>
        <w:spacing w:after="0" w:line="240" w:lineRule="auto"/>
        <w:rPr>
          <w:rFonts w:ascii="Times New Roman" w:hAnsi="Times New Roman" w:cs="Times New Roman"/>
          <w:sz w:val="24"/>
          <w:szCs w:val="24"/>
        </w:rPr>
      </w:pPr>
      <w:r w:rsidRPr="004048B8">
        <w:rPr>
          <w:rFonts w:ascii="Times New Roman" w:hAnsi="Times New Roman" w:cs="Times New Roman"/>
          <w:sz w:val="24"/>
          <w:szCs w:val="24"/>
        </w:rPr>
        <w:t>Akumuliatorinis maitinimas, kuris užtikrintų ne trumpesnį kaip 20 val. nepertraukiamą prietaiso darbą;</w:t>
      </w:r>
    </w:p>
    <w:p w14:paraId="615A60F3" w14:textId="77777777" w:rsidR="00D74648" w:rsidRPr="004048B8" w:rsidRDefault="00D74648" w:rsidP="00D74648">
      <w:pPr>
        <w:numPr>
          <w:ilvl w:val="0"/>
          <w:numId w:val="49"/>
        </w:numPr>
        <w:spacing w:after="0" w:line="240" w:lineRule="auto"/>
        <w:rPr>
          <w:rFonts w:ascii="Times New Roman" w:hAnsi="Times New Roman" w:cs="Times New Roman"/>
          <w:sz w:val="24"/>
          <w:szCs w:val="24"/>
        </w:rPr>
      </w:pPr>
      <w:r w:rsidRPr="004048B8">
        <w:rPr>
          <w:rFonts w:ascii="Times New Roman" w:hAnsi="Times New Roman" w:cs="Times New Roman"/>
          <w:sz w:val="24"/>
          <w:szCs w:val="24"/>
        </w:rPr>
        <w:t>akumuliatorių įkroviklis (nuo 220 V, 50Hz tinklo);</w:t>
      </w:r>
    </w:p>
    <w:p w14:paraId="634642FC" w14:textId="47547D1F" w:rsidR="00D74648" w:rsidRPr="004048B8" w:rsidRDefault="00D74648" w:rsidP="00D74648">
      <w:pPr>
        <w:numPr>
          <w:ilvl w:val="0"/>
          <w:numId w:val="49"/>
        </w:numPr>
        <w:spacing w:after="0" w:line="240" w:lineRule="auto"/>
        <w:rPr>
          <w:rFonts w:ascii="Times New Roman" w:hAnsi="Times New Roman" w:cs="Times New Roman"/>
          <w:sz w:val="24"/>
          <w:szCs w:val="24"/>
        </w:rPr>
      </w:pPr>
      <w:r w:rsidRPr="004048B8">
        <w:rPr>
          <w:rFonts w:ascii="Times New Roman" w:hAnsi="Times New Roman" w:cs="Times New Roman"/>
          <w:sz w:val="24"/>
          <w:szCs w:val="24"/>
        </w:rPr>
        <w:t>prietaiso korpusas turi būti gumuotas arba silikoninis</w:t>
      </w:r>
      <w:r w:rsidR="00620F59" w:rsidRPr="004048B8">
        <w:rPr>
          <w:rFonts w:ascii="Times New Roman" w:hAnsi="Times New Roman" w:cs="Times New Roman"/>
          <w:sz w:val="24"/>
          <w:szCs w:val="24"/>
        </w:rPr>
        <w:t>, arba lygiavertės medžiagos,</w:t>
      </w:r>
      <w:r w:rsidRPr="004048B8">
        <w:rPr>
          <w:rFonts w:ascii="Times New Roman" w:hAnsi="Times New Roman" w:cs="Times New Roman"/>
          <w:sz w:val="24"/>
          <w:szCs w:val="24"/>
        </w:rPr>
        <w:t xml:space="preserve"> apsaugantis signalizatorių nuo smūgių ir drėgmės;</w:t>
      </w:r>
    </w:p>
    <w:p w14:paraId="1984AF4A" w14:textId="77777777" w:rsidR="00D74648" w:rsidRPr="004048B8" w:rsidRDefault="00D74648" w:rsidP="00D74648">
      <w:pPr>
        <w:spacing w:after="0" w:line="240" w:lineRule="auto"/>
        <w:rPr>
          <w:rFonts w:ascii="Times New Roman" w:hAnsi="Times New Roman" w:cs="Times New Roman"/>
          <w:sz w:val="24"/>
          <w:szCs w:val="24"/>
        </w:rPr>
      </w:pPr>
      <w:r w:rsidRPr="004048B8">
        <w:rPr>
          <w:rFonts w:ascii="Times New Roman" w:hAnsi="Times New Roman" w:cs="Times New Roman"/>
          <w:sz w:val="24"/>
          <w:szCs w:val="24"/>
        </w:rPr>
        <w:t xml:space="preserve">             -    mėginių paėmimo žarnelė ne trumpesnė nei 2,0 m su apsauginių filtrų komplektu, apsaugoti siurblį nuo dulkių bei vandens patiekimo į siurblį.</w:t>
      </w:r>
    </w:p>
    <w:p w14:paraId="12457963" w14:textId="77777777" w:rsidR="00D74648" w:rsidRPr="004048B8" w:rsidRDefault="00D74648" w:rsidP="00D74648">
      <w:pPr>
        <w:spacing w:after="0" w:line="240" w:lineRule="auto"/>
        <w:rPr>
          <w:rFonts w:ascii="Times New Roman" w:hAnsi="Times New Roman" w:cs="Times New Roman"/>
          <w:sz w:val="24"/>
          <w:szCs w:val="24"/>
        </w:rPr>
      </w:pPr>
      <w:r w:rsidRPr="004048B8">
        <w:rPr>
          <w:rFonts w:ascii="Times New Roman" w:hAnsi="Times New Roman" w:cs="Times New Roman"/>
          <w:sz w:val="24"/>
          <w:szCs w:val="24"/>
        </w:rPr>
        <w:t xml:space="preserve">13. Dujų analizatoriai turi būti komplektuojami su </w:t>
      </w:r>
      <w:proofErr w:type="spellStart"/>
      <w:r w:rsidRPr="004048B8">
        <w:rPr>
          <w:rFonts w:ascii="Times New Roman" w:hAnsi="Times New Roman" w:cs="Times New Roman"/>
          <w:sz w:val="24"/>
          <w:szCs w:val="24"/>
        </w:rPr>
        <w:t>kalibracine</w:t>
      </w:r>
      <w:proofErr w:type="spellEnd"/>
      <w:r w:rsidRPr="004048B8">
        <w:rPr>
          <w:rFonts w:ascii="Times New Roman" w:hAnsi="Times New Roman" w:cs="Times New Roman"/>
          <w:sz w:val="24"/>
          <w:szCs w:val="24"/>
        </w:rPr>
        <w:t xml:space="preserve"> stotele, duomenų iš dujų analizatoriaus nuskaitymui, bei periodiniam kalibravimui atlikti.</w:t>
      </w:r>
    </w:p>
    <w:p w14:paraId="7A28A2D9" w14:textId="674E7016" w:rsidR="00E619C7" w:rsidRPr="004048B8" w:rsidRDefault="00E619C7" w:rsidP="00D74648">
      <w:pPr>
        <w:spacing w:after="0" w:line="240" w:lineRule="auto"/>
        <w:rPr>
          <w:rFonts w:ascii="Times New Roman" w:hAnsi="Times New Roman" w:cs="Times New Roman"/>
          <w:sz w:val="24"/>
          <w:szCs w:val="24"/>
        </w:rPr>
      </w:pPr>
      <w:r w:rsidRPr="004048B8">
        <w:rPr>
          <w:rFonts w:ascii="Times New Roman" w:hAnsi="Times New Roman" w:cs="Times New Roman"/>
          <w:sz w:val="24"/>
          <w:szCs w:val="24"/>
        </w:rPr>
        <w:t>14.</w:t>
      </w:r>
      <w:r w:rsidRPr="004048B8">
        <w:rPr>
          <w:rFonts w:ascii="Times New Roman" w:hAnsi="Times New Roman"/>
          <w:szCs w:val="24"/>
        </w:rPr>
        <w:t xml:space="preserve"> </w:t>
      </w:r>
      <w:r w:rsidRPr="004048B8">
        <w:rPr>
          <w:rFonts w:ascii="Times New Roman" w:hAnsi="Times New Roman" w:cs="Times New Roman"/>
          <w:sz w:val="24"/>
          <w:szCs w:val="24"/>
        </w:rPr>
        <w:t>Dujų analizatoriai turi būti pagaminti ne anksčiau kaip 2025 m.</w:t>
      </w:r>
    </w:p>
    <w:p w14:paraId="0E4E73BB" w14:textId="3CA2017C" w:rsidR="00D74648" w:rsidRPr="004048B8" w:rsidRDefault="00D74648" w:rsidP="00D74648">
      <w:pPr>
        <w:pStyle w:val="Betarp"/>
        <w:rPr>
          <w:rFonts w:ascii="Times New Roman" w:hAnsi="Times New Roman" w:cs="Times New Roman"/>
          <w:sz w:val="24"/>
          <w:szCs w:val="24"/>
          <w:lang w:val="lt-LT"/>
        </w:rPr>
      </w:pPr>
      <w:r w:rsidRPr="004048B8">
        <w:rPr>
          <w:rFonts w:ascii="Times New Roman" w:hAnsi="Times New Roman" w:cs="Times New Roman"/>
          <w:sz w:val="24"/>
          <w:szCs w:val="24"/>
          <w:lang w:val="lt-LT"/>
        </w:rPr>
        <w:t>1</w:t>
      </w:r>
      <w:r w:rsidR="00E619C7" w:rsidRPr="004048B8">
        <w:rPr>
          <w:rFonts w:ascii="Times New Roman" w:hAnsi="Times New Roman" w:cs="Times New Roman"/>
          <w:sz w:val="24"/>
          <w:szCs w:val="24"/>
          <w:lang w:val="lt-LT"/>
        </w:rPr>
        <w:t>5</w:t>
      </w:r>
      <w:r w:rsidRPr="004048B8">
        <w:rPr>
          <w:rFonts w:ascii="Times New Roman" w:hAnsi="Times New Roman" w:cs="Times New Roman"/>
          <w:sz w:val="24"/>
          <w:szCs w:val="24"/>
          <w:lang w:val="lt-LT"/>
        </w:rPr>
        <w:t xml:space="preserve">. </w:t>
      </w:r>
      <w:r w:rsidR="00A1019E" w:rsidRPr="004048B8">
        <w:rPr>
          <w:rFonts w:ascii="Times New Roman" w:eastAsia="Times New Roman" w:hAnsi="Times New Roman" w:cs="Times New Roman"/>
          <w:sz w:val="24"/>
          <w:szCs w:val="24"/>
          <w:lang w:val="lt-LT"/>
        </w:rPr>
        <w:t xml:space="preserve">Tiekėjas, per </w:t>
      </w:r>
      <w:r w:rsidR="00A1019E" w:rsidRPr="004048B8">
        <w:rPr>
          <w:rFonts w:ascii="Times New Roman" w:eastAsia="Times New Roman" w:hAnsi="Times New Roman" w:cs="Times New Roman"/>
          <w:b/>
          <w:bCs/>
          <w:sz w:val="24"/>
          <w:szCs w:val="24"/>
          <w:lang w:val="lt-LT"/>
        </w:rPr>
        <w:t>ne vėliau kaip 10 darbo dienų</w:t>
      </w:r>
      <w:r w:rsidR="00A1019E" w:rsidRPr="004048B8">
        <w:rPr>
          <w:rFonts w:ascii="Times New Roman" w:eastAsia="Times New Roman" w:hAnsi="Times New Roman" w:cs="Times New Roman"/>
          <w:sz w:val="24"/>
          <w:szCs w:val="24"/>
          <w:lang w:val="lt-LT"/>
        </w:rPr>
        <w:t xml:space="preserve"> po dujų analizatorių perdavimo-priėmimo akto pasirašymo dienos, turės organizuoti valstybinės priešgaisrinės gelbėjimo tarnybos įstaigos, kurioje bus eksploatuojami dujų analizatoriai, adresu: </w:t>
      </w:r>
      <w:r w:rsidR="00A1019E" w:rsidRPr="004048B8">
        <w:rPr>
          <w:rFonts w:ascii="Times New Roman" w:eastAsia="Times New Roman" w:hAnsi="Times New Roman" w:cs="Times New Roman"/>
          <w:kern w:val="2"/>
          <w:sz w:val="24"/>
          <w:szCs w:val="24"/>
          <w:lang w:val="lt-LT"/>
        </w:rPr>
        <w:t>Mažeikių objektinė priešgaisrinė gelbėjimo valdyba, Mažeikių g. 75, Juodeikių k. LT-89543 Mažeikių r.</w:t>
      </w:r>
      <w:r w:rsidR="00A1019E" w:rsidRPr="004048B8">
        <w:rPr>
          <w:rFonts w:ascii="Times New Roman" w:eastAsia="Times New Roman" w:hAnsi="Times New Roman" w:cs="Times New Roman"/>
          <w:sz w:val="24"/>
          <w:szCs w:val="24"/>
          <w:lang w:val="lt-LT"/>
        </w:rPr>
        <w:t xml:space="preserve">, darbuotojų mokymą dirbti su dujų analizatoriais. Tikslus mokymų laikas bus aptartas dujų analizatorių perdavimo–priėmimo metu. </w:t>
      </w:r>
      <w:r w:rsidRPr="004048B8">
        <w:rPr>
          <w:rFonts w:ascii="Times New Roman" w:hAnsi="Times New Roman" w:cs="Times New Roman"/>
          <w:sz w:val="24"/>
          <w:szCs w:val="24"/>
          <w:lang w:val="lt-LT"/>
        </w:rPr>
        <w:t xml:space="preserve"> </w:t>
      </w:r>
    </w:p>
    <w:p w14:paraId="72BA7937" w14:textId="19D60F03" w:rsidR="00D74648" w:rsidRPr="004048B8" w:rsidRDefault="00D74648" w:rsidP="00D74648">
      <w:pPr>
        <w:spacing w:after="0" w:line="240" w:lineRule="auto"/>
        <w:rPr>
          <w:rFonts w:ascii="Times New Roman" w:hAnsi="Times New Roman" w:cs="Times New Roman"/>
          <w:kern w:val="2"/>
          <w:sz w:val="24"/>
          <w:szCs w:val="24"/>
        </w:rPr>
      </w:pPr>
      <w:r w:rsidRPr="004048B8">
        <w:rPr>
          <w:rFonts w:ascii="Times New Roman" w:hAnsi="Times New Roman" w:cs="Times New Roman"/>
          <w:sz w:val="24"/>
          <w:szCs w:val="24"/>
        </w:rPr>
        <w:t>1</w:t>
      </w:r>
      <w:r w:rsidR="00E619C7" w:rsidRPr="004048B8">
        <w:rPr>
          <w:rFonts w:ascii="Times New Roman" w:hAnsi="Times New Roman" w:cs="Times New Roman"/>
          <w:sz w:val="24"/>
          <w:szCs w:val="24"/>
        </w:rPr>
        <w:t>6</w:t>
      </w:r>
      <w:r w:rsidRPr="004048B8">
        <w:rPr>
          <w:rFonts w:ascii="Times New Roman" w:hAnsi="Times New Roman" w:cs="Times New Roman"/>
          <w:sz w:val="24"/>
          <w:szCs w:val="24"/>
        </w:rPr>
        <w:t>. Dujų analizatoriams g</w:t>
      </w:r>
      <w:r w:rsidRPr="004048B8">
        <w:rPr>
          <w:rFonts w:ascii="Times New Roman" w:hAnsi="Times New Roman" w:cs="Times New Roman"/>
          <w:kern w:val="2"/>
          <w:sz w:val="24"/>
          <w:szCs w:val="24"/>
        </w:rPr>
        <w:t>arantinis terminas ne trumpesnis kaip 24 (dvidešimt  keturi) mėnesiai.</w:t>
      </w:r>
    </w:p>
    <w:p w14:paraId="76C91A3B" w14:textId="6A388D3A" w:rsidR="00D74648" w:rsidRPr="004048B8" w:rsidRDefault="00D74648" w:rsidP="00D74648">
      <w:pPr>
        <w:spacing w:after="0" w:line="240" w:lineRule="auto"/>
        <w:rPr>
          <w:rFonts w:ascii="Times New Roman" w:hAnsi="Times New Roman" w:cs="Times New Roman"/>
          <w:kern w:val="2"/>
          <w:sz w:val="24"/>
          <w:szCs w:val="24"/>
        </w:rPr>
      </w:pPr>
      <w:r w:rsidRPr="004048B8">
        <w:rPr>
          <w:rFonts w:ascii="Times New Roman" w:hAnsi="Times New Roman" w:cs="Times New Roman"/>
          <w:kern w:val="2"/>
          <w:sz w:val="24"/>
          <w:szCs w:val="24"/>
        </w:rPr>
        <w:t>1</w:t>
      </w:r>
      <w:r w:rsidR="00E619C7" w:rsidRPr="004048B8">
        <w:rPr>
          <w:rFonts w:ascii="Times New Roman" w:hAnsi="Times New Roman" w:cs="Times New Roman"/>
          <w:kern w:val="2"/>
          <w:sz w:val="24"/>
          <w:szCs w:val="24"/>
        </w:rPr>
        <w:t>7</w:t>
      </w:r>
      <w:r w:rsidRPr="004048B8">
        <w:rPr>
          <w:rFonts w:ascii="Times New Roman" w:hAnsi="Times New Roman" w:cs="Times New Roman"/>
          <w:kern w:val="2"/>
          <w:sz w:val="24"/>
          <w:szCs w:val="24"/>
        </w:rPr>
        <w:t xml:space="preserve">. Akumuliatoriams, įkrovikliams ir </w:t>
      </w:r>
      <w:proofErr w:type="spellStart"/>
      <w:r w:rsidRPr="004048B8">
        <w:rPr>
          <w:rFonts w:ascii="Times New Roman" w:hAnsi="Times New Roman" w:cs="Times New Roman"/>
          <w:kern w:val="2"/>
          <w:sz w:val="24"/>
          <w:szCs w:val="24"/>
        </w:rPr>
        <w:t>kalibracinei</w:t>
      </w:r>
      <w:proofErr w:type="spellEnd"/>
      <w:r w:rsidRPr="004048B8">
        <w:rPr>
          <w:rFonts w:ascii="Times New Roman" w:hAnsi="Times New Roman" w:cs="Times New Roman"/>
          <w:kern w:val="2"/>
          <w:sz w:val="24"/>
          <w:szCs w:val="24"/>
        </w:rPr>
        <w:t xml:space="preserve"> stotelei garantinis terminas ne trumpesnis 12 (dvylika) mėnesių.</w:t>
      </w:r>
    </w:p>
    <w:p w14:paraId="4935E57D" w14:textId="15F439CD" w:rsidR="00D74648" w:rsidRPr="004048B8" w:rsidRDefault="00D74648" w:rsidP="000256FF">
      <w:pPr>
        <w:rPr>
          <w:rFonts w:ascii="Calibri" w:eastAsia="Calibri" w:hAnsi="Calibri" w:cs="Calibri"/>
          <w14:ligatures w14:val="standardContextual"/>
        </w:rPr>
      </w:pPr>
      <w:r w:rsidRPr="004048B8">
        <w:rPr>
          <w:rFonts w:ascii="Times New Roman" w:hAnsi="Times New Roman" w:cs="Times New Roman"/>
          <w:kern w:val="2"/>
          <w:sz w:val="24"/>
          <w:szCs w:val="24"/>
        </w:rPr>
        <w:t>1</w:t>
      </w:r>
      <w:r w:rsidR="00E619C7" w:rsidRPr="004048B8">
        <w:rPr>
          <w:rFonts w:ascii="Times New Roman" w:hAnsi="Times New Roman" w:cs="Times New Roman"/>
          <w:kern w:val="2"/>
          <w:sz w:val="24"/>
          <w:szCs w:val="24"/>
        </w:rPr>
        <w:t>8</w:t>
      </w:r>
      <w:r w:rsidRPr="004048B8">
        <w:rPr>
          <w:rFonts w:ascii="Times New Roman" w:hAnsi="Times New Roman" w:cs="Times New Roman"/>
          <w:kern w:val="2"/>
          <w:sz w:val="24"/>
          <w:szCs w:val="24"/>
        </w:rPr>
        <w:t xml:space="preserve">. </w:t>
      </w:r>
      <w:r w:rsidRPr="004048B8">
        <w:rPr>
          <w:rFonts w:ascii="Times New Roman" w:eastAsia="Calibri" w:hAnsi="Times New Roman" w:cs="Times New Roman"/>
          <w:sz w:val="24"/>
          <w:szCs w:val="24"/>
        </w:rPr>
        <w:t xml:space="preserve">Dujų analizatoriams nustatomi </w:t>
      </w:r>
      <w:r w:rsidRPr="004048B8">
        <w:rPr>
          <w:rFonts w:ascii="Times New Roman" w:eastAsia="Calibri" w:hAnsi="Times New Roman" w:cs="Times New Roman"/>
          <w:sz w:val="24"/>
          <w:szCs w:val="24"/>
          <w:lang w:val="lv-LV" w:eastAsia="lt-LT"/>
        </w:rPr>
        <w:t xml:space="preserve">aplinkos apsaugos kriterijai pagal Aplinkos apsaugos kriterijų taikymo, vykdant žaliuosius pirkimus, tvarkos aprašo, patvirtinto Lietuvos Respublikos aplinkos ministro 2011 m. birželio 28 d. įsakymu Nr. DI-508 (Nauja redakcija nuo 2024-02-01) 4.4.4.4 p. - prekė turi būti tvirta, </w:t>
      </w:r>
      <w:r w:rsidRPr="004048B8">
        <w:rPr>
          <w:rFonts w:ascii="Times New Roman" w:eastAsia="Calibri" w:hAnsi="Times New Roman" w:cs="Times New Roman"/>
          <w:sz w:val="24"/>
          <w:szCs w:val="24"/>
          <w:lang w:val="lv-LV" w:eastAsia="lt-LT"/>
        </w:rPr>
        <w:lastRenderedPageBreak/>
        <w:t>funkcionali, ji ar jos sudedamosios dalys turi tikti naudoti daug kartų ir (ar) būti lengvai pataisomos, ir (ar) pakeičiamos.</w:t>
      </w:r>
    </w:p>
    <w:p w14:paraId="1CAEDFBC" w14:textId="3BED266A" w:rsidR="00D74648" w:rsidRPr="004048B8" w:rsidRDefault="00E64C28" w:rsidP="000C27C9">
      <w:pPr>
        <w:pStyle w:val="NumberList"/>
        <w:snapToGrid w:val="0"/>
        <w:ind w:left="0" w:firstLine="0"/>
        <w:rPr>
          <w:rFonts w:ascii="Times New Roman" w:hAnsi="Times New Roman"/>
          <w:b/>
          <w:bCs/>
          <w:szCs w:val="24"/>
          <w:lang w:val="lt-LT"/>
        </w:rPr>
      </w:pPr>
      <w:r w:rsidRPr="004048B8">
        <w:rPr>
          <w:rFonts w:ascii="Times New Roman" w:hAnsi="Times New Roman"/>
          <w:b/>
          <w:bCs/>
          <w:szCs w:val="24"/>
          <w:lang w:val="lt-LT"/>
        </w:rPr>
        <w:t xml:space="preserve">                                              ___________________________________</w:t>
      </w:r>
    </w:p>
    <w:p w14:paraId="7377E39F" w14:textId="77777777" w:rsidR="00F56A9D" w:rsidRPr="004048B8" w:rsidRDefault="00F56A9D" w:rsidP="00D74648">
      <w:pPr>
        <w:pStyle w:val="NumberList"/>
        <w:snapToGrid w:val="0"/>
        <w:jc w:val="center"/>
        <w:rPr>
          <w:rFonts w:ascii="Times New Roman" w:hAnsi="Times New Roman"/>
          <w:b/>
          <w:bCs/>
          <w:szCs w:val="24"/>
          <w:lang w:val="lt-LT"/>
        </w:rPr>
      </w:pPr>
    </w:p>
    <w:p w14:paraId="788E2C9C" w14:textId="77777777" w:rsidR="00F56A9D" w:rsidRPr="004048B8" w:rsidRDefault="00F56A9D" w:rsidP="00D74648">
      <w:pPr>
        <w:pStyle w:val="NumberList"/>
        <w:snapToGrid w:val="0"/>
        <w:jc w:val="center"/>
        <w:rPr>
          <w:rFonts w:ascii="Times New Roman" w:hAnsi="Times New Roman"/>
          <w:b/>
          <w:bCs/>
          <w:szCs w:val="24"/>
          <w:lang w:val="lt-LT"/>
        </w:rPr>
      </w:pPr>
    </w:p>
    <w:p w14:paraId="5099657F" w14:textId="77777777" w:rsidR="00F56A9D" w:rsidRPr="004048B8" w:rsidRDefault="00F56A9D" w:rsidP="00D74648">
      <w:pPr>
        <w:pStyle w:val="NumberList"/>
        <w:snapToGrid w:val="0"/>
        <w:jc w:val="center"/>
        <w:rPr>
          <w:rFonts w:ascii="Times New Roman" w:hAnsi="Times New Roman"/>
          <w:b/>
          <w:bCs/>
          <w:szCs w:val="24"/>
          <w:lang w:val="lt-LT"/>
        </w:rPr>
      </w:pPr>
    </w:p>
    <w:p w14:paraId="0E0E7B9B" w14:textId="77777777" w:rsidR="00F56A9D" w:rsidRPr="004048B8" w:rsidRDefault="00F56A9D" w:rsidP="00303085">
      <w:pPr>
        <w:pStyle w:val="NumberList"/>
        <w:snapToGrid w:val="0"/>
        <w:ind w:left="0" w:firstLine="0"/>
        <w:rPr>
          <w:rFonts w:ascii="Times New Roman" w:hAnsi="Times New Roman"/>
          <w:b/>
          <w:bCs/>
          <w:szCs w:val="24"/>
          <w:lang w:val="lt-LT"/>
        </w:rPr>
      </w:pPr>
    </w:p>
    <w:p w14:paraId="7BC9EBE9" w14:textId="7AB5085B" w:rsidR="00D74648" w:rsidRPr="004048B8" w:rsidRDefault="00D74648" w:rsidP="00D74648">
      <w:pPr>
        <w:pStyle w:val="NumberList"/>
        <w:snapToGrid w:val="0"/>
        <w:jc w:val="center"/>
        <w:rPr>
          <w:rFonts w:ascii="Times New Roman" w:hAnsi="Times New Roman"/>
          <w:b/>
          <w:bCs/>
          <w:szCs w:val="24"/>
          <w:lang w:val="lt-LT"/>
        </w:rPr>
      </w:pPr>
      <w:r w:rsidRPr="004048B8">
        <w:rPr>
          <w:rFonts w:ascii="Times New Roman" w:hAnsi="Times New Roman"/>
          <w:b/>
          <w:bCs/>
          <w:szCs w:val="24"/>
          <w:lang w:val="lt-LT"/>
        </w:rPr>
        <w:t>DUJŲ ANALIZATORIŲ</w:t>
      </w:r>
    </w:p>
    <w:p w14:paraId="0C6C47D4" w14:textId="77777777" w:rsidR="00D74648" w:rsidRPr="004048B8" w:rsidRDefault="00D74648" w:rsidP="00D74648">
      <w:pPr>
        <w:pStyle w:val="NumberList"/>
        <w:snapToGrid w:val="0"/>
        <w:ind w:left="0" w:firstLine="0"/>
        <w:jc w:val="center"/>
        <w:rPr>
          <w:rFonts w:ascii="Times New Roman" w:hAnsi="Times New Roman"/>
          <w:b/>
          <w:bCs/>
          <w:szCs w:val="24"/>
          <w:lang w:val="lt-LT"/>
        </w:rPr>
      </w:pPr>
      <w:r w:rsidRPr="004048B8">
        <w:rPr>
          <w:rFonts w:ascii="Times New Roman" w:hAnsi="Times New Roman"/>
          <w:b/>
          <w:bCs/>
          <w:szCs w:val="24"/>
          <w:lang w:val="lt-LT"/>
        </w:rPr>
        <w:t>TECHNINĖ SPECIFIKACIJA</w:t>
      </w:r>
    </w:p>
    <w:p w14:paraId="310C3EFF" w14:textId="77777777" w:rsidR="00D74648" w:rsidRPr="004048B8" w:rsidRDefault="00D74648" w:rsidP="00D74648">
      <w:pPr>
        <w:pStyle w:val="NumberList"/>
        <w:snapToGrid w:val="0"/>
        <w:ind w:left="0" w:firstLine="0"/>
        <w:jc w:val="center"/>
        <w:rPr>
          <w:rFonts w:ascii="Times New Roman" w:hAnsi="Times New Roman"/>
          <w:szCs w:val="24"/>
          <w:lang w:val="lt-LT"/>
        </w:rPr>
      </w:pPr>
      <w:r w:rsidRPr="004048B8">
        <w:rPr>
          <w:rFonts w:ascii="Times New Roman" w:hAnsi="Times New Roman"/>
          <w:szCs w:val="24"/>
          <w:lang w:val="lt-LT"/>
        </w:rPr>
        <w:t>(Perimetro apsaugai)</w:t>
      </w:r>
    </w:p>
    <w:p w14:paraId="3DD99235" w14:textId="77777777" w:rsidR="00D74648" w:rsidRPr="004048B8" w:rsidRDefault="00D74648" w:rsidP="00D74648">
      <w:pPr>
        <w:pStyle w:val="NumberList"/>
        <w:snapToGrid w:val="0"/>
        <w:ind w:left="0" w:firstLine="0"/>
        <w:rPr>
          <w:rFonts w:ascii="Times New Roman" w:hAnsi="Times New Roman"/>
          <w:szCs w:val="24"/>
          <w:lang w:val="lt-LT"/>
        </w:rPr>
      </w:pPr>
    </w:p>
    <w:p w14:paraId="5ECABF5D" w14:textId="25BE73DF" w:rsidR="00D74648" w:rsidRPr="004048B8" w:rsidRDefault="00D74648" w:rsidP="00D74648">
      <w:pPr>
        <w:pStyle w:val="NumberList"/>
        <w:snapToGrid w:val="0"/>
        <w:ind w:left="0" w:firstLine="0"/>
        <w:rPr>
          <w:rFonts w:ascii="Times New Roman" w:eastAsiaTheme="minorHAnsi" w:hAnsi="Times New Roman"/>
          <w:szCs w:val="24"/>
          <w:lang w:val="lt-LT"/>
        </w:rPr>
      </w:pPr>
      <w:r w:rsidRPr="004048B8">
        <w:rPr>
          <w:rFonts w:ascii="Times New Roman" w:hAnsi="Times New Roman"/>
          <w:szCs w:val="24"/>
          <w:lang w:val="lt-LT"/>
        </w:rPr>
        <w:t xml:space="preserve">  1.  Ketinama įsigyti </w:t>
      </w:r>
      <w:r w:rsidRPr="004048B8">
        <w:rPr>
          <w:rFonts w:ascii="Times New Roman" w:hAnsi="Times New Roman"/>
          <w:b/>
          <w:bCs/>
          <w:szCs w:val="24"/>
          <w:lang w:val="lt-LT"/>
        </w:rPr>
        <w:t>2 (du) vnt.</w:t>
      </w:r>
      <w:r w:rsidRPr="004048B8">
        <w:rPr>
          <w:rFonts w:ascii="Times New Roman" w:hAnsi="Times New Roman"/>
          <w:szCs w:val="24"/>
          <w:lang w:val="lt-LT"/>
        </w:rPr>
        <w:t xml:space="preserve"> - </w:t>
      </w:r>
      <w:r w:rsidRPr="004048B8">
        <w:rPr>
          <w:rFonts w:ascii="Times New Roman" w:eastAsiaTheme="minorHAnsi" w:hAnsi="Times New Roman"/>
          <w:szCs w:val="24"/>
          <w:lang w:val="lt-LT"/>
        </w:rPr>
        <w:t>dujų analizatorius perimetro apsaugai</w:t>
      </w:r>
      <w:r w:rsidR="006D6620" w:rsidRPr="004048B8">
        <w:rPr>
          <w:rFonts w:ascii="Times New Roman" w:eastAsiaTheme="minorHAnsi" w:hAnsi="Times New Roman"/>
          <w:szCs w:val="24"/>
          <w:lang w:val="lt-LT"/>
        </w:rPr>
        <w:t>, kurie turi atitikti</w:t>
      </w:r>
      <w:r w:rsidRPr="004048B8">
        <w:rPr>
          <w:rFonts w:ascii="Times New Roman" w:eastAsiaTheme="minorHAnsi" w:hAnsi="Times New Roman"/>
          <w:szCs w:val="24"/>
          <w:lang w:val="lt-LT"/>
        </w:rPr>
        <w:t xml:space="preserve">: analizatorius turi matuoti sieros dioksido, deguonies, vandenilio sulfido, anglies monoksido koncentraciją ir sprogių dujų iki </w:t>
      </w:r>
      <w:proofErr w:type="spellStart"/>
      <w:r w:rsidRPr="004048B8">
        <w:rPr>
          <w:rFonts w:ascii="Times New Roman" w:eastAsiaTheme="minorHAnsi" w:hAnsi="Times New Roman"/>
          <w:szCs w:val="24"/>
          <w:lang w:val="lt-LT"/>
        </w:rPr>
        <w:t>sprogiminę</w:t>
      </w:r>
      <w:proofErr w:type="spellEnd"/>
      <w:r w:rsidRPr="004048B8">
        <w:rPr>
          <w:rFonts w:ascii="Times New Roman" w:eastAsiaTheme="minorHAnsi" w:hAnsi="Times New Roman"/>
          <w:szCs w:val="24"/>
          <w:lang w:val="lt-LT"/>
        </w:rPr>
        <w:t xml:space="preserve"> koncentraciją lauke (aplinkos ore).</w:t>
      </w:r>
    </w:p>
    <w:p w14:paraId="231C30E6" w14:textId="77777777" w:rsidR="00D74648" w:rsidRPr="004048B8" w:rsidRDefault="00D74648" w:rsidP="00D74648">
      <w:pPr>
        <w:pStyle w:val="NumberList"/>
        <w:jc w:val="left"/>
        <w:rPr>
          <w:rFonts w:ascii="Times New Roman" w:eastAsiaTheme="minorHAnsi" w:hAnsi="Times New Roman"/>
          <w:szCs w:val="24"/>
          <w:lang w:val="lt-LT"/>
        </w:rPr>
      </w:pPr>
      <w:r w:rsidRPr="004048B8">
        <w:rPr>
          <w:rFonts w:ascii="Times New Roman" w:eastAsiaTheme="minorHAnsi" w:hAnsi="Times New Roman"/>
          <w:szCs w:val="24"/>
          <w:lang w:val="lt-LT"/>
        </w:rPr>
        <w:t>       Reikalaujami sensorių matavimo diapazonai:</w:t>
      </w:r>
    </w:p>
    <w:p w14:paraId="0B8CA06E" w14:textId="77777777" w:rsidR="00D74648" w:rsidRPr="004048B8" w:rsidRDefault="00D74648" w:rsidP="00D74648">
      <w:pPr>
        <w:pStyle w:val="NumberList"/>
        <w:numPr>
          <w:ilvl w:val="0"/>
          <w:numId w:val="49"/>
        </w:numPr>
        <w:snapToGrid w:val="0"/>
        <w:jc w:val="left"/>
        <w:rPr>
          <w:rFonts w:ascii="Times New Roman" w:eastAsiaTheme="minorHAnsi" w:hAnsi="Times New Roman"/>
          <w:szCs w:val="24"/>
          <w:lang w:val="lt-LT"/>
        </w:rPr>
      </w:pPr>
      <w:r w:rsidRPr="004048B8">
        <w:rPr>
          <w:rFonts w:ascii="Times New Roman" w:eastAsiaTheme="minorHAnsi" w:hAnsi="Times New Roman"/>
          <w:szCs w:val="24"/>
          <w:lang w:val="lt-LT"/>
        </w:rPr>
        <w:t>LEL (</w:t>
      </w:r>
      <w:proofErr w:type="spellStart"/>
      <w:r w:rsidRPr="004048B8">
        <w:rPr>
          <w:rFonts w:ascii="Times New Roman" w:eastAsiaTheme="minorHAnsi" w:hAnsi="Times New Roman"/>
          <w:szCs w:val="24"/>
          <w:lang w:val="lt-LT"/>
        </w:rPr>
        <w:t>Methane</w:t>
      </w:r>
      <w:proofErr w:type="spellEnd"/>
      <w:r w:rsidRPr="004048B8">
        <w:rPr>
          <w:rFonts w:ascii="Times New Roman" w:eastAsiaTheme="minorHAnsi" w:hAnsi="Times New Roman"/>
          <w:szCs w:val="24"/>
          <w:lang w:val="lt-LT"/>
        </w:rPr>
        <w:t>) ne siauresniame diapazone kaip 0÷100 %;</w:t>
      </w:r>
    </w:p>
    <w:p w14:paraId="2CF34A45" w14:textId="77777777" w:rsidR="00D74648" w:rsidRPr="004048B8" w:rsidRDefault="00D74648" w:rsidP="00D74648">
      <w:pPr>
        <w:pStyle w:val="NumberList"/>
        <w:numPr>
          <w:ilvl w:val="0"/>
          <w:numId w:val="49"/>
        </w:numPr>
        <w:snapToGrid w:val="0"/>
        <w:jc w:val="left"/>
        <w:rPr>
          <w:rFonts w:ascii="Times New Roman" w:eastAsiaTheme="minorHAnsi" w:hAnsi="Times New Roman"/>
          <w:szCs w:val="24"/>
          <w:lang w:val="lt-LT"/>
        </w:rPr>
      </w:pPr>
      <w:r w:rsidRPr="004048B8">
        <w:rPr>
          <w:rFonts w:ascii="Times New Roman" w:eastAsiaTheme="minorHAnsi" w:hAnsi="Times New Roman"/>
          <w:szCs w:val="24"/>
          <w:lang w:val="lt-LT"/>
        </w:rPr>
        <w:t>O</w:t>
      </w:r>
      <w:r w:rsidRPr="004048B8">
        <w:rPr>
          <w:rFonts w:ascii="Times New Roman" w:eastAsiaTheme="minorHAnsi" w:hAnsi="Times New Roman"/>
          <w:szCs w:val="24"/>
          <w:vertAlign w:val="subscript"/>
          <w:lang w:val="lt-LT"/>
        </w:rPr>
        <w:t xml:space="preserve">2 </w:t>
      </w:r>
      <w:r w:rsidRPr="004048B8">
        <w:rPr>
          <w:rFonts w:ascii="Times New Roman" w:eastAsiaTheme="minorHAnsi" w:hAnsi="Times New Roman"/>
          <w:szCs w:val="24"/>
          <w:lang w:val="lt-LT"/>
        </w:rPr>
        <w:t>ne siauresniame diapazone kaip 0÷30 %;</w:t>
      </w:r>
    </w:p>
    <w:p w14:paraId="0C74F649" w14:textId="77777777" w:rsidR="00D74648" w:rsidRPr="004048B8" w:rsidRDefault="00D74648" w:rsidP="00D74648">
      <w:pPr>
        <w:pStyle w:val="NumberList"/>
        <w:numPr>
          <w:ilvl w:val="0"/>
          <w:numId w:val="49"/>
        </w:numPr>
        <w:snapToGrid w:val="0"/>
        <w:jc w:val="left"/>
        <w:rPr>
          <w:rFonts w:ascii="Times New Roman" w:eastAsiaTheme="minorHAnsi" w:hAnsi="Times New Roman"/>
          <w:szCs w:val="24"/>
          <w:lang w:val="lt-LT"/>
        </w:rPr>
      </w:pPr>
      <w:r w:rsidRPr="004048B8">
        <w:rPr>
          <w:rFonts w:ascii="Times New Roman" w:eastAsiaTheme="minorHAnsi" w:hAnsi="Times New Roman"/>
          <w:szCs w:val="24"/>
          <w:lang w:val="lt-LT"/>
        </w:rPr>
        <w:t>H</w:t>
      </w:r>
      <w:r w:rsidRPr="004048B8">
        <w:rPr>
          <w:rFonts w:ascii="Times New Roman" w:eastAsiaTheme="minorHAnsi" w:hAnsi="Times New Roman"/>
          <w:szCs w:val="24"/>
          <w:vertAlign w:val="subscript"/>
          <w:lang w:val="lt-LT"/>
        </w:rPr>
        <w:t>2</w:t>
      </w:r>
      <w:r w:rsidRPr="004048B8">
        <w:rPr>
          <w:rFonts w:ascii="Times New Roman" w:eastAsiaTheme="minorHAnsi" w:hAnsi="Times New Roman"/>
          <w:szCs w:val="24"/>
          <w:lang w:val="lt-LT"/>
        </w:rPr>
        <w:t xml:space="preserve">S ne siauresniame diapazone kaip 0÷500 </w:t>
      </w:r>
      <w:proofErr w:type="spellStart"/>
      <w:r w:rsidRPr="004048B8">
        <w:rPr>
          <w:rFonts w:ascii="Times New Roman" w:eastAsiaTheme="minorHAnsi" w:hAnsi="Times New Roman"/>
          <w:szCs w:val="24"/>
          <w:lang w:val="lt-LT"/>
        </w:rPr>
        <w:t>ppm</w:t>
      </w:r>
      <w:proofErr w:type="spellEnd"/>
      <w:r w:rsidRPr="004048B8">
        <w:rPr>
          <w:rFonts w:ascii="Times New Roman" w:eastAsiaTheme="minorHAnsi" w:hAnsi="Times New Roman"/>
          <w:szCs w:val="24"/>
          <w:lang w:val="lt-LT"/>
        </w:rPr>
        <w:t>;</w:t>
      </w:r>
    </w:p>
    <w:p w14:paraId="7E19115A" w14:textId="77777777" w:rsidR="00D74648" w:rsidRPr="004048B8" w:rsidRDefault="00D74648" w:rsidP="00D74648">
      <w:pPr>
        <w:pStyle w:val="NumberList"/>
        <w:numPr>
          <w:ilvl w:val="0"/>
          <w:numId w:val="49"/>
        </w:numPr>
        <w:snapToGrid w:val="0"/>
        <w:jc w:val="left"/>
        <w:rPr>
          <w:rFonts w:ascii="Times New Roman" w:eastAsiaTheme="minorHAnsi" w:hAnsi="Times New Roman"/>
          <w:szCs w:val="24"/>
          <w:lang w:val="lt-LT"/>
        </w:rPr>
      </w:pPr>
      <w:r w:rsidRPr="004048B8">
        <w:rPr>
          <w:rFonts w:ascii="Times New Roman" w:eastAsiaTheme="minorHAnsi" w:hAnsi="Times New Roman"/>
          <w:szCs w:val="24"/>
          <w:lang w:val="lt-LT"/>
        </w:rPr>
        <w:t>SO</w:t>
      </w:r>
      <w:r w:rsidRPr="004048B8">
        <w:rPr>
          <w:rFonts w:ascii="Times New Roman" w:eastAsiaTheme="minorHAnsi" w:hAnsi="Times New Roman"/>
          <w:szCs w:val="24"/>
          <w:vertAlign w:val="subscript"/>
          <w:lang w:val="lt-LT"/>
        </w:rPr>
        <w:t>2</w:t>
      </w:r>
      <w:r w:rsidRPr="004048B8">
        <w:rPr>
          <w:rFonts w:ascii="Times New Roman" w:eastAsiaTheme="minorHAnsi" w:hAnsi="Times New Roman"/>
          <w:szCs w:val="24"/>
          <w:lang w:val="lt-LT"/>
        </w:rPr>
        <w:t xml:space="preserve"> ne siauresniame diapazone kaip 0÷150 </w:t>
      </w:r>
      <w:proofErr w:type="spellStart"/>
      <w:r w:rsidRPr="004048B8">
        <w:rPr>
          <w:rFonts w:ascii="Times New Roman" w:eastAsiaTheme="minorHAnsi" w:hAnsi="Times New Roman"/>
          <w:szCs w:val="24"/>
          <w:lang w:val="lt-LT"/>
        </w:rPr>
        <w:t>ppm</w:t>
      </w:r>
      <w:proofErr w:type="spellEnd"/>
      <w:r w:rsidRPr="004048B8">
        <w:rPr>
          <w:rFonts w:ascii="Times New Roman" w:eastAsiaTheme="minorHAnsi" w:hAnsi="Times New Roman"/>
          <w:szCs w:val="24"/>
          <w:lang w:val="lt-LT"/>
        </w:rPr>
        <w:t>;</w:t>
      </w:r>
    </w:p>
    <w:p w14:paraId="22BBAACD" w14:textId="77777777" w:rsidR="00D74648" w:rsidRPr="004048B8" w:rsidRDefault="00D74648" w:rsidP="00D74648">
      <w:pPr>
        <w:pStyle w:val="NumberList"/>
        <w:numPr>
          <w:ilvl w:val="0"/>
          <w:numId w:val="49"/>
        </w:numPr>
        <w:snapToGrid w:val="0"/>
        <w:jc w:val="left"/>
        <w:rPr>
          <w:rFonts w:ascii="Times New Roman" w:eastAsiaTheme="minorHAnsi" w:hAnsi="Times New Roman"/>
          <w:szCs w:val="24"/>
          <w:lang w:val="lt-LT"/>
        </w:rPr>
      </w:pPr>
      <w:r w:rsidRPr="004048B8">
        <w:rPr>
          <w:rFonts w:ascii="Times New Roman" w:eastAsiaTheme="minorHAnsi" w:hAnsi="Times New Roman"/>
          <w:szCs w:val="24"/>
          <w:lang w:val="lt-LT"/>
        </w:rPr>
        <w:t xml:space="preserve">CO ne siauresniame diapazone kaip 0÷1500 </w:t>
      </w:r>
      <w:proofErr w:type="spellStart"/>
      <w:r w:rsidRPr="004048B8">
        <w:rPr>
          <w:rFonts w:ascii="Times New Roman" w:eastAsiaTheme="minorHAnsi" w:hAnsi="Times New Roman"/>
          <w:szCs w:val="24"/>
          <w:lang w:val="lt-LT"/>
        </w:rPr>
        <w:t>ppm</w:t>
      </w:r>
      <w:proofErr w:type="spellEnd"/>
      <w:r w:rsidRPr="004048B8">
        <w:rPr>
          <w:rFonts w:ascii="Times New Roman" w:eastAsiaTheme="minorHAnsi" w:hAnsi="Times New Roman"/>
          <w:szCs w:val="24"/>
          <w:lang w:val="lt-LT"/>
        </w:rPr>
        <w:t>.</w:t>
      </w:r>
    </w:p>
    <w:p w14:paraId="14942CC1" w14:textId="28DB723F" w:rsidR="00D74648" w:rsidRPr="004048B8" w:rsidRDefault="00D74648" w:rsidP="00D74648">
      <w:pPr>
        <w:pStyle w:val="NumberList"/>
        <w:ind w:left="0" w:firstLine="0"/>
        <w:rPr>
          <w:rFonts w:ascii="Times New Roman" w:hAnsi="Times New Roman"/>
          <w:szCs w:val="24"/>
          <w:lang w:val="lt-LT"/>
        </w:rPr>
      </w:pPr>
      <w:r w:rsidRPr="004048B8">
        <w:rPr>
          <w:rFonts w:ascii="Times New Roman" w:eastAsiaTheme="minorHAnsi" w:hAnsi="Times New Roman"/>
          <w:szCs w:val="24"/>
          <w:lang w:val="lt-LT"/>
        </w:rPr>
        <w:t xml:space="preserve">2. </w:t>
      </w:r>
      <w:r w:rsidRPr="004048B8">
        <w:rPr>
          <w:rFonts w:ascii="Times New Roman" w:hAnsi="Times New Roman"/>
          <w:szCs w:val="24"/>
          <w:lang w:val="lt-LT"/>
        </w:rPr>
        <w:t>Kalibruojam</w:t>
      </w:r>
      <w:r w:rsidR="00527495" w:rsidRPr="004048B8">
        <w:rPr>
          <w:rFonts w:ascii="Times New Roman" w:hAnsi="Times New Roman"/>
          <w:szCs w:val="24"/>
          <w:lang w:val="lt-LT"/>
        </w:rPr>
        <w:t>i</w:t>
      </w:r>
      <w:r w:rsidRPr="004048B8">
        <w:rPr>
          <w:rFonts w:ascii="Times New Roman" w:hAnsi="Times New Roman"/>
          <w:szCs w:val="24"/>
          <w:lang w:val="lt-LT"/>
        </w:rPr>
        <w:t xml:space="preserve"> metano – oro mišiniu.</w:t>
      </w:r>
    </w:p>
    <w:p w14:paraId="13859705" w14:textId="77777777" w:rsidR="00D74648" w:rsidRPr="004048B8" w:rsidRDefault="00D74648" w:rsidP="00D74648">
      <w:pPr>
        <w:pStyle w:val="NumberList"/>
        <w:ind w:left="0" w:firstLine="0"/>
        <w:rPr>
          <w:rFonts w:ascii="Times New Roman" w:eastAsiaTheme="minorHAnsi" w:hAnsi="Times New Roman"/>
          <w:szCs w:val="24"/>
          <w:lang w:val="lt-LT"/>
        </w:rPr>
      </w:pPr>
      <w:r w:rsidRPr="004048B8">
        <w:rPr>
          <w:rFonts w:ascii="Times New Roman" w:eastAsiaTheme="minorHAnsi" w:hAnsi="Times New Roman"/>
          <w:szCs w:val="24"/>
          <w:lang w:val="lt-LT"/>
        </w:rPr>
        <w:t>3. Dujų analizatoriais kontroliuojamos aplinkos temperatūra ne siauresniame diapazone kaip nuo –20 ÷ +50C, santykinė drėgmė ne mažiau kaip iki 95 %.</w:t>
      </w:r>
    </w:p>
    <w:p w14:paraId="06FF696C" w14:textId="77777777" w:rsidR="00D74648" w:rsidRPr="004048B8" w:rsidRDefault="00D74648" w:rsidP="00D74648">
      <w:pPr>
        <w:pStyle w:val="NumberList"/>
        <w:ind w:left="0" w:firstLine="0"/>
        <w:rPr>
          <w:rFonts w:ascii="Times New Roman" w:eastAsiaTheme="minorHAnsi" w:hAnsi="Times New Roman"/>
          <w:szCs w:val="24"/>
          <w:lang w:val="lt-LT"/>
        </w:rPr>
      </w:pPr>
      <w:r w:rsidRPr="004048B8">
        <w:rPr>
          <w:rFonts w:ascii="Times New Roman" w:eastAsiaTheme="minorHAnsi" w:hAnsi="Times New Roman"/>
          <w:szCs w:val="24"/>
          <w:lang w:val="lt-LT"/>
        </w:rPr>
        <w:t xml:space="preserve">4. Dujų analizatoriai turi turėti vietinės indikacijos displėjų (ne mažiau kaip 11 cm </w:t>
      </w:r>
      <w:proofErr w:type="spellStart"/>
      <w:r w:rsidRPr="004048B8">
        <w:rPr>
          <w:rFonts w:ascii="Times New Roman" w:eastAsiaTheme="minorHAnsi" w:hAnsi="Times New Roman"/>
          <w:szCs w:val="24"/>
          <w:lang w:val="lt-LT"/>
        </w:rPr>
        <w:t>istrižainės</w:t>
      </w:r>
      <w:proofErr w:type="spellEnd"/>
      <w:r w:rsidRPr="004048B8">
        <w:rPr>
          <w:rFonts w:ascii="Times New Roman" w:eastAsiaTheme="minorHAnsi" w:hAnsi="Times New Roman"/>
          <w:szCs w:val="24"/>
          <w:lang w:val="lt-LT"/>
        </w:rPr>
        <w:t xml:space="preserve">), šviesinę ir garsinę (ne mažiau kaip 105 </w:t>
      </w:r>
      <w:proofErr w:type="spellStart"/>
      <w:r w:rsidRPr="004048B8">
        <w:rPr>
          <w:rFonts w:ascii="Times New Roman" w:eastAsiaTheme="minorHAnsi" w:hAnsi="Times New Roman"/>
          <w:szCs w:val="24"/>
          <w:lang w:val="lt-LT"/>
        </w:rPr>
        <w:t>dB</w:t>
      </w:r>
      <w:proofErr w:type="spellEnd"/>
      <w:r w:rsidRPr="004048B8">
        <w:rPr>
          <w:rFonts w:ascii="Times New Roman" w:eastAsiaTheme="minorHAnsi" w:hAnsi="Times New Roman"/>
          <w:szCs w:val="24"/>
          <w:lang w:val="lt-LT"/>
        </w:rPr>
        <w:t>) aliarmo signalizaciją.</w:t>
      </w:r>
    </w:p>
    <w:p w14:paraId="0F7BF61B" w14:textId="77777777" w:rsidR="00D74648" w:rsidRPr="004048B8" w:rsidRDefault="00D74648" w:rsidP="00D74648">
      <w:pPr>
        <w:pStyle w:val="NumberList"/>
        <w:ind w:left="0" w:firstLine="0"/>
        <w:rPr>
          <w:rFonts w:ascii="Times New Roman" w:eastAsiaTheme="minorHAnsi" w:hAnsi="Times New Roman"/>
          <w:szCs w:val="24"/>
          <w:lang w:val="lt-LT"/>
        </w:rPr>
      </w:pPr>
      <w:r w:rsidRPr="004048B8">
        <w:rPr>
          <w:rFonts w:ascii="Times New Roman" w:eastAsiaTheme="minorHAnsi" w:hAnsi="Times New Roman"/>
          <w:szCs w:val="24"/>
          <w:lang w:val="lt-LT"/>
        </w:rPr>
        <w:t>5. Dujų analizatoriai turi turėti galimybę kaupti duomenis:</w:t>
      </w:r>
    </w:p>
    <w:p w14:paraId="219D212F" w14:textId="77777777" w:rsidR="00D74648" w:rsidRPr="004048B8" w:rsidRDefault="00D74648" w:rsidP="00D74648">
      <w:pPr>
        <w:pStyle w:val="NumberList"/>
        <w:ind w:left="0" w:firstLine="0"/>
        <w:rPr>
          <w:rFonts w:ascii="Times New Roman" w:eastAsiaTheme="minorHAnsi" w:hAnsi="Times New Roman"/>
          <w:szCs w:val="24"/>
          <w:lang w:val="lt-LT"/>
        </w:rPr>
      </w:pPr>
      <w:r w:rsidRPr="004048B8">
        <w:rPr>
          <w:rFonts w:ascii="Times New Roman" w:eastAsiaTheme="minorHAnsi" w:hAnsi="Times New Roman"/>
          <w:szCs w:val="24"/>
          <w:lang w:val="lt-LT"/>
        </w:rPr>
        <w:t>             - duomenys fiksuojami ne rečiau kaip kas 10 s,</w:t>
      </w:r>
    </w:p>
    <w:p w14:paraId="240EC478" w14:textId="77777777" w:rsidR="00D74648" w:rsidRPr="004048B8" w:rsidRDefault="00D74648" w:rsidP="00D74648">
      <w:pPr>
        <w:pStyle w:val="NumberList"/>
        <w:ind w:left="0" w:firstLine="0"/>
        <w:rPr>
          <w:rFonts w:ascii="Times New Roman" w:eastAsiaTheme="minorHAnsi" w:hAnsi="Times New Roman"/>
          <w:szCs w:val="24"/>
          <w:lang w:val="lt-LT"/>
        </w:rPr>
      </w:pPr>
      <w:r w:rsidRPr="004048B8">
        <w:rPr>
          <w:rFonts w:ascii="Times New Roman" w:eastAsiaTheme="minorHAnsi" w:hAnsi="Times New Roman"/>
          <w:szCs w:val="24"/>
          <w:lang w:val="lt-LT"/>
        </w:rPr>
        <w:t xml:space="preserve">             - atmintyje išlieka ne mažiau kaip 50 </w:t>
      </w:r>
      <w:proofErr w:type="spellStart"/>
      <w:r w:rsidRPr="004048B8">
        <w:rPr>
          <w:rFonts w:ascii="Times New Roman" w:eastAsiaTheme="minorHAnsi" w:hAnsi="Times New Roman"/>
          <w:szCs w:val="24"/>
          <w:lang w:val="lt-LT"/>
        </w:rPr>
        <w:t>alermo</w:t>
      </w:r>
      <w:proofErr w:type="spellEnd"/>
      <w:r w:rsidRPr="004048B8">
        <w:rPr>
          <w:rFonts w:ascii="Times New Roman" w:eastAsiaTheme="minorHAnsi" w:hAnsi="Times New Roman"/>
          <w:szCs w:val="24"/>
          <w:lang w:val="lt-LT"/>
        </w:rPr>
        <w:t xml:space="preserve"> įvykių.   </w:t>
      </w:r>
    </w:p>
    <w:p w14:paraId="6593F281" w14:textId="77777777" w:rsidR="00D74648" w:rsidRPr="004048B8" w:rsidRDefault="00D74648" w:rsidP="00D74648">
      <w:pPr>
        <w:pStyle w:val="NumberList"/>
        <w:ind w:left="0" w:firstLine="0"/>
        <w:rPr>
          <w:rFonts w:ascii="Times New Roman" w:eastAsiaTheme="minorHAnsi" w:hAnsi="Times New Roman"/>
          <w:szCs w:val="24"/>
          <w:lang w:val="lt-LT"/>
        </w:rPr>
      </w:pPr>
      <w:r w:rsidRPr="004048B8">
        <w:rPr>
          <w:rFonts w:ascii="Times New Roman" w:eastAsiaTheme="minorHAnsi" w:hAnsi="Times New Roman"/>
          <w:szCs w:val="24"/>
          <w:lang w:val="lt-LT"/>
        </w:rPr>
        <w:t>6. Dujų analizatorių absoliutinė paklaida ne didesnė kaip -/+ 6% nuo matuojamos reikšmės.</w:t>
      </w:r>
    </w:p>
    <w:p w14:paraId="77CB2091" w14:textId="77777777" w:rsidR="00D74648" w:rsidRPr="004048B8" w:rsidRDefault="00D74648" w:rsidP="00D74648">
      <w:pPr>
        <w:pStyle w:val="NumberList"/>
        <w:ind w:left="0" w:firstLine="0"/>
        <w:rPr>
          <w:rFonts w:ascii="Times New Roman" w:eastAsiaTheme="minorHAnsi" w:hAnsi="Times New Roman"/>
          <w:szCs w:val="24"/>
          <w:lang w:val="lt-LT"/>
        </w:rPr>
      </w:pPr>
      <w:r w:rsidRPr="004048B8">
        <w:rPr>
          <w:rFonts w:ascii="Times New Roman" w:eastAsiaTheme="minorHAnsi" w:hAnsi="Times New Roman"/>
          <w:szCs w:val="24"/>
          <w:lang w:val="lt-LT"/>
        </w:rPr>
        <w:t>7. Dujų analizatorių suveikimo laikas ne didesnis kaip 15s.</w:t>
      </w:r>
    </w:p>
    <w:p w14:paraId="46AD557C" w14:textId="77777777" w:rsidR="00D74648" w:rsidRPr="004048B8" w:rsidRDefault="00D74648" w:rsidP="00D74648">
      <w:pPr>
        <w:pStyle w:val="NumberList"/>
        <w:ind w:left="0" w:firstLine="0"/>
        <w:rPr>
          <w:rFonts w:ascii="Times New Roman" w:eastAsiaTheme="minorHAnsi" w:hAnsi="Times New Roman"/>
          <w:szCs w:val="24"/>
          <w:lang w:val="lt-LT"/>
        </w:rPr>
      </w:pPr>
      <w:r w:rsidRPr="004048B8">
        <w:rPr>
          <w:rFonts w:ascii="Times New Roman" w:eastAsiaTheme="minorHAnsi" w:hAnsi="Times New Roman"/>
          <w:szCs w:val="24"/>
          <w:lang w:val="lt-LT"/>
        </w:rPr>
        <w:t>8. Duju analizatoriaus metmenys su įmontuotų mėginių paėmimo siurbliu ne didesni nei 30 cm x 30 cm x 60 cm.</w:t>
      </w:r>
    </w:p>
    <w:p w14:paraId="02B544CD" w14:textId="77777777" w:rsidR="00D74648" w:rsidRPr="004048B8" w:rsidRDefault="00D74648" w:rsidP="00D74648">
      <w:pPr>
        <w:pStyle w:val="NumberList"/>
        <w:ind w:left="0" w:firstLine="0"/>
        <w:rPr>
          <w:rFonts w:ascii="Times New Roman" w:eastAsiaTheme="minorHAnsi" w:hAnsi="Times New Roman"/>
          <w:szCs w:val="24"/>
          <w:lang w:val="lt-LT"/>
        </w:rPr>
      </w:pPr>
      <w:r w:rsidRPr="004048B8">
        <w:rPr>
          <w:rFonts w:ascii="Times New Roman" w:eastAsiaTheme="minorHAnsi" w:hAnsi="Times New Roman"/>
          <w:szCs w:val="24"/>
          <w:lang w:val="lt-LT"/>
        </w:rPr>
        <w:t>9. Dujų analizatoriaus masė ne didesnė kaip – 8 kg.</w:t>
      </w:r>
    </w:p>
    <w:p w14:paraId="7F1D1C46" w14:textId="77777777" w:rsidR="00D74648" w:rsidRPr="004048B8" w:rsidRDefault="00D74648" w:rsidP="00D74648">
      <w:pPr>
        <w:pStyle w:val="NumberList"/>
        <w:ind w:left="0" w:firstLine="0"/>
        <w:rPr>
          <w:rFonts w:ascii="Times New Roman" w:hAnsi="Times New Roman"/>
          <w:szCs w:val="24"/>
          <w:lang w:val="lt-LT"/>
        </w:rPr>
      </w:pPr>
      <w:r w:rsidRPr="004048B8">
        <w:rPr>
          <w:rFonts w:ascii="Times New Roman" w:eastAsiaTheme="minorHAnsi" w:hAnsi="Times New Roman"/>
          <w:szCs w:val="24"/>
          <w:lang w:val="lt-LT"/>
        </w:rPr>
        <w:t xml:space="preserve">10. </w:t>
      </w:r>
      <w:r w:rsidRPr="004048B8">
        <w:rPr>
          <w:rFonts w:ascii="Times New Roman" w:hAnsi="Times New Roman"/>
          <w:szCs w:val="24"/>
          <w:lang w:val="lt-LT"/>
        </w:rPr>
        <w:t>Pristatymo metu, dujų analizatoriai turi būti įtraukti į Lietuvos matavimo priemonių valstybės registrą. Turi būti pateikta  su kiekvienu komplektu lietuvių kalba parengtas prietaiso aprašymas, techninės charakteristikas, vartotojams skirtas naudojimo ir priežiūros instrukcijas, kuriose būtų pateikta informacija, reikalinga, kad prietaisas teiktų tikslius matavimo rezultatus, būtų tinkamai ir saugiai naudojamas ir prižiūrimas.</w:t>
      </w:r>
    </w:p>
    <w:p w14:paraId="1AD2A54B" w14:textId="77777777" w:rsidR="00D74648" w:rsidRPr="004048B8" w:rsidRDefault="00D74648" w:rsidP="00D74648">
      <w:pPr>
        <w:pStyle w:val="DefaultText"/>
        <w:rPr>
          <w:rFonts w:ascii="Times New Roman" w:hAnsi="Times New Roman"/>
          <w:b/>
          <w:bCs/>
          <w:szCs w:val="24"/>
          <w:lang w:val="lt-LT"/>
        </w:rPr>
      </w:pPr>
      <w:r w:rsidRPr="004048B8">
        <w:rPr>
          <w:rFonts w:ascii="Times New Roman" w:eastAsiaTheme="minorHAnsi" w:hAnsi="Times New Roman"/>
          <w:szCs w:val="24"/>
          <w:lang w:val="lt-LT"/>
        </w:rPr>
        <w:t xml:space="preserve">11. </w:t>
      </w:r>
      <w:r w:rsidRPr="004048B8">
        <w:rPr>
          <w:rFonts w:ascii="Times New Roman" w:hAnsi="Times New Roman"/>
          <w:szCs w:val="24"/>
          <w:lang w:val="lt-LT"/>
        </w:rPr>
        <w:t>Dujų analizatoriai turi būti tinkami naudoti sprogiose aplinkose (1 zona IIC T4).</w:t>
      </w:r>
    </w:p>
    <w:p w14:paraId="1E1BDC08" w14:textId="77777777" w:rsidR="00D74648" w:rsidRPr="004048B8" w:rsidRDefault="00D74648" w:rsidP="00D74648">
      <w:pPr>
        <w:pStyle w:val="DefaultText"/>
        <w:rPr>
          <w:rFonts w:ascii="Times New Roman" w:eastAsiaTheme="minorHAnsi" w:hAnsi="Times New Roman"/>
          <w:szCs w:val="24"/>
          <w:lang w:val="lt-LT"/>
        </w:rPr>
      </w:pPr>
      <w:r w:rsidRPr="004048B8">
        <w:rPr>
          <w:rFonts w:ascii="Times New Roman" w:eastAsiaTheme="minorHAnsi" w:hAnsi="Times New Roman"/>
          <w:szCs w:val="24"/>
          <w:lang w:val="lt-LT"/>
        </w:rPr>
        <w:t>12. Dujų analizatoriai turi būti komplektuojami su šia papildoma įranga:</w:t>
      </w:r>
    </w:p>
    <w:p w14:paraId="2DD4D1B6" w14:textId="77777777" w:rsidR="00D74648" w:rsidRPr="004048B8" w:rsidRDefault="00D74648" w:rsidP="00D74648">
      <w:pPr>
        <w:numPr>
          <w:ilvl w:val="0"/>
          <w:numId w:val="49"/>
        </w:numPr>
        <w:spacing w:after="0" w:line="240" w:lineRule="auto"/>
        <w:rPr>
          <w:rFonts w:ascii="Times New Roman" w:hAnsi="Times New Roman" w:cs="Times New Roman"/>
          <w:sz w:val="24"/>
          <w:szCs w:val="24"/>
        </w:rPr>
      </w:pPr>
      <w:r w:rsidRPr="004048B8">
        <w:rPr>
          <w:rFonts w:ascii="Times New Roman" w:hAnsi="Times New Roman" w:cs="Times New Roman"/>
          <w:sz w:val="24"/>
          <w:szCs w:val="24"/>
        </w:rPr>
        <w:t>Akumuliatorinis maitinimas, kuris užtikrintų ne trumpesnį  kaip 84 val. nepertraukiamą prietaiso darbą su siurbliu;</w:t>
      </w:r>
    </w:p>
    <w:p w14:paraId="587DEC70" w14:textId="77777777" w:rsidR="00D74648" w:rsidRPr="004048B8" w:rsidRDefault="00D74648" w:rsidP="00D74648">
      <w:pPr>
        <w:numPr>
          <w:ilvl w:val="0"/>
          <w:numId w:val="49"/>
        </w:numPr>
        <w:spacing w:after="0" w:line="240" w:lineRule="auto"/>
        <w:rPr>
          <w:rFonts w:ascii="Times New Roman" w:hAnsi="Times New Roman" w:cs="Times New Roman"/>
          <w:sz w:val="24"/>
          <w:szCs w:val="24"/>
        </w:rPr>
      </w:pPr>
      <w:r w:rsidRPr="004048B8">
        <w:rPr>
          <w:rFonts w:ascii="Times New Roman" w:hAnsi="Times New Roman" w:cs="Times New Roman"/>
          <w:sz w:val="24"/>
          <w:szCs w:val="24"/>
        </w:rPr>
        <w:t>baterijų įkroviklis (nuo 220 V, 50Hz tinklo);</w:t>
      </w:r>
    </w:p>
    <w:p w14:paraId="71E45CCD" w14:textId="77777777" w:rsidR="00D74648" w:rsidRPr="004048B8" w:rsidRDefault="00D74648" w:rsidP="00D74648">
      <w:pPr>
        <w:numPr>
          <w:ilvl w:val="0"/>
          <w:numId w:val="49"/>
        </w:numPr>
        <w:spacing w:after="0" w:line="240" w:lineRule="auto"/>
        <w:rPr>
          <w:rFonts w:ascii="Times New Roman" w:hAnsi="Times New Roman" w:cs="Times New Roman"/>
          <w:sz w:val="24"/>
          <w:szCs w:val="24"/>
        </w:rPr>
      </w:pPr>
      <w:r w:rsidRPr="004048B8">
        <w:rPr>
          <w:rFonts w:ascii="Times New Roman" w:hAnsi="Times New Roman" w:cs="Times New Roman"/>
          <w:sz w:val="24"/>
          <w:szCs w:val="24"/>
        </w:rPr>
        <w:t>prietaiso korpusas turi būti smūgiams atsparus.</w:t>
      </w:r>
    </w:p>
    <w:p w14:paraId="60C915B0" w14:textId="77777777" w:rsidR="00D74648" w:rsidRPr="004048B8" w:rsidRDefault="00D74648" w:rsidP="00D74648">
      <w:pPr>
        <w:spacing w:after="0" w:line="240" w:lineRule="auto"/>
        <w:rPr>
          <w:rFonts w:ascii="Times New Roman" w:eastAsiaTheme="minorHAnsi" w:hAnsi="Times New Roman" w:cs="Times New Roman"/>
          <w:sz w:val="24"/>
          <w:szCs w:val="24"/>
        </w:rPr>
      </w:pPr>
      <w:r w:rsidRPr="004048B8">
        <w:rPr>
          <w:rFonts w:ascii="Times New Roman" w:eastAsiaTheme="minorHAnsi" w:hAnsi="Times New Roman" w:cs="Times New Roman"/>
          <w:sz w:val="24"/>
          <w:szCs w:val="24"/>
        </w:rPr>
        <w:t>13. Belaidis ryšys tarp dujų analizatorių ne mažiau kaip iki 300 metrų, bevielis ryšio tinklas, dažnis be licencijos: ISM (2,405 - 2,480 GHz).</w:t>
      </w:r>
    </w:p>
    <w:p w14:paraId="1D51EC76" w14:textId="77777777" w:rsidR="00D74648" w:rsidRPr="004048B8" w:rsidRDefault="00D74648" w:rsidP="00D74648">
      <w:pPr>
        <w:spacing w:after="0" w:line="240" w:lineRule="auto"/>
        <w:rPr>
          <w:rFonts w:ascii="Times New Roman" w:eastAsiaTheme="minorHAnsi" w:hAnsi="Times New Roman" w:cs="Times New Roman"/>
          <w:sz w:val="24"/>
          <w:szCs w:val="24"/>
        </w:rPr>
      </w:pPr>
      <w:r w:rsidRPr="004048B8">
        <w:rPr>
          <w:rFonts w:ascii="Times New Roman" w:eastAsiaTheme="minorHAnsi" w:hAnsi="Times New Roman" w:cs="Times New Roman"/>
          <w:sz w:val="24"/>
          <w:szCs w:val="24"/>
        </w:rPr>
        <w:t>14. Programuojami aliarmo pranešimai.</w:t>
      </w:r>
    </w:p>
    <w:p w14:paraId="3EEBA11E" w14:textId="6FB676D6" w:rsidR="00E64C28" w:rsidRPr="004048B8" w:rsidRDefault="00E64C28" w:rsidP="00D74648">
      <w:pPr>
        <w:spacing w:after="0" w:line="240" w:lineRule="auto"/>
        <w:rPr>
          <w:rFonts w:ascii="Times New Roman" w:eastAsiaTheme="minorHAnsi" w:hAnsi="Times New Roman" w:cs="Times New Roman"/>
          <w:sz w:val="24"/>
          <w:szCs w:val="24"/>
        </w:rPr>
      </w:pPr>
      <w:r w:rsidRPr="004048B8">
        <w:rPr>
          <w:rFonts w:ascii="Times New Roman" w:eastAsiaTheme="minorHAnsi" w:hAnsi="Times New Roman" w:cs="Times New Roman"/>
          <w:sz w:val="24"/>
          <w:szCs w:val="24"/>
        </w:rPr>
        <w:t xml:space="preserve">15. Dujų analizatoriai turi būti pagaminti ne anksčiau kaip 2025 m. </w:t>
      </w:r>
    </w:p>
    <w:p w14:paraId="14255DBF" w14:textId="2E1FBCD4" w:rsidR="004B0E83" w:rsidRPr="004048B8" w:rsidRDefault="00D74648" w:rsidP="004B0E83">
      <w:pPr>
        <w:pStyle w:val="Betarp"/>
        <w:rPr>
          <w:rFonts w:ascii="Times New Roman" w:hAnsi="Times New Roman" w:cs="Times New Roman"/>
          <w:sz w:val="24"/>
          <w:szCs w:val="24"/>
          <w:lang w:val="lt-LT"/>
        </w:rPr>
      </w:pPr>
      <w:r w:rsidRPr="004048B8">
        <w:rPr>
          <w:rFonts w:ascii="Times New Roman" w:eastAsiaTheme="minorHAnsi" w:hAnsi="Times New Roman" w:cs="Times New Roman"/>
          <w:sz w:val="24"/>
          <w:szCs w:val="24"/>
        </w:rPr>
        <w:t>1</w:t>
      </w:r>
      <w:r w:rsidR="00CE23AA" w:rsidRPr="004048B8">
        <w:rPr>
          <w:rFonts w:ascii="Times New Roman" w:eastAsiaTheme="minorHAnsi" w:hAnsi="Times New Roman" w:cs="Times New Roman"/>
          <w:sz w:val="24"/>
          <w:szCs w:val="24"/>
        </w:rPr>
        <w:t>6</w:t>
      </w:r>
      <w:r w:rsidRPr="004048B8">
        <w:rPr>
          <w:rFonts w:ascii="Times New Roman" w:eastAsiaTheme="minorHAnsi" w:hAnsi="Times New Roman" w:cs="Times New Roman"/>
          <w:sz w:val="24"/>
          <w:szCs w:val="24"/>
        </w:rPr>
        <w:t xml:space="preserve">. </w:t>
      </w:r>
      <w:r w:rsidR="00B26952" w:rsidRPr="004048B8">
        <w:rPr>
          <w:rFonts w:ascii="Times New Roman" w:eastAsia="Times New Roman" w:hAnsi="Times New Roman" w:cs="Times New Roman"/>
          <w:sz w:val="24"/>
          <w:szCs w:val="24"/>
          <w:lang w:val="lt-LT"/>
        </w:rPr>
        <w:t xml:space="preserve">Tiekėjas, per </w:t>
      </w:r>
      <w:r w:rsidR="00B26952" w:rsidRPr="004048B8">
        <w:rPr>
          <w:rFonts w:ascii="Times New Roman" w:eastAsia="Times New Roman" w:hAnsi="Times New Roman" w:cs="Times New Roman"/>
          <w:b/>
          <w:bCs/>
          <w:sz w:val="24"/>
          <w:szCs w:val="24"/>
          <w:lang w:val="lt-LT"/>
        </w:rPr>
        <w:t>ne vėliau kaip 10 darbo dienų</w:t>
      </w:r>
      <w:r w:rsidR="00B26952" w:rsidRPr="004048B8">
        <w:rPr>
          <w:rFonts w:ascii="Times New Roman" w:eastAsia="Times New Roman" w:hAnsi="Times New Roman" w:cs="Times New Roman"/>
          <w:sz w:val="24"/>
          <w:szCs w:val="24"/>
          <w:lang w:val="lt-LT"/>
        </w:rPr>
        <w:t xml:space="preserve"> po dujų analizatorių perdavimo-priėmimo akto pasirašymo dienos, turės organizuoti valstybinės priešgaisrinės gelbėjimo tarnybos įstaigos, kurioje bus eksploatuojami dujų analizatoriai, adresu: </w:t>
      </w:r>
      <w:r w:rsidR="00B26952" w:rsidRPr="004048B8">
        <w:rPr>
          <w:rFonts w:ascii="Times New Roman" w:eastAsia="Times New Roman" w:hAnsi="Times New Roman" w:cs="Times New Roman"/>
          <w:kern w:val="2"/>
          <w:sz w:val="24"/>
          <w:szCs w:val="24"/>
          <w:lang w:val="lt-LT"/>
        </w:rPr>
        <w:t>Mažeikių objektinė priešgaisrinė gelbėjimo valdyba, Mažeikių g. 75, Juodeikių k. LT-89543 Mažeikių r.</w:t>
      </w:r>
      <w:r w:rsidR="00B26952" w:rsidRPr="004048B8">
        <w:rPr>
          <w:rFonts w:ascii="Times New Roman" w:eastAsia="Times New Roman" w:hAnsi="Times New Roman" w:cs="Times New Roman"/>
          <w:sz w:val="24"/>
          <w:szCs w:val="24"/>
          <w:lang w:val="lt-LT"/>
        </w:rPr>
        <w:t xml:space="preserve">, darbuotojų mokymą dirbti su dujų analizatoriais. Tikslus mokymų laikas bus aptartas dujų analizatorių perdavimo–priėmimo metu. </w:t>
      </w:r>
      <w:r w:rsidR="004B0E83" w:rsidRPr="004048B8">
        <w:rPr>
          <w:rFonts w:ascii="Times New Roman" w:hAnsi="Times New Roman" w:cs="Times New Roman"/>
          <w:sz w:val="24"/>
          <w:szCs w:val="24"/>
          <w:lang w:val="lt-LT"/>
        </w:rPr>
        <w:t xml:space="preserve"> </w:t>
      </w:r>
    </w:p>
    <w:p w14:paraId="1000DC52" w14:textId="7B4B9B86" w:rsidR="00D74648" w:rsidRPr="004048B8" w:rsidRDefault="00D74648" w:rsidP="00D74648">
      <w:pPr>
        <w:spacing w:after="0" w:line="240" w:lineRule="auto"/>
        <w:rPr>
          <w:rFonts w:ascii="Times New Roman" w:hAnsi="Times New Roman" w:cs="Times New Roman"/>
          <w:kern w:val="2"/>
          <w:sz w:val="24"/>
          <w:szCs w:val="24"/>
        </w:rPr>
      </w:pPr>
      <w:r w:rsidRPr="004048B8">
        <w:rPr>
          <w:rFonts w:ascii="Times New Roman" w:hAnsi="Times New Roman" w:cs="Times New Roman"/>
          <w:sz w:val="24"/>
          <w:szCs w:val="24"/>
        </w:rPr>
        <w:t>1</w:t>
      </w:r>
      <w:r w:rsidR="00CE23AA" w:rsidRPr="004048B8">
        <w:rPr>
          <w:rFonts w:ascii="Times New Roman" w:hAnsi="Times New Roman" w:cs="Times New Roman"/>
          <w:sz w:val="24"/>
          <w:szCs w:val="24"/>
        </w:rPr>
        <w:t>7</w:t>
      </w:r>
      <w:r w:rsidRPr="004048B8">
        <w:rPr>
          <w:rFonts w:ascii="Times New Roman" w:hAnsi="Times New Roman" w:cs="Times New Roman"/>
          <w:sz w:val="24"/>
          <w:szCs w:val="24"/>
        </w:rPr>
        <w:t>. Dujų analizatoriams g</w:t>
      </w:r>
      <w:r w:rsidRPr="004048B8">
        <w:rPr>
          <w:rFonts w:ascii="Times New Roman" w:hAnsi="Times New Roman" w:cs="Times New Roman"/>
          <w:kern w:val="2"/>
          <w:sz w:val="24"/>
          <w:szCs w:val="24"/>
        </w:rPr>
        <w:t>arantinis terminas ne trumpesnis kaip 24 (dvidešimt  keturi) mėnesiai.</w:t>
      </w:r>
    </w:p>
    <w:p w14:paraId="0C10E96B" w14:textId="24E81BFD" w:rsidR="00D74648" w:rsidRPr="004048B8" w:rsidRDefault="00D74648" w:rsidP="00D74648">
      <w:pPr>
        <w:spacing w:after="0" w:line="240" w:lineRule="auto"/>
        <w:rPr>
          <w:rFonts w:ascii="Times New Roman" w:hAnsi="Times New Roman" w:cs="Times New Roman"/>
          <w:kern w:val="2"/>
          <w:sz w:val="24"/>
          <w:szCs w:val="24"/>
        </w:rPr>
      </w:pPr>
      <w:r w:rsidRPr="004048B8">
        <w:rPr>
          <w:rFonts w:ascii="Times New Roman" w:hAnsi="Times New Roman" w:cs="Times New Roman"/>
          <w:kern w:val="2"/>
          <w:sz w:val="24"/>
          <w:szCs w:val="24"/>
        </w:rPr>
        <w:lastRenderedPageBreak/>
        <w:t>1</w:t>
      </w:r>
      <w:r w:rsidR="00CE23AA" w:rsidRPr="004048B8">
        <w:rPr>
          <w:rFonts w:ascii="Times New Roman" w:hAnsi="Times New Roman" w:cs="Times New Roman"/>
          <w:kern w:val="2"/>
          <w:sz w:val="24"/>
          <w:szCs w:val="24"/>
        </w:rPr>
        <w:t>8</w:t>
      </w:r>
      <w:r w:rsidRPr="004048B8">
        <w:rPr>
          <w:rFonts w:ascii="Times New Roman" w:hAnsi="Times New Roman" w:cs="Times New Roman"/>
          <w:kern w:val="2"/>
          <w:sz w:val="24"/>
          <w:szCs w:val="24"/>
        </w:rPr>
        <w:t>.  Akumuliatoriams ir įkrovikliams garantinis terminas ne trumpesnis kaip 12 (dvylika) mėnesių.</w:t>
      </w:r>
    </w:p>
    <w:p w14:paraId="7FD7671D" w14:textId="7BD079EF" w:rsidR="00D74648" w:rsidRPr="004048B8" w:rsidRDefault="00D74648" w:rsidP="00D74648">
      <w:pPr>
        <w:rPr>
          <w:rFonts w:ascii="Calibri" w:eastAsia="Calibri" w:hAnsi="Calibri" w:cs="Calibri"/>
          <w14:ligatures w14:val="standardContextual"/>
        </w:rPr>
      </w:pPr>
      <w:r w:rsidRPr="004048B8">
        <w:rPr>
          <w:rFonts w:ascii="Times New Roman" w:hAnsi="Times New Roman" w:cs="Times New Roman"/>
          <w:kern w:val="2"/>
          <w:sz w:val="24"/>
          <w:szCs w:val="24"/>
        </w:rPr>
        <w:t>1</w:t>
      </w:r>
      <w:r w:rsidR="00CE23AA" w:rsidRPr="004048B8">
        <w:rPr>
          <w:rFonts w:ascii="Times New Roman" w:hAnsi="Times New Roman" w:cs="Times New Roman"/>
          <w:kern w:val="2"/>
          <w:sz w:val="24"/>
          <w:szCs w:val="24"/>
        </w:rPr>
        <w:t>9</w:t>
      </w:r>
      <w:r w:rsidRPr="004048B8">
        <w:rPr>
          <w:rFonts w:ascii="Times New Roman" w:hAnsi="Times New Roman" w:cs="Times New Roman"/>
          <w:kern w:val="2"/>
          <w:sz w:val="24"/>
          <w:szCs w:val="24"/>
        </w:rPr>
        <w:t xml:space="preserve">. </w:t>
      </w:r>
      <w:r w:rsidRPr="004048B8">
        <w:rPr>
          <w:rFonts w:ascii="Times New Roman" w:eastAsia="Calibri" w:hAnsi="Times New Roman" w:cs="Times New Roman"/>
          <w:sz w:val="24"/>
          <w:szCs w:val="24"/>
        </w:rPr>
        <w:t xml:space="preserve">Dujų analizatoriams nustatomi </w:t>
      </w:r>
      <w:r w:rsidRPr="004048B8">
        <w:rPr>
          <w:rFonts w:ascii="Times New Roman" w:eastAsia="Calibri" w:hAnsi="Times New Roman" w:cs="Times New Roman"/>
          <w:sz w:val="24"/>
          <w:szCs w:val="24"/>
          <w:lang w:val="lv-LV" w:eastAsia="lt-LT"/>
        </w:rPr>
        <w:t>aplinkos apsaugos kriterijai pagal Aplinkos apsaugos kriterijų taikymo, vykdant žaliuosius pirkimus, tvarkos aprašo, patvirtinto Lietuvos Respublikos aplinkos ministro 2011 m. birželio 28 d. įsakymu Nr. DI-508 (Nauja redakcija nuo 2024-02-01) 4.4.4.4 p. - prekė turi būti tvirta, funkcionali, ji ar jos sudedamosios dalys turi tikti naudoti daug kartų ir (ar) būti lengvai pataisomos, ir (ar) pakeičiamos.</w:t>
      </w:r>
    </w:p>
    <w:p w14:paraId="059BBB0D" w14:textId="77777777" w:rsidR="00D74648" w:rsidRPr="004048B8" w:rsidRDefault="00D74648" w:rsidP="00D74648">
      <w:pPr>
        <w:spacing w:after="0" w:line="240" w:lineRule="auto"/>
        <w:jc w:val="center"/>
        <w:rPr>
          <w:rFonts w:ascii="Times New Roman" w:hAnsi="Times New Roman" w:cs="Times New Roman"/>
          <w:sz w:val="24"/>
          <w:szCs w:val="24"/>
        </w:rPr>
      </w:pPr>
      <w:r w:rsidRPr="004048B8">
        <w:rPr>
          <w:rFonts w:ascii="Times New Roman" w:hAnsi="Times New Roman" w:cs="Times New Roman"/>
          <w:sz w:val="24"/>
          <w:szCs w:val="24"/>
        </w:rPr>
        <w:t>_______________________________</w:t>
      </w:r>
    </w:p>
    <w:p w14:paraId="42638A69" w14:textId="77777777" w:rsidR="00D74648" w:rsidRPr="004048B8" w:rsidRDefault="00D74648" w:rsidP="00D74648">
      <w:pPr>
        <w:spacing w:after="0" w:line="240" w:lineRule="auto"/>
        <w:ind w:left="6237"/>
        <w:rPr>
          <w:rFonts w:ascii="Times New Roman" w:eastAsia="Calibri" w:hAnsi="Times New Roman" w:cs="Times New Roman"/>
          <w:sz w:val="24"/>
          <w:szCs w:val="24"/>
        </w:rPr>
      </w:pPr>
    </w:p>
    <w:bookmarkEnd w:id="14"/>
    <w:p w14:paraId="4ADD3FF2" w14:textId="77777777" w:rsidR="00D74648" w:rsidRPr="004048B8" w:rsidRDefault="00D74648" w:rsidP="00800BE3">
      <w:pPr>
        <w:pStyle w:val="Sraopastraipa"/>
        <w:spacing w:after="0" w:line="240" w:lineRule="auto"/>
        <w:ind w:left="0" w:firstLine="567"/>
        <w:rPr>
          <w:rFonts w:ascii="Times New Roman" w:hAnsi="Times New Roman" w:cs="Times New Roman"/>
          <w:sz w:val="24"/>
          <w:szCs w:val="24"/>
        </w:rPr>
      </w:pPr>
    </w:p>
    <w:sectPr w:rsidR="00D74648" w:rsidRPr="004048B8" w:rsidSect="00F372C9">
      <w:headerReference w:type="default" r:id="rId10"/>
      <w:footerReference w:type="default" r:id="rId11"/>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09AE6" w14:textId="77777777" w:rsidR="002F3005" w:rsidRDefault="002F3005">
      <w:pPr>
        <w:spacing w:after="0" w:line="240" w:lineRule="auto"/>
      </w:pPr>
      <w:r>
        <w:separator/>
      </w:r>
    </w:p>
  </w:endnote>
  <w:endnote w:type="continuationSeparator" w:id="0">
    <w:p w14:paraId="1918F65C" w14:textId="77777777" w:rsidR="002F3005" w:rsidRDefault="002F30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7547D479"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E14620">
              <w:rPr>
                <w:rFonts w:ascii="Calibri Light" w:hAnsi="Calibri Light" w:cs="Calibri Light"/>
                <w:bCs/>
                <w:noProof/>
                <w:sz w:val="20"/>
                <w:szCs w:val="20"/>
              </w:rPr>
              <w:t>1</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E14620">
              <w:rPr>
                <w:rFonts w:ascii="Calibri Light" w:hAnsi="Calibri Light" w:cs="Calibri Light"/>
                <w:bCs/>
                <w:noProof/>
                <w:sz w:val="20"/>
                <w:szCs w:val="20"/>
              </w:rPr>
              <w:t>1</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25E9E" w14:textId="77777777" w:rsidR="002F3005" w:rsidRDefault="002F3005">
      <w:pPr>
        <w:spacing w:after="0" w:line="240" w:lineRule="auto"/>
      </w:pPr>
      <w:r>
        <w:separator/>
      </w:r>
    </w:p>
  </w:footnote>
  <w:footnote w:type="continuationSeparator" w:id="0">
    <w:p w14:paraId="3924D72B" w14:textId="77777777" w:rsidR="002F3005" w:rsidRDefault="002F30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339"/>
    </w:tblGrid>
    <w:tr w:rsidR="00CC5562" w:rsidRPr="00F946E3" w14:paraId="508F4584" w14:textId="77777777" w:rsidTr="00CC5562">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7A2AA1D4" w14:textId="6DF71880" w:rsidR="00CC5562" w:rsidRPr="00F946E3" w:rsidRDefault="005B07A1" w:rsidP="00CC5562">
          <w:pPr>
            <w:jc w:val="left"/>
            <w:rPr>
              <w:rFonts w:ascii="Calibri Light" w:hAnsi="Calibri Light" w:cs="Calibri Light"/>
              <w:b/>
              <w:sz w:val="20"/>
              <w:szCs w:val="20"/>
            </w:rPr>
          </w:pPr>
          <w:r>
            <w:rPr>
              <w:rFonts w:ascii="Calibri Light" w:hAnsi="Calibri Light" w:cs="Calibri Light"/>
              <w:b/>
              <w:color w:val="FFFFFF" w:themeColor="background1"/>
              <w:sz w:val="20"/>
              <w:szCs w:val="20"/>
            </w:rPr>
            <w:t xml:space="preserve">PAGD </w:t>
          </w:r>
          <w:r w:rsidR="00CC5562" w:rsidRPr="00F946E3">
            <w:rPr>
              <w:rFonts w:ascii="Calibri Light" w:hAnsi="Calibri Light" w:cs="Calibri Light"/>
              <w:b/>
              <w:color w:val="FFFFFF" w:themeColor="background1"/>
              <w:sz w:val="20"/>
              <w:szCs w:val="20"/>
            </w:rPr>
            <w:t xml:space="preserve"> &gt; PIRKIMO DOKUMENTAI (PD) &gt; TECHNINĖ SPECIFIKACIJA (TS)</w:t>
          </w:r>
        </w:p>
      </w:tc>
    </w:tr>
  </w:tbl>
  <w:p w14:paraId="382CCFC6" w14:textId="6175AAE9" w:rsidR="00CC5562" w:rsidRPr="00F946E3" w:rsidRDefault="00CC5562" w:rsidP="00A122D6">
    <w:pPr>
      <w:pStyle w:val="Antrats"/>
      <w:rPr>
        <w:rFonts w:ascii="Calibri Light" w:hAnsi="Calibri Light" w:cs="Calibri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4014435"/>
    <w:multiLevelType w:val="hybridMultilevel"/>
    <w:tmpl w:val="55DC4E64"/>
    <w:lvl w:ilvl="0" w:tplc="C47A13C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0"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1"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2"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4"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18C2151"/>
    <w:multiLevelType w:val="hybridMultilevel"/>
    <w:tmpl w:val="FE4C3FE8"/>
    <w:lvl w:ilvl="0" w:tplc="3BA82AD8">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21"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6F040DC"/>
    <w:multiLevelType w:val="multilevel"/>
    <w:tmpl w:val="1EDC59EA"/>
    <w:lvl w:ilvl="0">
      <w:start w:val="1"/>
      <w:numFmt w:val="decimal"/>
      <w:lvlText w:val="%1."/>
      <w:legacy w:legacy="1" w:legacySpace="0" w:legacyIndent="360"/>
      <w:lvlJc w:val="left"/>
      <w:pPr>
        <w:ind w:left="786" w:hanging="360"/>
      </w:pPr>
      <w:rPr>
        <w:rFonts w:ascii="Times New Roman" w:hAnsi="Times New Roman" w:hint="default"/>
        <w:b w:val="0"/>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3A57567E"/>
    <w:multiLevelType w:val="hybridMultilevel"/>
    <w:tmpl w:val="60D4320C"/>
    <w:lvl w:ilvl="0" w:tplc="FE7458F6">
      <w:start w:val="1"/>
      <w:numFmt w:val="bullet"/>
      <w:lvlText w:val="-"/>
      <w:lvlJc w:val="left"/>
      <w:pPr>
        <w:ind w:left="4264" w:hanging="360"/>
      </w:pPr>
      <w:rPr>
        <w:rFonts w:ascii="Times New Roman" w:eastAsia="Times New Roman" w:hAnsi="Times New Roman" w:cs="Times New Roman" w:hint="default"/>
      </w:rPr>
    </w:lvl>
    <w:lvl w:ilvl="1" w:tplc="04270003" w:tentative="1">
      <w:start w:val="1"/>
      <w:numFmt w:val="bullet"/>
      <w:lvlText w:val="o"/>
      <w:lvlJc w:val="left"/>
      <w:pPr>
        <w:ind w:left="4984" w:hanging="360"/>
      </w:pPr>
      <w:rPr>
        <w:rFonts w:ascii="Courier New" w:hAnsi="Courier New" w:cs="Courier New" w:hint="default"/>
      </w:rPr>
    </w:lvl>
    <w:lvl w:ilvl="2" w:tplc="04270005" w:tentative="1">
      <w:start w:val="1"/>
      <w:numFmt w:val="bullet"/>
      <w:lvlText w:val=""/>
      <w:lvlJc w:val="left"/>
      <w:pPr>
        <w:ind w:left="5704" w:hanging="360"/>
      </w:pPr>
      <w:rPr>
        <w:rFonts w:ascii="Wingdings" w:hAnsi="Wingdings" w:hint="default"/>
      </w:rPr>
    </w:lvl>
    <w:lvl w:ilvl="3" w:tplc="04270001" w:tentative="1">
      <w:start w:val="1"/>
      <w:numFmt w:val="bullet"/>
      <w:lvlText w:val=""/>
      <w:lvlJc w:val="left"/>
      <w:pPr>
        <w:ind w:left="6424" w:hanging="360"/>
      </w:pPr>
      <w:rPr>
        <w:rFonts w:ascii="Symbol" w:hAnsi="Symbol" w:hint="default"/>
      </w:rPr>
    </w:lvl>
    <w:lvl w:ilvl="4" w:tplc="04270003" w:tentative="1">
      <w:start w:val="1"/>
      <w:numFmt w:val="bullet"/>
      <w:lvlText w:val="o"/>
      <w:lvlJc w:val="left"/>
      <w:pPr>
        <w:ind w:left="7144" w:hanging="360"/>
      </w:pPr>
      <w:rPr>
        <w:rFonts w:ascii="Courier New" w:hAnsi="Courier New" w:cs="Courier New" w:hint="default"/>
      </w:rPr>
    </w:lvl>
    <w:lvl w:ilvl="5" w:tplc="04270005" w:tentative="1">
      <w:start w:val="1"/>
      <w:numFmt w:val="bullet"/>
      <w:lvlText w:val=""/>
      <w:lvlJc w:val="left"/>
      <w:pPr>
        <w:ind w:left="7864" w:hanging="360"/>
      </w:pPr>
      <w:rPr>
        <w:rFonts w:ascii="Wingdings" w:hAnsi="Wingdings" w:hint="default"/>
      </w:rPr>
    </w:lvl>
    <w:lvl w:ilvl="6" w:tplc="04270001" w:tentative="1">
      <w:start w:val="1"/>
      <w:numFmt w:val="bullet"/>
      <w:lvlText w:val=""/>
      <w:lvlJc w:val="left"/>
      <w:pPr>
        <w:ind w:left="8584" w:hanging="360"/>
      </w:pPr>
      <w:rPr>
        <w:rFonts w:ascii="Symbol" w:hAnsi="Symbol" w:hint="default"/>
      </w:rPr>
    </w:lvl>
    <w:lvl w:ilvl="7" w:tplc="04270003" w:tentative="1">
      <w:start w:val="1"/>
      <w:numFmt w:val="bullet"/>
      <w:lvlText w:val="o"/>
      <w:lvlJc w:val="left"/>
      <w:pPr>
        <w:ind w:left="9304" w:hanging="360"/>
      </w:pPr>
      <w:rPr>
        <w:rFonts w:ascii="Courier New" w:hAnsi="Courier New" w:cs="Courier New" w:hint="default"/>
      </w:rPr>
    </w:lvl>
    <w:lvl w:ilvl="8" w:tplc="04270005" w:tentative="1">
      <w:start w:val="1"/>
      <w:numFmt w:val="bullet"/>
      <w:lvlText w:val=""/>
      <w:lvlJc w:val="left"/>
      <w:pPr>
        <w:ind w:left="10024" w:hanging="360"/>
      </w:pPr>
      <w:rPr>
        <w:rFonts w:ascii="Wingdings" w:hAnsi="Wingdings" w:hint="default"/>
      </w:rPr>
    </w:lvl>
  </w:abstractNum>
  <w:abstractNum w:abstractNumId="25"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6"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7" w15:restartNumberingAfterBreak="0">
    <w:nsid w:val="3D1C2465"/>
    <w:multiLevelType w:val="hybridMultilevel"/>
    <w:tmpl w:val="0B668984"/>
    <w:lvl w:ilvl="0" w:tplc="6A34BCF6">
      <w:start w:val="1"/>
      <w:numFmt w:val="upperRoman"/>
      <w:suff w:val="space"/>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8" w15:restartNumberingAfterBreak="0">
    <w:nsid w:val="40B93699"/>
    <w:multiLevelType w:val="hybridMultilevel"/>
    <w:tmpl w:val="FF24D5EA"/>
    <w:lvl w:ilvl="0" w:tplc="322AD97A">
      <w:numFmt w:val="bullet"/>
      <w:lvlText w:val="-"/>
      <w:lvlJc w:val="left"/>
      <w:pPr>
        <w:ind w:left="1146" w:hanging="360"/>
      </w:pPr>
      <w:rPr>
        <w:rFonts w:ascii="Times New Roman" w:eastAsia="Times New Roman" w:hAnsi="Times New Roman" w:cs="Times New Roman" w:hint="default"/>
        <w:color w:val="auto"/>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29"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31"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33"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34"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5"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6" w15:restartNumberingAfterBreak="0">
    <w:nsid w:val="526353E5"/>
    <w:multiLevelType w:val="hybridMultilevel"/>
    <w:tmpl w:val="55DC4E64"/>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7"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0"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6A8C3CE8"/>
    <w:multiLevelType w:val="hybridMultilevel"/>
    <w:tmpl w:val="2E24A69A"/>
    <w:lvl w:ilvl="0" w:tplc="E38E3E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2" w15:restartNumberingAfterBreak="0">
    <w:nsid w:val="6BED33BA"/>
    <w:multiLevelType w:val="hybridMultilevel"/>
    <w:tmpl w:val="E3FAAF4E"/>
    <w:lvl w:ilvl="0" w:tplc="2F90330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44" w15:restartNumberingAfterBreak="0">
    <w:nsid w:val="710F2ECD"/>
    <w:multiLevelType w:val="hybridMultilevel"/>
    <w:tmpl w:val="FB1870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7"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9"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047680510">
    <w:abstractNumId w:val="4"/>
  </w:num>
  <w:num w:numId="2" w16cid:durableId="1964077012">
    <w:abstractNumId w:val="3"/>
  </w:num>
  <w:num w:numId="3" w16cid:durableId="665985393">
    <w:abstractNumId w:val="2"/>
  </w:num>
  <w:num w:numId="4" w16cid:durableId="1274901485">
    <w:abstractNumId w:val="1"/>
  </w:num>
  <w:num w:numId="5" w16cid:durableId="435175606">
    <w:abstractNumId w:val="0"/>
  </w:num>
  <w:num w:numId="6" w16cid:durableId="45303352">
    <w:abstractNumId w:val="14"/>
  </w:num>
  <w:num w:numId="7" w16cid:durableId="39672237">
    <w:abstractNumId w:val="22"/>
  </w:num>
  <w:num w:numId="8" w16cid:durableId="529221219">
    <w:abstractNumId w:val="18"/>
  </w:num>
  <w:num w:numId="9" w16cid:durableId="1094548975">
    <w:abstractNumId w:val="26"/>
  </w:num>
  <w:num w:numId="10" w16cid:durableId="1580401970">
    <w:abstractNumId w:val="10"/>
  </w:num>
  <w:num w:numId="11" w16cid:durableId="1781336588">
    <w:abstractNumId w:val="32"/>
  </w:num>
  <w:num w:numId="12" w16cid:durableId="1381175592">
    <w:abstractNumId w:val="11"/>
  </w:num>
  <w:num w:numId="13" w16cid:durableId="1370374990">
    <w:abstractNumId w:val="39"/>
  </w:num>
  <w:num w:numId="14" w16cid:durableId="111437783">
    <w:abstractNumId w:val="19"/>
  </w:num>
  <w:num w:numId="15" w16cid:durableId="1148202898">
    <w:abstractNumId w:val="47"/>
  </w:num>
  <w:num w:numId="16" w16cid:durableId="1305549502">
    <w:abstractNumId w:val="15"/>
  </w:num>
  <w:num w:numId="17" w16cid:durableId="1408501943">
    <w:abstractNumId w:val="37"/>
  </w:num>
  <w:num w:numId="18" w16cid:durableId="315036040">
    <w:abstractNumId w:val="29"/>
  </w:num>
  <w:num w:numId="19" w16cid:durableId="1061950455">
    <w:abstractNumId w:val="21"/>
  </w:num>
  <w:num w:numId="20" w16cid:durableId="2136365952">
    <w:abstractNumId w:val="31"/>
  </w:num>
  <w:num w:numId="21" w16cid:durableId="1562403683">
    <w:abstractNumId w:val="40"/>
  </w:num>
  <w:num w:numId="22" w16cid:durableId="1420248804">
    <w:abstractNumId w:val="45"/>
  </w:num>
  <w:num w:numId="23" w16cid:durableId="883757669">
    <w:abstractNumId w:val="12"/>
  </w:num>
  <w:num w:numId="24" w16cid:durableId="1618830326">
    <w:abstractNumId w:val="38"/>
  </w:num>
  <w:num w:numId="25" w16cid:durableId="8920896">
    <w:abstractNumId w:val="13"/>
  </w:num>
  <w:num w:numId="26" w16cid:durableId="680200655">
    <w:abstractNumId w:val="33"/>
  </w:num>
  <w:num w:numId="27" w16cid:durableId="55671161">
    <w:abstractNumId w:val="48"/>
  </w:num>
  <w:num w:numId="28" w16cid:durableId="161629528">
    <w:abstractNumId w:val="9"/>
  </w:num>
  <w:num w:numId="29" w16cid:durableId="1194001031">
    <w:abstractNumId w:val="20"/>
  </w:num>
  <w:num w:numId="30" w16cid:durableId="262999469">
    <w:abstractNumId w:val="49"/>
  </w:num>
  <w:num w:numId="31" w16cid:durableId="1639913353">
    <w:abstractNumId w:val="34"/>
  </w:num>
  <w:num w:numId="32" w16cid:durableId="1190296742">
    <w:abstractNumId w:val="6"/>
  </w:num>
  <w:num w:numId="33" w16cid:durableId="1128476035">
    <w:abstractNumId w:val="43"/>
  </w:num>
  <w:num w:numId="34" w16cid:durableId="1485663515">
    <w:abstractNumId w:val="7"/>
  </w:num>
  <w:num w:numId="35" w16cid:durableId="745690183">
    <w:abstractNumId w:val="30"/>
  </w:num>
  <w:num w:numId="36" w16cid:durableId="572274698">
    <w:abstractNumId w:val="46"/>
  </w:num>
  <w:num w:numId="37" w16cid:durableId="315913160">
    <w:abstractNumId w:val="17"/>
  </w:num>
  <w:num w:numId="38" w16cid:durableId="1005547852">
    <w:abstractNumId w:val="35"/>
  </w:num>
  <w:num w:numId="39" w16cid:durableId="845559245">
    <w:abstractNumId w:val="25"/>
  </w:num>
  <w:num w:numId="40" w16cid:durableId="917255060">
    <w:abstractNumId w:val="44"/>
  </w:num>
  <w:num w:numId="41" w16cid:durableId="109323031">
    <w:abstractNumId w:val="41"/>
  </w:num>
  <w:num w:numId="42" w16cid:durableId="58291507">
    <w:abstractNumId w:val="27"/>
  </w:num>
  <w:num w:numId="43" w16cid:durableId="831529319">
    <w:abstractNumId w:val="42"/>
  </w:num>
  <w:num w:numId="44" w16cid:durableId="452092317">
    <w:abstractNumId w:val="24"/>
  </w:num>
  <w:num w:numId="45" w16cid:durableId="1656109327">
    <w:abstractNumId w:val="16"/>
  </w:num>
  <w:num w:numId="46" w16cid:durableId="173541515">
    <w:abstractNumId w:val="8"/>
  </w:num>
  <w:num w:numId="47" w16cid:durableId="1069378906">
    <w:abstractNumId w:val="36"/>
  </w:num>
  <w:num w:numId="48" w16cid:durableId="1443918502">
    <w:abstractNumId w:val="23"/>
  </w:num>
  <w:num w:numId="49" w16cid:durableId="26805947">
    <w:abstractNumId w:val="2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087"/>
    <w:rsid w:val="00001963"/>
    <w:rsid w:val="00017E70"/>
    <w:rsid w:val="000256FF"/>
    <w:rsid w:val="00026A54"/>
    <w:rsid w:val="00033355"/>
    <w:rsid w:val="0003366F"/>
    <w:rsid w:val="00036DBB"/>
    <w:rsid w:val="000420DD"/>
    <w:rsid w:val="0004685E"/>
    <w:rsid w:val="00084F44"/>
    <w:rsid w:val="0009047A"/>
    <w:rsid w:val="00097241"/>
    <w:rsid w:val="000A23D3"/>
    <w:rsid w:val="000A39CC"/>
    <w:rsid w:val="000B0A6A"/>
    <w:rsid w:val="000C1A17"/>
    <w:rsid w:val="000C27C9"/>
    <w:rsid w:val="000F554D"/>
    <w:rsid w:val="0012439E"/>
    <w:rsid w:val="00133F52"/>
    <w:rsid w:val="0013733F"/>
    <w:rsid w:val="0014465A"/>
    <w:rsid w:val="0014549A"/>
    <w:rsid w:val="0014573B"/>
    <w:rsid w:val="0015224A"/>
    <w:rsid w:val="00153F22"/>
    <w:rsid w:val="001555AC"/>
    <w:rsid w:val="0016225E"/>
    <w:rsid w:val="0016304D"/>
    <w:rsid w:val="00165468"/>
    <w:rsid w:val="00165519"/>
    <w:rsid w:val="00167EC0"/>
    <w:rsid w:val="00171C82"/>
    <w:rsid w:val="0018021B"/>
    <w:rsid w:val="001A017D"/>
    <w:rsid w:val="001B5EC7"/>
    <w:rsid w:val="001E0913"/>
    <w:rsid w:val="001E72B5"/>
    <w:rsid w:val="001F3F23"/>
    <w:rsid w:val="0020401E"/>
    <w:rsid w:val="002101D9"/>
    <w:rsid w:val="00216CC3"/>
    <w:rsid w:val="002304E4"/>
    <w:rsid w:val="00230C9A"/>
    <w:rsid w:val="00246179"/>
    <w:rsid w:val="002473F4"/>
    <w:rsid w:val="00261339"/>
    <w:rsid w:val="00261B88"/>
    <w:rsid w:val="00263108"/>
    <w:rsid w:val="00265097"/>
    <w:rsid w:val="002665CE"/>
    <w:rsid w:val="00273CFD"/>
    <w:rsid w:val="00290944"/>
    <w:rsid w:val="002912FE"/>
    <w:rsid w:val="00297683"/>
    <w:rsid w:val="002A474B"/>
    <w:rsid w:val="002A626E"/>
    <w:rsid w:val="002C2765"/>
    <w:rsid w:val="002C422B"/>
    <w:rsid w:val="002C4E6E"/>
    <w:rsid w:val="002C658C"/>
    <w:rsid w:val="002C7F2C"/>
    <w:rsid w:val="002F1836"/>
    <w:rsid w:val="002F1F30"/>
    <w:rsid w:val="002F3005"/>
    <w:rsid w:val="00303085"/>
    <w:rsid w:val="0031226C"/>
    <w:rsid w:val="003150D0"/>
    <w:rsid w:val="003236D0"/>
    <w:rsid w:val="00334A5F"/>
    <w:rsid w:val="00341C69"/>
    <w:rsid w:val="0035046F"/>
    <w:rsid w:val="00355850"/>
    <w:rsid w:val="00355B56"/>
    <w:rsid w:val="00357BD5"/>
    <w:rsid w:val="003673D6"/>
    <w:rsid w:val="003819FF"/>
    <w:rsid w:val="00385616"/>
    <w:rsid w:val="0039096F"/>
    <w:rsid w:val="0039787C"/>
    <w:rsid w:val="003B0B81"/>
    <w:rsid w:val="003B1AEA"/>
    <w:rsid w:val="003C2849"/>
    <w:rsid w:val="003C3AF8"/>
    <w:rsid w:val="003D0DA8"/>
    <w:rsid w:val="003D3BE3"/>
    <w:rsid w:val="003D5439"/>
    <w:rsid w:val="003E3438"/>
    <w:rsid w:val="003E3E07"/>
    <w:rsid w:val="003F2E3F"/>
    <w:rsid w:val="003F6C42"/>
    <w:rsid w:val="003F7C19"/>
    <w:rsid w:val="004048B8"/>
    <w:rsid w:val="0041431C"/>
    <w:rsid w:val="0042600F"/>
    <w:rsid w:val="00430A6E"/>
    <w:rsid w:val="0043458D"/>
    <w:rsid w:val="00435AD3"/>
    <w:rsid w:val="004405B4"/>
    <w:rsid w:val="00443697"/>
    <w:rsid w:val="00445577"/>
    <w:rsid w:val="00456F08"/>
    <w:rsid w:val="00466DB9"/>
    <w:rsid w:val="00470AB6"/>
    <w:rsid w:val="004718C8"/>
    <w:rsid w:val="0047250A"/>
    <w:rsid w:val="00475921"/>
    <w:rsid w:val="004767D9"/>
    <w:rsid w:val="0047713F"/>
    <w:rsid w:val="00477AA1"/>
    <w:rsid w:val="0048180B"/>
    <w:rsid w:val="00483E3A"/>
    <w:rsid w:val="004A2E21"/>
    <w:rsid w:val="004A2F52"/>
    <w:rsid w:val="004A58F9"/>
    <w:rsid w:val="004B0E83"/>
    <w:rsid w:val="004B7CF6"/>
    <w:rsid w:val="004C1BD0"/>
    <w:rsid w:val="004C6C46"/>
    <w:rsid w:val="004D238B"/>
    <w:rsid w:val="004E2DBF"/>
    <w:rsid w:val="004E4883"/>
    <w:rsid w:val="004E5655"/>
    <w:rsid w:val="004F1729"/>
    <w:rsid w:val="004F4B43"/>
    <w:rsid w:val="004F690D"/>
    <w:rsid w:val="00506CEE"/>
    <w:rsid w:val="0050743B"/>
    <w:rsid w:val="0051322B"/>
    <w:rsid w:val="005238FE"/>
    <w:rsid w:val="00527495"/>
    <w:rsid w:val="00547246"/>
    <w:rsid w:val="00577043"/>
    <w:rsid w:val="00586FA3"/>
    <w:rsid w:val="005907B7"/>
    <w:rsid w:val="005A210F"/>
    <w:rsid w:val="005B07A1"/>
    <w:rsid w:val="005B681B"/>
    <w:rsid w:val="005C3338"/>
    <w:rsid w:val="005C5732"/>
    <w:rsid w:val="005D2035"/>
    <w:rsid w:val="005D3521"/>
    <w:rsid w:val="005D6336"/>
    <w:rsid w:val="006004AC"/>
    <w:rsid w:val="006040B7"/>
    <w:rsid w:val="00605F6E"/>
    <w:rsid w:val="006171F1"/>
    <w:rsid w:val="00620F59"/>
    <w:rsid w:val="0062594A"/>
    <w:rsid w:val="0062688A"/>
    <w:rsid w:val="0063093F"/>
    <w:rsid w:val="006629F3"/>
    <w:rsid w:val="006717EB"/>
    <w:rsid w:val="00671C08"/>
    <w:rsid w:val="006A2DF1"/>
    <w:rsid w:val="006B2576"/>
    <w:rsid w:val="006B5389"/>
    <w:rsid w:val="006C070D"/>
    <w:rsid w:val="006D305F"/>
    <w:rsid w:val="006D6620"/>
    <w:rsid w:val="006E0547"/>
    <w:rsid w:val="006F599E"/>
    <w:rsid w:val="00711888"/>
    <w:rsid w:val="00733BB8"/>
    <w:rsid w:val="00734B9E"/>
    <w:rsid w:val="00755EFD"/>
    <w:rsid w:val="007607FF"/>
    <w:rsid w:val="007651CB"/>
    <w:rsid w:val="00785836"/>
    <w:rsid w:val="0078742F"/>
    <w:rsid w:val="00791CCE"/>
    <w:rsid w:val="00795452"/>
    <w:rsid w:val="007A185E"/>
    <w:rsid w:val="007B004A"/>
    <w:rsid w:val="007B021B"/>
    <w:rsid w:val="007B2144"/>
    <w:rsid w:val="007B75E0"/>
    <w:rsid w:val="007C1EB6"/>
    <w:rsid w:val="007C6AE7"/>
    <w:rsid w:val="007D484D"/>
    <w:rsid w:val="007E19FD"/>
    <w:rsid w:val="007E41FC"/>
    <w:rsid w:val="00800BE3"/>
    <w:rsid w:val="00801195"/>
    <w:rsid w:val="008329FD"/>
    <w:rsid w:val="00834941"/>
    <w:rsid w:val="0084200D"/>
    <w:rsid w:val="008430BA"/>
    <w:rsid w:val="00853C5F"/>
    <w:rsid w:val="00861471"/>
    <w:rsid w:val="00862EA0"/>
    <w:rsid w:val="008702D5"/>
    <w:rsid w:val="008718DB"/>
    <w:rsid w:val="008816B6"/>
    <w:rsid w:val="008840A9"/>
    <w:rsid w:val="008841E0"/>
    <w:rsid w:val="00885369"/>
    <w:rsid w:val="008921E1"/>
    <w:rsid w:val="00893188"/>
    <w:rsid w:val="00896B6B"/>
    <w:rsid w:val="008A61F5"/>
    <w:rsid w:val="008B07BD"/>
    <w:rsid w:val="008B13A4"/>
    <w:rsid w:val="008B2609"/>
    <w:rsid w:val="008B27EE"/>
    <w:rsid w:val="008B30BA"/>
    <w:rsid w:val="008B680B"/>
    <w:rsid w:val="008B6DD2"/>
    <w:rsid w:val="008C2772"/>
    <w:rsid w:val="008E1C16"/>
    <w:rsid w:val="008E2DBF"/>
    <w:rsid w:val="008F69FD"/>
    <w:rsid w:val="00903F27"/>
    <w:rsid w:val="009042E3"/>
    <w:rsid w:val="009123C2"/>
    <w:rsid w:val="00914C0C"/>
    <w:rsid w:val="0094323B"/>
    <w:rsid w:val="0095386F"/>
    <w:rsid w:val="00957A69"/>
    <w:rsid w:val="00974023"/>
    <w:rsid w:val="0097547C"/>
    <w:rsid w:val="0098678C"/>
    <w:rsid w:val="0099199E"/>
    <w:rsid w:val="0099266F"/>
    <w:rsid w:val="00993F3E"/>
    <w:rsid w:val="009B26D3"/>
    <w:rsid w:val="009C1CD8"/>
    <w:rsid w:val="009C3BD8"/>
    <w:rsid w:val="009D0B8C"/>
    <w:rsid w:val="009D1E76"/>
    <w:rsid w:val="009E460F"/>
    <w:rsid w:val="009F27F7"/>
    <w:rsid w:val="009F47E6"/>
    <w:rsid w:val="009F6E18"/>
    <w:rsid w:val="009F6EAF"/>
    <w:rsid w:val="00A1019E"/>
    <w:rsid w:val="00A10EB9"/>
    <w:rsid w:val="00A1109D"/>
    <w:rsid w:val="00A12041"/>
    <w:rsid w:val="00A122D6"/>
    <w:rsid w:val="00A25093"/>
    <w:rsid w:val="00A33D41"/>
    <w:rsid w:val="00A34BF3"/>
    <w:rsid w:val="00A5617A"/>
    <w:rsid w:val="00A5653E"/>
    <w:rsid w:val="00A660A0"/>
    <w:rsid w:val="00A72069"/>
    <w:rsid w:val="00A73278"/>
    <w:rsid w:val="00A75094"/>
    <w:rsid w:val="00A835BB"/>
    <w:rsid w:val="00A90AB3"/>
    <w:rsid w:val="00A91815"/>
    <w:rsid w:val="00A9338B"/>
    <w:rsid w:val="00AA01C0"/>
    <w:rsid w:val="00AA5F0C"/>
    <w:rsid w:val="00AB2361"/>
    <w:rsid w:val="00AB695D"/>
    <w:rsid w:val="00AC3C4C"/>
    <w:rsid w:val="00AC3D4F"/>
    <w:rsid w:val="00AD6141"/>
    <w:rsid w:val="00AE0280"/>
    <w:rsid w:val="00AE7268"/>
    <w:rsid w:val="00AF0326"/>
    <w:rsid w:val="00AF5C29"/>
    <w:rsid w:val="00B00BCD"/>
    <w:rsid w:val="00B065CB"/>
    <w:rsid w:val="00B1115A"/>
    <w:rsid w:val="00B20BFE"/>
    <w:rsid w:val="00B2248D"/>
    <w:rsid w:val="00B2421F"/>
    <w:rsid w:val="00B26952"/>
    <w:rsid w:val="00B47F94"/>
    <w:rsid w:val="00B56DE9"/>
    <w:rsid w:val="00B66F5F"/>
    <w:rsid w:val="00B67A88"/>
    <w:rsid w:val="00B71273"/>
    <w:rsid w:val="00B7462E"/>
    <w:rsid w:val="00B76618"/>
    <w:rsid w:val="00B76AC6"/>
    <w:rsid w:val="00B77FF3"/>
    <w:rsid w:val="00B9260E"/>
    <w:rsid w:val="00BA2917"/>
    <w:rsid w:val="00BA5B69"/>
    <w:rsid w:val="00BB4829"/>
    <w:rsid w:val="00BB6668"/>
    <w:rsid w:val="00BD0CA9"/>
    <w:rsid w:val="00BD1775"/>
    <w:rsid w:val="00BD2308"/>
    <w:rsid w:val="00BD665B"/>
    <w:rsid w:val="00BE7109"/>
    <w:rsid w:val="00BF7E4E"/>
    <w:rsid w:val="00C0304D"/>
    <w:rsid w:val="00C130BC"/>
    <w:rsid w:val="00C16318"/>
    <w:rsid w:val="00C163C7"/>
    <w:rsid w:val="00C2041D"/>
    <w:rsid w:val="00C23C40"/>
    <w:rsid w:val="00C32E0A"/>
    <w:rsid w:val="00C372B8"/>
    <w:rsid w:val="00C4540F"/>
    <w:rsid w:val="00C46C6E"/>
    <w:rsid w:val="00C47B4A"/>
    <w:rsid w:val="00C52E8B"/>
    <w:rsid w:val="00C54F6C"/>
    <w:rsid w:val="00C6353C"/>
    <w:rsid w:val="00C6510A"/>
    <w:rsid w:val="00C73E67"/>
    <w:rsid w:val="00C80BC3"/>
    <w:rsid w:val="00C86FB6"/>
    <w:rsid w:val="00C92CAA"/>
    <w:rsid w:val="00C9514E"/>
    <w:rsid w:val="00CA0892"/>
    <w:rsid w:val="00CC0F45"/>
    <w:rsid w:val="00CC2D46"/>
    <w:rsid w:val="00CC5562"/>
    <w:rsid w:val="00CD0DE0"/>
    <w:rsid w:val="00CD0E31"/>
    <w:rsid w:val="00CD184D"/>
    <w:rsid w:val="00CD4779"/>
    <w:rsid w:val="00CE23AA"/>
    <w:rsid w:val="00CE5F36"/>
    <w:rsid w:val="00CF4361"/>
    <w:rsid w:val="00D0157B"/>
    <w:rsid w:val="00D0377C"/>
    <w:rsid w:val="00D04F42"/>
    <w:rsid w:val="00D1317D"/>
    <w:rsid w:val="00D2233A"/>
    <w:rsid w:val="00D23D84"/>
    <w:rsid w:val="00D25C2F"/>
    <w:rsid w:val="00D34CA9"/>
    <w:rsid w:val="00D361B8"/>
    <w:rsid w:val="00D36319"/>
    <w:rsid w:val="00D42EEC"/>
    <w:rsid w:val="00D62C94"/>
    <w:rsid w:val="00D74648"/>
    <w:rsid w:val="00D92A1E"/>
    <w:rsid w:val="00DB087F"/>
    <w:rsid w:val="00DB2CC7"/>
    <w:rsid w:val="00DB6CBD"/>
    <w:rsid w:val="00DB7DFF"/>
    <w:rsid w:val="00DB7F8B"/>
    <w:rsid w:val="00DC06DE"/>
    <w:rsid w:val="00DC157F"/>
    <w:rsid w:val="00DC1C4E"/>
    <w:rsid w:val="00DC4FBD"/>
    <w:rsid w:val="00DD2695"/>
    <w:rsid w:val="00DD6F1A"/>
    <w:rsid w:val="00DE7EDE"/>
    <w:rsid w:val="00DF3DB9"/>
    <w:rsid w:val="00E066C9"/>
    <w:rsid w:val="00E14620"/>
    <w:rsid w:val="00E241BC"/>
    <w:rsid w:val="00E2482E"/>
    <w:rsid w:val="00E25BB1"/>
    <w:rsid w:val="00E322C4"/>
    <w:rsid w:val="00E35014"/>
    <w:rsid w:val="00E37313"/>
    <w:rsid w:val="00E619C7"/>
    <w:rsid w:val="00E64C28"/>
    <w:rsid w:val="00E71BF2"/>
    <w:rsid w:val="00E808D1"/>
    <w:rsid w:val="00E83E6A"/>
    <w:rsid w:val="00E95EBC"/>
    <w:rsid w:val="00E96679"/>
    <w:rsid w:val="00E96C5E"/>
    <w:rsid w:val="00EA0899"/>
    <w:rsid w:val="00EC0667"/>
    <w:rsid w:val="00ED793B"/>
    <w:rsid w:val="00EF116A"/>
    <w:rsid w:val="00EF3813"/>
    <w:rsid w:val="00F048F2"/>
    <w:rsid w:val="00F22BDF"/>
    <w:rsid w:val="00F268B6"/>
    <w:rsid w:val="00F271B9"/>
    <w:rsid w:val="00F372C9"/>
    <w:rsid w:val="00F377FE"/>
    <w:rsid w:val="00F4255E"/>
    <w:rsid w:val="00F467F9"/>
    <w:rsid w:val="00F5081D"/>
    <w:rsid w:val="00F56A9D"/>
    <w:rsid w:val="00F57DDF"/>
    <w:rsid w:val="00F63E39"/>
    <w:rsid w:val="00F64268"/>
    <w:rsid w:val="00F676C2"/>
    <w:rsid w:val="00F946E3"/>
    <w:rsid w:val="00FA7116"/>
    <w:rsid w:val="00FA7B46"/>
    <w:rsid w:val="00FB46C5"/>
    <w:rsid w:val="00FB65B0"/>
    <w:rsid w:val="00FC044B"/>
    <w:rsid w:val="00FC72ED"/>
    <w:rsid w:val="00FD49B5"/>
    <w:rsid w:val="00FE55BE"/>
    <w:rsid w:val="00FF670C"/>
    <w:rsid w:val="00FF79C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AEEFFB58-81DA-4A6A-BBC7-31D016247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aliases w:val="standartinis"/>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ente"/>
    <w:basedOn w:val="prastasis"/>
    <w:link w:val="SraopastraipaDiagrama"/>
    <w:uiPriority w:val="99"/>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aliases w:val="standartinis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 w:type="character" w:styleId="Neapdorotaspaminjimas">
    <w:name w:val="Unresolved Mention"/>
    <w:basedOn w:val="Numatytasispastraiposriftas"/>
    <w:uiPriority w:val="99"/>
    <w:semiHidden/>
    <w:unhideWhenUsed/>
    <w:rsid w:val="009D1E76"/>
    <w:rPr>
      <w:color w:val="605E5C"/>
      <w:shd w:val="clear" w:color="auto" w:fill="E1DFDD"/>
    </w:rPr>
  </w:style>
  <w:style w:type="paragraph" w:customStyle="1" w:styleId="NumberList">
    <w:name w:val="Number List"/>
    <w:basedOn w:val="prastasis"/>
    <w:rsid w:val="00D74648"/>
    <w:pPr>
      <w:spacing w:after="0" w:line="240" w:lineRule="auto"/>
      <w:ind w:left="720" w:hanging="360"/>
    </w:pPr>
    <w:rPr>
      <w:rFonts w:ascii="TimesLT" w:eastAsia="Times New Roman" w:hAnsi="TimesLT" w:cs="Times New Roman"/>
      <w:snapToGrid w:val="0"/>
      <w:sz w:val="24"/>
      <w:szCs w:val="20"/>
      <w:lang w:val="en-US"/>
    </w:rPr>
  </w:style>
  <w:style w:type="paragraph" w:customStyle="1" w:styleId="DefaultText">
    <w:name w:val="Default Text"/>
    <w:basedOn w:val="prastasis"/>
    <w:rsid w:val="00D74648"/>
    <w:pPr>
      <w:spacing w:after="0" w:line="240" w:lineRule="auto"/>
    </w:pPr>
    <w:rPr>
      <w:rFonts w:ascii="TimesLT" w:eastAsia="Times New Roman" w:hAnsi="TimesLT" w:cs="Times New Roman"/>
      <w:snapToGrid w:val="0"/>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16898882">
      <w:bodyDiv w:val="1"/>
      <w:marLeft w:val="0"/>
      <w:marRight w:val="0"/>
      <w:marTop w:val="0"/>
      <w:marBottom w:val="0"/>
      <w:divBdr>
        <w:top w:val="none" w:sz="0" w:space="0" w:color="auto"/>
        <w:left w:val="none" w:sz="0" w:space="0" w:color="auto"/>
        <w:bottom w:val="none" w:sz="0" w:space="0" w:color="auto"/>
        <w:right w:val="none" w:sz="0" w:space="0" w:color="auto"/>
      </w:divBdr>
      <w:divsChild>
        <w:div w:id="917785813">
          <w:marLeft w:val="0"/>
          <w:marRight w:val="0"/>
          <w:marTop w:val="0"/>
          <w:marBottom w:val="0"/>
          <w:divBdr>
            <w:top w:val="none" w:sz="0" w:space="0" w:color="auto"/>
            <w:left w:val="none" w:sz="0" w:space="0" w:color="auto"/>
            <w:bottom w:val="none" w:sz="0" w:space="0" w:color="auto"/>
            <w:right w:val="none" w:sz="0" w:space="0" w:color="auto"/>
          </w:divBdr>
          <w:divsChild>
            <w:div w:id="1468472241">
              <w:marLeft w:val="0"/>
              <w:marRight w:val="0"/>
              <w:marTop w:val="0"/>
              <w:marBottom w:val="0"/>
              <w:divBdr>
                <w:top w:val="none" w:sz="0" w:space="0" w:color="auto"/>
                <w:left w:val="none" w:sz="0" w:space="0" w:color="auto"/>
                <w:bottom w:val="none" w:sz="0" w:space="0" w:color="auto"/>
                <w:right w:val="none" w:sz="0" w:space="0" w:color="auto"/>
              </w:divBdr>
            </w:div>
            <w:div w:id="1735659486">
              <w:marLeft w:val="0"/>
              <w:marRight w:val="0"/>
              <w:marTop w:val="0"/>
              <w:marBottom w:val="0"/>
              <w:divBdr>
                <w:top w:val="none" w:sz="0" w:space="0" w:color="auto"/>
                <w:left w:val="none" w:sz="0" w:space="0" w:color="auto"/>
                <w:bottom w:val="none" w:sz="0" w:space="0" w:color="auto"/>
                <w:right w:val="none" w:sz="0" w:space="0" w:color="auto"/>
              </w:divBdr>
            </w:div>
          </w:divsChild>
        </w:div>
        <w:div w:id="583412597">
          <w:marLeft w:val="0"/>
          <w:marRight w:val="0"/>
          <w:marTop w:val="0"/>
          <w:marBottom w:val="0"/>
          <w:divBdr>
            <w:top w:val="none" w:sz="0" w:space="0" w:color="auto"/>
            <w:left w:val="none" w:sz="0" w:space="0" w:color="auto"/>
            <w:bottom w:val="none" w:sz="0" w:space="0" w:color="auto"/>
            <w:right w:val="none" w:sz="0" w:space="0" w:color="auto"/>
          </w:divBdr>
        </w:div>
      </w:divsChild>
    </w:div>
    <w:div w:id="888106670">
      <w:bodyDiv w:val="1"/>
      <w:marLeft w:val="0"/>
      <w:marRight w:val="0"/>
      <w:marTop w:val="0"/>
      <w:marBottom w:val="0"/>
      <w:divBdr>
        <w:top w:val="none" w:sz="0" w:space="0" w:color="auto"/>
        <w:left w:val="none" w:sz="0" w:space="0" w:color="auto"/>
        <w:bottom w:val="none" w:sz="0" w:space="0" w:color="auto"/>
        <w:right w:val="none" w:sz="0" w:space="0" w:color="auto"/>
      </w:divBdr>
      <w:divsChild>
        <w:div w:id="829055819">
          <w:marLeft w:val="0"/>
          <w:marRight w:val="0"/>
          <w:marTop w:val="0"/>
          <w:marBottom w:val="0"/>
          <w:divBdr>
            <w:top w:val="none" w:sz="0" w:space="0" w:color="auto"/>
            <w:left w:val="none" w:sz="0" w:space="0" w:color="auto"/>
            <w:bottom w:val="none" w:sz="0" w:space="0" w:color="auto"/>
            <w:right w:val="none" w:sz="0" w:space="0" w:color="auto"/>
          </w:divBdr>
          <w:divsChild>
            <w:div w:id="873421705">
              <w:marLeft w:val="0"/>
              <w:marRight w:val="0"/>
              <w:marTop w:val="0"/>
              <w:marBottom w:val="0"/>
              <w:divBdr>
                <w:top w:val="none" w:sz="0" w:space="0" w:color="auto"/>
                <w:left w:val="none" w:sz="0" w:space="0" w:color="auto"/>
                <w:bottom w:val="none" w:sz="0" w:space="0" w:color="auto"/>
                <w:right w:val="none" w:sz="0" w:space="0" w:color="auto"/>
              </w:divBdr>
            </w:div>
            <w:div w:id="728111437">
              <w:marLeft w:val="0"/>
              <w:marRight w:val="0"/>
              <w:marTop w:val="0"/>
              <w:marBottom w:val="0"/>
              <w:divBdr>
                <w:top w:val="none" w:sz="0" w:space="0" w:color="auto"/>
                <w:left w:val="none" w:sz="0" w:space="0" w:color="auto"/>
                <w:bottom w:val="none" w:sz="0" w:space="0" w:color="auto"/>
                <w:right w:val="none" w:sz="0" w:space="0" w:color="auto"/>
              </w:divBdr>
            </w:div>
          </w:divsChild>
        </w:div>
        <w:div w:id="1310209649">
          <w:marLeft w:val="0"/>
          <w:marRight w:val="0"/>
          <w:marTop w:val="0"/>
          <w:marBottom w:val="0"/>
          <w:divBdr>
            <w:top w:val="none" w:sz="0" w:space="0" w:color="auto"/>
            <w:left w:val="none" w:sz="0" w:space="0" w:color="auto"/>
            <w:bottom w:val="none" w:sz="0" w:space="0" w:color="auto"/>
            <w:right w:val="none" w:sz="0" w:space="0" w:color="auto"/>
          </w:divBdr>
        </w:div>
      </w:divsChild>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16EC74-C943-4551-85D2-52D161891441}">
  <ds:schemaRefs>
    <ds:schemaRef ds:uri="http://schemas.openxmlformats.org/officeDocument/2006/bibliography"/>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3</Pages>
  <Words>4987</Words>
  <Characters>2844</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PAGD</Company>
  <LinksUpToDate>false</LinksUpToDate>
  <CharactersWithSpaces>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PAGD</dc:creator>
  <cp:keywords>VP; Pagrindiniai žodžiai: viešieji pirkimai; standartinės sąlygos; konkursas</cp:keywords>
  <cp:lastModifiedBy>Audronė Joknienė</cp:lastModifiedBy>
  <cp:revision>45</cp:revision>
  <cp:lastPrinted>2025-01-17T11:08:00Z</cp:lastPrinted>
  <dcterms:created xsi:type="dcterms:W3CDTF">2025-01-10T12:22:00Z</dcterms:created>
  <dcterms:modified xsi:type="dcterms:W3CDTF">2025-06-13T08:31:00Z</dcterms:modified>
  <cp:version>1</cp:version>
</cp:coreProperties>
</file>