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0282" w14:textId="77777777" w:rsidR="00CF4357" w:rsidRDefault="00BC32F7" w:rsidP="00BB43E8">
      <w:pPr>
        <w:pStyle w:val="Pagrindinistekstas"/>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Pagrindinistekstas"/>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5712F13C" w14:textId="77777777" w:rsidR="007E6583" w:rsidRPr="00BC32F7" w:rsidRDefault="00DB4565" w:rsidP="00C640AF">
      <w:pPr>
        <w:pStyle w:val="Antrat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Lentelstinklelis"/>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Hlk96077892"/>
            <w:bookmarkStart w:id="1" w:name="_TIEKĖJŲ_KVALIFIKACIJOS_REIKALAVIMAI"/>
            <w:bookmarkEnd w:id="1"/>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7563EAFD" w14:textId="72E1C760" w:rsidR="00216764" w:rsidRPr="00D817D6" w:rsidRDefault="00810E9D" w:rsidP="00D817D6">
            <w:pPr>
              <w:rPr>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D817D6">
              <w:rPr>
                <w:color w:val="000000" w:themeColor="text1"/>
                <w:szCs w:val="24"/>
              </w:rPr>
              <w:t xml:space="preserve"> </w:t>
            </w:r>
            <w:r w:rsidR="00216764" w:rsidRPr="00D817D6">
              <w:rPr>
                <w:iCs/>
                <w:color w:val="000000" w:themeColor="text1"/>
                <w:szCs w:val="24"/>
              </w:rPr>
              <w:t xml:space="preserve"> </w:t>
            </w:r>
            <w:r w:rsidR="00D817D6">
              <w:rPr>
                <w:iCs/>
                <w:color w:val="000000" w:themeColor="text1"/>
                <w:szCs w:val="24"/>
              </w:rPr>
              <w:t>250</w:t>
            </w:r>
            <w:r w:rsidR="00F97D25" w:rsidRPr="00D817D6">
              <w:rPr>
                <w:iCs/>
                <w:color w:val="000000" w:themeColor="text1"/>
                <w:szCs w:val="24"/>
              </w:rPr>
              <w:t> </w:t>
            </w:r>
            <w:r w:rsidR="00152BA7" w:rsidRPr="00D817D6">
              <w:rPr>
                <w:iCs/>
                <w:color w:val="000000" w:themeColor="text1"/>
                <w:szCs w:val="24"/>
              </w:rPr>
              <w:t>000</w:t>
            </w:r>
            <w:r w:rsidR="00216764" w:rsidRPr="00D817D6">
              <w:rPr>
                <w:iCs/>
                <w:color w:val="000000" w:themeColor="text1"/>
                <w:szCs w:val="24"/>
              </w:rPr>
              <w:t>,00 Eur.</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325B2F15" w14:textId="5AAAB1F9" w:rsidR="00817A8A" w:rsidRPr="00BC32F7" w:rsidRDefault="00817A8A" w:rsidP="00B42D3B">
            <w:pPr>
              <w:pStyle w:val="Sraopastraipa"/>
              <w:numPr>
                <w:ilvl w:val="0"/>
                <w:numId w:val="19"/>
              </w:numPr>
              <w:spacing w:line="257" w:lineRule="atLeast"/>
              <w:rPr>
                <w:i/>
                <w:iCs/>
                <w:color w:val="000000" w:themeColor="text1"/>
                <w:szCs w:val="24"/>
              </w:rPr>
            </w:pPr>
            <w:r w:rsidRPr="00BC32F7">
              <w:rPr>
                <w:i/>
                <w:iCs/>
                <w:color w:val="000000" w:themeColor="text1"/>
                <w:szCs w:val="24"/>
                <w:lang w:eastAsia="en-US"/>
              </w:rPr>
              <w:t xml:space="preserve">reikalavimas </w:t>
            </w:r>
            <w:r w:rsidR="00BC32F7" w:rsidRPr="00BC32F7">
              <w:rPr>
                <w:i/>
                <w:iCs/>
                <w:color w:val="000000" w:themeColor="text1"/>
                <w:szCs w:val="24"/>
                <w:lang w:eastAsia="en-US"/>
              </w:rPr>
              <w:t xml:space="preserve">dėl </w:t>
            </w:r>
            <w:r w:rsidRPr="00BC32F7">
              <w:rPr>
                <w:i/>
                <w:iCs/>
                <w:color w:val="000000" w:themeColor="text1"/>
                <w:szCs w:val="24"/>
                <w:lang w:eastAsia="en-US"/>
              </w:rPr>
              <w:t>vidutin</w:t>
            </w:r>
            <w:r w:rsidR="00BC32F7" w:rsidRPr="00BC32F7">
              <w:rPr>
                <w:i/>
                <w:iCs/>
                <w:color w:val="000000" w:themeColor="text1"/>
                <w:szCs w:val="24"/>
                <w:lang w:eastAsia="en-US"/>
              </w:rPr>
              <w:t>ių</w:t>
            </w:r>
            <w:r w:rsidRPr="00BC32F7">
              <w:rPr>
                <w:i/>
                <w:iCs/>
                <w:color w:val="000000" w:themeColor="text1"/>
                <w:szCs w:val="24"/>
                <w:lang w:eastAsia="en-US"/>
              </w:rPr>
              <w:t xml:space="preserve"> metin</w:t>
            </w:r>
            <w:r w:rsidR="00BC32F7" w:rsidRPr="00BC32F7">
              <w:rPr>
                <w:i/>
                <w:iCs/>
                <w:color w:val="000000" w:themeColor="text1"/>
                <w:szCs w:val="24"/>
                <w:lang w:eastAsia="en-US"/>
              </w:rPr>
              <w:t>ių</w:t>
            </w:r>
            <w:r w:rsidRPr="00BC32F7">
              <w:rPr>
                <w:i/>
                <w:iCs/>
                <w:color w:val="000000" w:themeColor="text1"/>
                <w:szCs w:val="24"/>
                <w:lang w:eastAsia="en-US"/>
              </w:rPr>
              <w:t xml:space="preserve"> visos veiklos pajam</w:t>
            </w:r>
            <w:r w:rsidR="00BC32F7" w:rsidRPr="00BC32F7">
              <w:rPr>
                <w:i/>
                <w:iCs/>
                <w:color w:val="000000" w:themeColor="text1"/>
                <w:szCs w:val="24"/>
                <w:lang w:eastAsia="en-US"/>
              </w:rPr>
              <w:t>ų</w:t>
            </w:r>
            <w:r w:rsidRPr="00BC32F7">
              <w:rPr>
                <w:i/>
                <w:iCs/>
                <w:color w:val="000000" w:themeColor="text1"/>
                <w:szCs w:val="24"/>
                <w:lang w:eastAsia="en-US"/>
              </w:rPr>
              <w:t xml:space="preserve"> nesumuojam</w:t>
            </w:r>
            <w:r w:rsidR="00BC32F7" w:rsidRPr="00BC32F7">
              <w:rPr>
                <w:i/>
                <w:iCs/>
                <w:color w:val="000000" w:themeColor="text1"/>
                <w:szCs w:val="24"/>
                <w:lang w:eastAsia="en-US"/>
              </w:rPr>
              <w:t>a</w:t>
            </w:r>
            <w:r w:rsidRPr="00BC32F7">
              <w:rPr>
                <w:i/>
                <w:iCs/>
                <w:color w:val="000000" w:themeColor="text1"/>
                <w:szCs w:val="24"/>
                <w:lang w:eastAsia="en-US"/>
              </w:rPr>
              <w:t>s;</w:t>
            </w:r>
          </w:p>
          <w:p w14:paraId="53E06849" w14:textId="7D2A16DB"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jeigu pasiūlymą teikia ūkio subjektų grupė – reikalavimą turi atitikti visi kartu (pajėgumai sumuojami);</w:t>
            </w:r>
          </w:p>
          <w:p w14:paraId="3523598E" w14:textId="76CD9822"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644A4EC9" w14:textId="77777777" w:rsidR="00D817D6" w:rsidRDefault="00810E9D" w:rsidP="00D817D6">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r w:rsidR="00D817D6">
              <w:rPr>
                <w:i/>
                <w:iCs/>
                <w:color w:val="000000" w:themeColor="text1"/>
                <w:szCs w:val="24"/>
              </w:rPr>
              <w:t>;</w:t>
            </w:r>
          </w:p>
          <w:p w14:paraId="400B598C" w14:textId="5191DFFA" w:rsidR="00E44EC8" w:rsidRPr="00D817D6" w:rsidRDefault="003922E0" w:rsidP="00D817D6">
            <w:pPr>
              <w:pStyle w:val="Sraopastraipa"/>
              <w:numPr>
                <w:ilvl w:val="0"/>
                <w:numId w:val="18"/>
              </w:numPr>
              <w:spacing w:line="257" w:lineRule="atLeast"/>
              <w:rPr>
                <w:i/>
                <w:iCs/>
                <w:color w:val="000000" w:themeColor="text1"/>
                <w:szCs w:val="24"/>
              </w:rPr>
            </w:pPr>
            <w:r w:rsidRPr="00D817D6">
              <w:rPr>
                <w:i/>
                <w:iCs/>
                <w:color w:val="000000" w:themeColor="text1"/>
                <w:szCs w:val="24"/>
              </w:rPr>
              <w:t>S</w:t>
            </w:r>
            <w:r w:rsidR="00810E9D" w:rsidRPr="00D817D6">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0F293C1" w:rsidR="00C640AF" w:rsidRPr="00BC32F7" w:rsidRDefault="00C640AF" w:rsidP="00C640AF">
            <w:pPr>
              <w:jc w:val="center"/>
              <w:rPr>
                <w:b/>
                <w:i/>
                <w:color w:val="000000" w:themeColor="text1"/>
                <w:szCs w:val="24"/>
              </w:rPr>
            </w:pPr>
            <w:r w:rsidRPr="00BC32F7">
              <w:rPr>
                <w:b/>
                <w:i/>
                <w:color w:val="000000" w:themeColor="text1"/>
                <w:szCs w:val="24"/>
              </w:rPr>
              <w:t>Techninio ir profesinio pajėgumo reikalavimai</w:t>
            </w:r>
            <w:r w:rsidR="007609F3">
              <w:rPr>
                <w:b/>
                <w:i/>
                <w:color w:val="000000" w:themeColor="text1"/>
                <w:szCs w:val="24"/>
              </w:rPr>
              <w:t>. Taikoma visoms pirkimo objekto dalims</w:t>
            </w:r>
          </w:p>
        </w:tc>
      </w:tr>
      <w:tr w:rsidR="009806C7" w:rsidRPr="00BC32F7" w14:paraId="29DB3C39" w14:textId="77777777" w:rsidTr="00220653">
        <w:trPr>
          <w:gridAfter w:val="1"/>
          <w:wAfter w:w="8" w:type="dxa"/>
          <w:trHeight w:val="3881"/>
        </w:trPr>
        <w:tc>
          <w:tcPr>
            <w:tcW w:w="1128" w:type="dxa"/>
          </w:tcPr>
          <w:p w14:paraId="599EF4BC" w14:textId="686A2A6A" w:rsidR="009806C7" w:rsidRPr="00BC32F7" w:rsidRDefault="006D5A5C" w:rsidP="00F847A2">
            <w:pPr>
              <w:pStyle w:val="Sraopastraipa"/>
              <w:ind w:left="0"/>
              <w:jc w:val="center"/>
              <w:rPr>
                <w:color w:val="000000" w:themeColor="text1"/>
                <w:szCs w:val="24"/>
              </w:rPr>
            </w:pPr>
            <w:r>
              <w:rPr>
                <w:color w:val="000000" w:themeColor="text1"/>
                <w:szCs w:val="24"/>
              </w:rPr>
              <w:lastRenderedPageBreak/>
              <w:t>2</w:t>
            </w:r>
            <w:r w:rsidR="00D817D6">
              <w:rPr>
                <w:color w:val="000000" w:themeColor="text1"/>
                <w:szCs w:val="24"/>
              </w:rPr>
              <w:t>.</w:t>
            </w:r>
          </w:p>
        </w:tc>
        <w:tc>
          <w:tcPr>
            <w:tcW w:w="851" w:type="dxa"/>
            <w:tcBorders>
              <w:top w:val="single" w:sz="4" w:space="0" w:color="auto"/>
              <w:left w:val="single" w:sz="4" w:space="0" w:color="auto"/>
              <w:right w:val="single" w:sz="4" w:space="0" w:color="auto"/>
            </w:tcBorders>
          </w:tcPr>
          <w:p w14:paraId="13800938" w14:textId="77777777" w:rsidR="00D817D6" w:rsidRDefault="00D817D6" w:rsidP="00F847A2">
            <w:pPr>
              <w:keepNext/>
              <w:widowControl w:val="0"/>
              <w:outlineLvl w:val="2"/>
              <w:rPr>
                <w:szCs w:val="24"/>
                <w:lang w:val="en-US"/>
              </w:rPr>
            </w:pPr>
          </w:p>
          <w:p w14:paraId="23685390" w14:textId="77777777" w:rsidR="00D817D6" w:rsidRDefault="00D817D6" w:rsidP="00F847A2">
            <w:pPr>
              <w:keepNext/>
              <w:widowControl w:val="0"/>
              <w:outlineLvl w:val="2"/>
              <w:rPr>
                <w:szCs w:val="24"/>
                <w:lang w:val="en-US"/>
              </w:rPr>
            </w:pPr>
          </w:p>
          <w:p w14:paraId="7A6D6858" w14:textId="6D8FAE51" w:rsidR="009806C7" w:rsidRDefault="006D5A5C" w:rsidP="00F847A2">
            <w:pPr>
              <w:keepNext/>
              <w:widowControl w:val="0"/>
              <w:outlineLvl w:val="2"/>
              <w:rPr>
                <w:szCs w:val="24"/>
                <w:lang w:val="en-US"/>
              </w:rPr>
            </w:pPr>
            <w:r>
              <w:rPr>
                <w:szCs w:val="24"/>
                <w:lang w:val="en-US"/>
              </w:rPr>
              <w:t>2</w:t>
            </w:r>
            <w:r w:rsidR="00D817D6">
              <w:rPr>
                <w:szCs w:val="24"/>
                <w:lang w:val="en-US"/>
              </w:rPr>
              <w:t>.1.1</w:t>
            </w:r>
          </w:p>
          <w:p w14:paraId="531810BB" w14:textId="77777777" w:rsidR="00D817D6" w:rsidRDefault="00D817D6" w:rsidP="00F847A2">
            <w:pPr>
              <w:keepNext/>
              <w:widowControl w:val="0"/>
              <w:outlineLvl w:val="2"/>
              <w:rPr>
                <w:szCs w:val="24"/>
                <w:lang w:val="en-US"/>
              </w:rPr>
            </w:pPr>
          </w:p>
          <w:p w14:paraId="7F7286D3" w14:textId="77777777" w:rsidR="00D817D6" w:rsidRDefault="00D817D6" w:rsidP="00F847A2">
            <w:pPr>
              <w:keepNext/>
              <w:widowControl w:val="0"/>
              <w:outlineLvl w:val="2"/>
              <w:rPr>
                <w:szCs w:val="24"/>
                <w:lang w:val="en-US"/>
              </w:rPr>
            </w:pPr>
          </w:p>
          <w:p w14:paraId="335C8BF6" w14:textId="77777777" w:rsidR="00D817D6" w:rsidRDefault="00D817D6" w:rsidP="00F847A2">
            <w:pPr>
              <w:keepNext/>
              <w:widowControl w:val="0"/>
              <w:outlineLvl w:val="2"/>
              <w:rPr>
                <w:szCs w:val="24"/>
                <w:lang w:val="en-US"/>
              </w:rPr>
            </w:pPr>
          </w:p>
          <w:p w14:paraId="387C8217" w14:textId="77777777" w:rsidR="00D817D6" w:rsidRDefault="00D817D6" w:rsidP="00F847A2">
            <w:pPr>
              <w:keepNext/>
              <w:widowControl w:val="0"/>
              <w:outlineLvl w:val="2"/>
              <w:rPr>
                <w:szCs w:val="24"/>
                <w:lang w:val="en-US"/>
              </w:rPr>
            </w:pPr>
          </w:p>
          <w:p w14:paraId="244E57F9" w14:textId="17D87D2B" w:rsidR="00D817D6" w:rsidRDefault="006D5A5C" w:rsidP="00F847A2">
            <w:pPr>
              <w:keepNext/>
              <w:widowControl w:val="0"/>
              <w:outlineLvl w:val="2"/>
              <w:rPr>
                <w:szCs w:val="24"/>
                <w:lang w:val="en-US"/>
              </w:rPr>
            </w:pPr>
            <w:r>
              <w:rPr>
                <w:szCs w:val="24"/>
                <w:lang w:val="en-US"/>
              </w:rPr>
              <w:t>2</w:t>
            </w:r>
            <w:r w:rsidR="00D817D6">
              <w:rPr>
                <w:szCs w:val="24"/>
                <w:lang w:val="en-US"/>
              </w:rPr>
              <w:t>.1.2</w:t>
            </w:r>
          </w:p>
          <w:p w14:paraId="2EA12DEA" w14:textId="77777777" w:rsidR="00D817D6" w:rsidRDefault="00D817D6" w:rsidP="00F847A2">
            <w:pPr>
              <w:keepNext/>
              <w:widowControl w:val="0"/>
              <w:outlineLvl w:val="2"/>
              <w:rPr>
                <w:szCs w:val="24"/>
                <w:lang w:val="en-US"/>
              </w:rPr>
            </w:pPr>
          </w:p>
          <w:p w14:paraId="4239D9FE" w14:textId="77777777" w:rsidR="00D817D6" w:rsidRDefault="00D817D6" w:rsidP="00F847A2">
            <w:pPr>
              <w:keepNext/>
              <w:widowControl w:val="0"/>
              <w:outlineLvl w:val="2"/>
              <w:rPr>
                <w:szCs w:val="24"/>
                <w:lang w:val="en-US"/>
              </w:rPr>
            </w:pPr>
          </w:p>
          <w:p w14:paraId="269C10D4" w14:textId="77777777" w:rsidR="00D817D6" w:rsidRDefault="00D817D6" w:rsidP="00F847A2">
            <w:pPr>
              <w:keepNext/>
              <w:widowControl w:val="0"/>
              <w:outlineLvl w:val="2"/>
              <w:rPr>
                <w:szCs w:val="24"/>
                <w:lang w:val="en-US"/>
              </w:rPr>
            </w:pPr>
          </w:p>
          <w:p w14:paraId="1229D97E" w14:textId="77777777" w:rsidR="00D817D6" w:rsidRDefault="00D817D6" w:rsidP="00F847A2">
            <w:pPr>
              <w:keepNext/>
              <w:widowControl w:val="0"/>
              <w:outlineLvl w:val="2"/>
              <w:rPr>
                <w:szCs w:val="24"/>
                <w:lang w:val="en-US"/>
              </w:rPr>
            </w:pPr>
          </w:p>
          <w:p w14:paraId="421FBE11" w14:textId="1BAEA543" w:rsidR="00D817D6" w:rsidRPr="00BC32F7" w:rsidRDefault="006D5A5C" w:rsidP="00F847A2">
            <w:pPr>
              <w:keepNext/>
              <w:widowControl w:val="0"/>
              <w:outlineLvl w:val="2"/>
              <w:rPr>
                <w:szCs w:val="24"/>
                <w:lang w:val="en-US"/>
              </w:rPr>
            </w:pPr>
            <w:r>
              <w:rPr>
                <w:szCs w:val="24"/>
                <w:lang w:val="en-US"/>
              </w:rPr>
              <w:t>2</w:t>
            </w:r>
            <w:r w:rsidR="00D817D6">
              <w:rPr>
                <w:szCs w:val="24"/>
                <w:lang w:val="en-US"/>
              </w:rPr>
              <w:t>.1.3.</w:t>
            </w:r>
          </w:p>
        </w:tc>
        <w:tc>
          <w:tcPr>
            <w:tcW w:w="4259" w:type="dxa"/>
            <w:tcBorders>
              <w:top w:val="single" w:sz="4" w:space="0" w:color="auto"/>
              <w:left w:val="single" w:sz="4" w:space="0" w:color="auto"/>
              <w:right w:val="single" w:sz="4" w:space="0" w:color="auto"/>
            </w:tcBorders>
          </w:tcPr>
          <w:p w14:paraId="3BA4786B" w14:textId="6E9E4FDB" w:rsidR="00D817D6" w:rsidRPr="00BC32F7" w:rsidRDefault="00D817D6" w:rsidP="00D817D6">
            <w:pPr>
              <w:keepNext/>
              <w:widowControl w:val="0"/>
              <w:outlineLvl w:val="2"/>
              <w:rPr>
                <w:szCs w:val="24"/>
              </w:rPr>
            </w:pPr>
            <w:r w:rsidRPr="00BC32F7">
              <w:rPr>
                <w:szCs w:val="24"/>
              </w:rPr>
              <w:t xml:space="preserve">Tiekėjas turi užtikrinti, kad </w:t>
            </w:r>
            <w:r>
              <w:rPr>
                <w:szCs w:val="24"/>
              </w:rPr>
              <w:t xml:space="preserve">paslaugas teiks </w:t>
            </w:r>
            <w:r w:rsidRPr="00BC32F7">
              <w:rPr>
                <w:szCs w:val="24"/>
              </w:rPr>
              <w:t>specialistai:</w:t>
            </w:r>
          </w:p>
          <w:p w14:paraId="3C05F1AC" w14:textId="2AEE9C7F" w:rsidR="00D817D6" w:rsidRPr="005A530E" w:rsidRDefault="009806C7" w:rsidP="00D817D6">
            <w:pPr>
              <w:suppressAutoHyphens/>
              <w:autoSpaceDN w:val="0"/>
              <w:textAlignment w:val="baseline"/>
            </w:pPr>
            <w:r w:rsidRPr="00BC32F7">
              <w:rPr>
                <w:szCs w:val="24"/>
              </w:rPr>
              <w:t xml:space="preserve">ne mažiau kaip 1 (vienas) </w:t>
            </w:r>
            <w:r w:rsidR="00D817D6" w:rsidRPr="005A530E">
              <w:t>specialist</w:t>
            </w:r>
            <w:r w:rsidR="00D817D6">
              <w:t>as</w:t>
            </w:r>
            <w:r w:rsidR="00D817D6" w:rsidRPr="005A530E">
              <w:t>, turint</w:t>
            </w:r>
            <w:r w:rsidR="00D817D6">
              <w:t>is</w:t>
            </w:r>
            <w:r w:rsidR="00D817D6" w:rsidRPr="005A530E">
              <w:t xml:space="preserve"> teisę eiti ypatingojo statinio projekto vadovo pareigas</w:t>
            </w:r>
            <w:r w:rsidR="00D817D6">
              <w:t xml:space="preserve"> statinių grupėje negyvenamieji pastatai (gydymo paskirties pastatai);</w:t>
            </w:r>
          </w:p>
          <w:p w14:paraId="362CB6E9" w14:textId="5DBE0196" w:rsidR="00D817D6" w:rsidRDefault="00D817D6" w:rsidP="00D817D6">
            <w:pPr>
              <w:keepLines/>
              <w:ind w:right="3"/>
            </w:pPr>
            <w:r w:rsidRPr="005A530E">
              <w:t>ne mažiau kaip 1 (vien</w:t>
            </w:r>
            <w:r>
              <w:t>as</w:t>
            </w:r>
            <w:r w:rsidRPr="005A530E">
              <w:t>) specialist</w:t>
            </w:r>
            <w:r>
              <w:t>as</w:t>
            </w:r>
            <w:r w:rsidRPr="005A530E">
              <w:t>, turint</w:t>
            </w:r>
            <w:r>
              <w:t>is</w:t>
            </w:r>
            <w:r w:rsidRPr="005A530E">
              <w:t xml:space="preserve"> teisę eiti ypatingojo statinio projekto </w:t>
            </w:r>
            <w:r>
              <w:t xml:space="preserve">vykdymo priežiūros vadovo </w:t>
            </w:r>
            <w:r w:rsidRPr="005A530E">
              <w:t>pareigas</w:t>
            </w:r>
            <w:r>
              <w:t xml:space="preserve"> statinių grupėje negyvenamieji pastatai (gydymo paskirties pastatai); </w:t>
            </w:r>
            <w:r w:rsidRPr="005A530E">
              <w:t xml:space="preserve"> </w:t>
            </w:r>
          </w:p>
          <w:p w14:paraId="0F49D07E" w14:textId="4ACF0D30" w:rsidR="00D817D6" w:rsidRDefault="00D817D6" w:rsidP="00D817D6">
            <w:pPr>
              <w:keepLines/>
              <w:ind w:right="3"/>
            </w:pPr>
            <w:r>
              <w:t xml:space="preserve">ne mažiau kaip </w:t>
            </w:r>
            <w:r w:rsidRPr="005A530E">
              <w:t>1 (vien</w:t>
            </w:r>
            <w:r>
              <w:t>as</w:t>
            </w:r>
            <w:r w:rsidRPr="005A530E">
              <w:t>) specialist</w:t>
            </w:r>
            <w:r>
              <w:t>as</w:t>
            </w:r>
            <w:r w:rsidRPr="005A530E">
              <w:t>, turint</w:t>
            </w:r>
            <w:r>
              <w:t>is</w:t>
            </w:r>
            <w:r w:rsidRPr="005A530E">
              <w:t xml:space="preserve"> teisę eiti ypatingojo statinio projekto </w:t>
            </w:r>
            <w:r>
              <w:t xml:space="preserve">dalies vadovo </w:t>
            </w:r>
            <w:r w:rsidRPr="005A530E">
              <w:t>pareigas</w:t>
            </w:r>
            <w:r>
              <w:t xml:space="preserve"> statinių grupėje negyvenamieji pastatai (gydymo paskirties pastatai) </w:t>
            </w:r>
            <w:r w:rsidR="008E0C99">
              <w:t>šioms projekto dalims</w:t>
            </w:r>
            <w:r w:rsidR="00DF6857">
              <w:t>:</w:t>
            </w:r>
            <w:r>
              <w:t xml:space="preserve"> </w:t>
            </w:r>
            <w:r w:rsidRPr="005A530E">
              <w:t xml:space="preserve"> </w:t>
            </w:r>
          </w:p>
          <w:p w14:paraId="44A861F4" w14:textId="1A61AE9C" w:rsidR="00D817D6" w:rsidRPr="005A530E" w:rsidRDefault="006D5A5C" w:rsidP="00D817D6">
            <w:pPr>
              <w:spacing w:after="200" w:line="276" w:lineRule="auto"/>
              <w:contextualSpacing/>
            </w:pPr>
            <w:bookmarkStart w:id="2" w:name="part_0de22576d1e2426a9ac9a4807d1d6dbe"/>
            <w:bookmarkStart w:id="3" w:name="part_f5f190c0e98a4caaaa57a71be12eea98"/>
            <w:bookmarkEnd w:id="2"/>
            <w:bookmarkEnd w:id="3"/>
            <w:r>
              <w:t>2</w:t>
            </w:r>
            <w:r w:rsidR="008E0C99" w:rsidRPr="008E0C99">
              <w:t>.1.3.1</w:t>
            </w:r>
            <w:r w:rsidR="00D817D6" w:rsidRPr="005A530E">
              <w:t>. architektūros;</w:t>
            </w:r>
          </w:p>
          <w:p w14:paraId="0AC2B62B" w14:textId="777B8EEA" w:rsidR="00D817D6" w:rsidRPr="005A530E" w:rsidRDefault="006D5A5C" w:rsidP="00D817D6">
            <w:pPr>
              <w:spacing w:after="200" w:line="276" w:lineRule="auto"/>
              <w:contextualSpacing/>
            </w:pPr>
            <w:bookmarkStart w:id="4" w:name="part_69a847a1123549b89c38a8a1b57f7bbe"/>
            <w:bookmarkEnd w:id="4"/>
            <w:r>
              <w:t>2</w:t>
            </w:r>
            <w:r w:rsidR="008E0C99" w:rsidRPr="008E0C99">
              <w:t>.1.3.2</w:t>
            </w:r>
            <w:r w:rsidR="00D817D6" w:rsidRPr="005A530E">
              <w:t>. konstrukcijų;</w:t>
            </w:r>
          </w:p>
          <w:p w14:paraId="47FDEE05" w14:textId="16EF7F8B" w:rsidR="00D817D6" w:rsidRPr="005A530E" w:rsidRDefault="006D5A5C" w:rsidP="00D817D6">
            <w:pPr>
              <w:spacing w:after="200" w:line="276" w:lineRule="auto"/>
              <w:contextualSpacing/>
            </w:pPr>
            <w:r>
              <w:t>2</w:t>
            </w:r>
            <w:r w:rsidR="008E0C99" w:rsidRPr="008E0C99">
              <w:t>.1.3.3</w:t>
            </w:r>
            <w:r w:rsidR="00D817D6" w:rsidRPr="005A530E">
              <w:t xml:space="preserve">. </w:t>
            </w:r>
            <w:bookmarkStart w:id="5" w:name="part_52defc46717c461d9363589eaece031a"/>
            <w:bookmarkStart w:id="6" w:name="part_c92d4f4e33fc46498aa3053e6db33cd9"/>
            <w:bookmarkEnd w:id="5"/>
            <w:bookmarkEnd w:id="6"/>
            <w:r w:rsidR="00D817D6" w:rsidRPr="005A530E">
              <w:t>vandentiekio ir nuotekų šalinimo;</w:t>
            </w:r>
          </w:p>
          <w:p w14:paraId="02A94B50" w14:textId="06236E05" w:rsidR="00D817D6" w:rsidRPr="005A530E" w:rsidRDefault="006D5A5C" w:rsidP="00D817D6">
            <w:pPr>
              <w:spacing w:after="200" w:line="276" w:lineRule="auto"/>
              <w:contextualSpacing/>
            </w:pPr>
            <w:bookmarkStart w:id="7" w:name="part_48384ee9f50c49ea9f66cf22bb92a62a"/>
            <w:bookmarkEnd w:id="7"/>
            <w:r>
              <w:t>2</w:t>
            </w:r>
            <w:r w:rsidR="008E0C99" w:rsidRPr="008E0C99">
              <w:t>.1.3.</w:t>
            </w:r>
            <w:r w:rsidR="008E0C99">
              <w:t>4</w:t>
            </w:r>
            <w:r w:rsidR="00D817D6" w:rsidRPr="005A530E">
              <w:t xml:space="preserve"> šildymo, vėdinimo ir oro</w:t>
            </w:r>
            <w:r w:rsidR="008E0C99">
              <w:t xml:space="preserve"> </w:t>
            </w:r>
            <w:r w:rsidR="00D817D6" w:rsidRPr="005A530E">
              <w:t xml:space="preserve"> kondicionavimo;</w:t>
            </w:r>
          </w:p>
          <w:p w14:paraId="33BAF96E" w14:textId="7E62AAFC" w:rsidR="00D817D6" w:rsidRPr="00AA47E0" w:rsidRDefault="006D5A5C" w:rsidP="00D817D6">
            <w:pPr>
              <w:spacing w:after="200" w:line="276" w:lineRule="auto"/>
              <w:contextualSpacing/>
            </w:pPr>
            <w:bookmarkStart w:id="8" w:name="part_494b60d65bba4a62b0a971dcdd68a104"/>
            <w:bookmarkStart w:id="9" w:name="part_1b969fd762434a1db1a4eca7112ad686"/>
            <w:bookmarkEnd w:id="8"/>
            <w:bookmarkEnd w:id="9"/>
            <w:r>
              <w:t>2</w:t>
            </w:r>
            <w:r w:rsidR="008E0C99" w:rsidRPr="008E0C99">
              <w:t>.1.3.</w:t>
            </w:r>
            <w:r w:rsidR="008E0C99">
              <w:t>5</w:t>
            </w:r>
            <w:r w:rsidR="00D817D6" w:rsidRPr="005A530E">
              <w:t>. elektrotechnikos</w:t>
            </w:r>
            <w:r w:rsidR="00AA47E0">
              <w:t xml:space="preserve"> </w:t>
            </w:r>
            <w:r w:rsidR="00AA47E0" w:rsidRPr="00AA47E0">
              <w:rPr>
                <w:color w:val="222222"/>
                <w:shd w:val="clear" w:color="auto" w:fill="FFFFFF"/>
              </w:rPr>
              <w:t xml:space="preserve">(ne mažiau kaip 10 </w:t>
            </w:r>
            <w:proofErr w:type="spellStart"/>
            <w:r w:rsidR="00AA47E0" w:rsidRPr="00AA47E0">
              <w:rPr>
                <w:color w:val="222222"/>
                <w:shd w:val="clear" w:color="auto" w:fill="FFFFFF"/>
              </w:rPr>
              <w:t>kV</w:t>
            </w:r>
            <w:proofErr w:type="spellEnd"/>
            <w:r w:rsidR="00AA47E0" w:rsidRPr="00AA47E0">
              <w:rPr>
                <w:color w:val="222222"/>
                <w:shd w:val="clear" w:color="auto" w:fill="FFFFFF"/>
              </w:rPr>
              <w:t>)</w:t>
            </w:r>
            <w:r w:rsidR="00D817D6" w:rsidRPr="00AA47E0">
              <w:t>;</w:t>
            </w:r>
          </w:p>
          <w:p w14:paraId="26FFC1BD" w14:textId="6EAE1ACD" w:rsidR="00D817D6" w:rsidRPr="005A530E" w:rsidRDefault="006D5A5C" w:rsidP="00D817D6">
            <w:pPr>
              <w:spacing w:after="200" w:line="276" w:lineRule="auto"/>
              <w:contextualSpacing/>
            </w:pPr>
            <w:bookmarkStart w:id="10" w:name="part_a38a2e5be7aa424585e414fa9509829a"/>
            <w:bookmarkEnd w:id="10"/>
            <w:r>
              <w:t>2</w:t>
            </w:r>
            <w:r w:rsidR="008E0C99" w:rsidRPr="008E0C99">
              <w:t>.1.3.</w:t>
            </w:r>
            <w:r w:rsidR="008E0C99">
              <w:t>6</w:t>
            </w:r>
            <w:r w:rsidR="00D817D6" w:rsidRPr="005A530E">
              <w:t>. elektroninių ryšių (telekomunikacijų);</w:t>
            </w:r>
          </w:p>
          <w:p w14:paraId="3CB832CC" w14:textId="4B1239A1" w:rsidR="00D817D6" w:rsidRPr="005A530E" w:rsidRDefault="006D5A5C" w:rsidP="00D817D6">
            <w:pPr>
              <w:spacing w:after="200" w:line="276" w:lineRule="auto"/>
              <w:contextualSpacing/>
            </w:pPr>
            <w:bookmarkStart w:id="11" w:name="part_ad7cd5b0b8e34b139c52f237cec62516"/>
            <w:bookmarkEnd w:id="11"/>
            <w:r>
              <w:t>2</w:t>
            </w:r>
            <w:r w:rsidR="008E0C99" w:rsidRPr="008E0C99">
              <w:t>.1.3.</w:t>
            </w:r>
            <w:r w:rsidR="008E0C99">
              <w:t>7</w:t>
            </w:r>
            <w:r w:rsidR="00D817D6" w:rsidRPr="005A530E">
              <w:t>. apsauginės signalizacijos;</w:t>
            </w:r>
          </w:p>
          <w:p w14:paraId="01818C5D" w14:textId="618395A0" w:rsidR="00D817D6" w:rsidRPr="005A530E" w:rsidRDefault="006D5A5C" w:rsidP="00D817D6">
            <w:pPr>
              <w:spacing w:after="200" w:line="276" w:lineRule="auto"/>
              <w:contextualSpacing/>
            </w:pPr>
            <w:bookmarkStart w:id="12" w:name="part_07f2a1556cd24a4183920ff506362625"/>
            <w:bookmarkEnd w:id="12"/>
            <w:r>
              <w:t>2</w:t>
            </w:r>
            <w:r w:rsidR="008E0C99" w:rsidRPr="008E0C99">
              <w:t>.1.3.</w:t>
            </w:r>
            <w:r w:rsidR="008E0C99">
              <w:t>8</w:t>
            </w:r>
            <w:r w:rsidR="00D817D6" w:rsidRPr="005A530E">
              <w:t>. gaisro aptikimo ir signalizavimo;</w:t>
            </w:r>
          </w:p>
          <w:p w14:paraId="61F26D80" w14:textId="5154C0F6" w:rsidR="00D817D6" w:rsidRPr="005A530E" w:rsidRDefault="006D5A5C" w:rsidP="00D817D6">
            <w:pPr>
              <w:spacing w:after="200" w:line="276" w:lineRule="auto"/>
              <w:contextualSpacing/>
            </w:pPr>
            <w:bookmarkStart w:id="13" w:name="part_748b923207e244d49c6d3e12df47b897"/>
            <w:bookmarkStart w:id="14" w:name="part_2c00e7de85514da2b033ad000e1b5a9a"/>
            <w:bookmarkEnd w:id="13"/>
            <w:bookmarkEnd w:id="14"/>
            <w:r>
              <w:t>2</w:t>
            </w:r>
            <w:r w:rsidR="008E0C99" w:rsidRPr="008E0C99">
              <w:t>.1.3.</w:t>
            </w:r>
            <w:r w:rsidR="008E0C99">
              <w:t>9</w:t>
            </w:r>
            <w:r w:rsidR="00D817D6" w:rsidRPr="005A530E">
              <w:t xml:space="preserve">. </w:t>
            </w:r>
            <w:r w:rsidR="008E0C99" w:rsidRPr="005A530E">
              <w:t>procesų valdymo ir automatizacijos;</w:t>
            </w:r>
          </w:p>
          <w:p w14:paraId="2C5FBDAA" w14:textId="08CA32C0" w:rsidR="00D817D6" w:rsidRPr="005A530E" w:rsidRDefault="006D5A5C" w:rsidP="00D817D6">
            <w:pPr>
              <w:spacing w:after="200" w:line="276" w:lineRule="auto"/>
              <w:contextualSpacing/>
            </w:pPr>
            <w:r>
              <w:t>2</w:t>
            </w:r>
            <w:r w:rsidR="008E0C99" w:rsidRPr="008E0C99">
              <w:t>.1.3.</w:t>
            </w:r>
            <w:r w:rsidR="008E0C99">
              <w:t>10</w:t>
            </w:r>
            <w:r w:rsidR="00D817D6" w:rsidRPr="005A530E">
              <w:t xml:space="preserve">. </w:t>
            </w:r>
            <w:r w:rsidR="008E0C99" w:rsidRPr="005A530E">
              <w:t>gaisrinės saugos;</w:t>
            </w:r>
          </w:p>
          <w:p w14:paraId="6FFBF2DB" w14:textId="1E6886FE" w:rsidR="00D817D6" w:rsidRPr="005A530E" w:rsidRDefault="006D5A5C" w:rsidP="00D817D6">
            <w:pPr>
              <w:spacing w:after="200" w:line="276" w:lineRule="auto"/>
              <w:contextualSpacing/>
            </w:pPr>
            <w:r>
              <w:t>2</w:t>
            </w:r>
            <w:r w:rsidR="008E0C99" w:rsidRPr="008E0C99">
              <w:t>.1.3.</w:t>
            </w:r>
            <w:r w:rsidR="008E0C99">
              <w:t>11</w:t>
            </w:r>
            <w:r w:rsidR="00D817D6" w:rsidRPr="005A530E">
              <w:t xml:space="preserve">. </w:t>
            </w:r>
            <w:r w:rsidR="008E0C99" w:rsidRPr="005A530E">
              <w:t>pasirengimo statybai ir statybos darbų organizavimo;</w:t>
            </w:r>
          </w:p>
          <w:p w14:paraId="2FA09C11" w14:textId="0CEA2923" w:rsidR="00D817D6" w:rsidRPr="005A530E" w:rsidRDefault="006D5A5C" w:rsidP="00D817D6">
            <w:pPr>
              <w:spacing w:after="200" w:line="276" w:lineRule="auto"/>
              <w:contextualSpacing/>
            </w:pPr>
            <w:bookmarkStart w:id="15" w:name="part_48d0ef8872ff485f83740eba38459496"/>
            <w:bookmarkStart w:id="16" w:name="part_20a31574ab274826ae1854c7b1a919fc"/>
            <w:bookmarkStart w:id="17" w:name="part_cffed555cfdb44a7a9c3b5d71ef53279"/>
            <w:bookmarkStart w:id="18" w:name="part_5b12b54e18d44cca85d2085821aa8137"/>
            <w:bookmarkStart w:id="19" w:name="part_3ef5016430a04c5680ce8d9d051216d4"/>
            <w:bookmarkEnd w:id="15"/>
            <w:bookmarkEnd w:id="16"/>
            <w:bookmarkEnd w:id="17"/>
            <w:bookmarkEnd w:id="18"/>
            <w:bookmarkEnd w:id="19"/>
            <w:r>
              <w:t>2</w:t>
            </w:r>
            <w:r w:rsidR="008E0C99" w:rsidRPr="008E0C99">
              <w:t>.1.3.</w:t>
            </w:r>
            <w:r w:rsidR="008E0C99">
              <w:t>12</w:t>
            </w:r>
            <w:r w:rsidR="00D817D6" w:rsidRPr="005A530E">
              <w:t xml:space="preserve">. </w:t>
            </w:r>
            <w:r w:rsidR="008E0C99" w:rsidRPr="005A530E">
              <w:t>statybos skaičiuojamosios kainos nustatymo</w:t>
            </w:r>
            <w:r w:rsidR="008E0C99">
              <w:t>.</w:t>
            </w:r>
          </w:p>
          <w:p w14:paraId="49A1B8A3" w14:textId="77777777" w:rsidR="00D817D6" w:rsidRPr="005A530E" w:rsidRDefault="00D817D6" w:rsidP="00D817D6">
            <w:pPr>
              <w:keepLines/>
              <w:ind w:right="3"/>
            </w:pPr>
            <w:bookmarkStart w:id="20" w:name="part_6621c8ffd96d4c46a6d82f8ccea57a56"/>
            <w:bookmarkEnd w:id="20"/>
            <w:r w:rsidRPr="005A530E">
              <w:t>Pastaba:</w:t>
            </w:r>
          </w:p>
          <w:p w14:paraId="56CB6FFC" w14:textId="377E8F22" w:rsidR="009806C7" w:rsidRPr="00BC32F7" w:rsidRDefault="006D5A5C" w:rsidP="00D817D6">
            <w:pPr>
              <w:pStyle w:val="Sraopastraipa"/>
              <w:tabs>
                <w:tab w:val="left" w:pos="434"/>
              </w:tabs>
              <w:ind w:left="63"/>
              <w:rPr>
                <w:szCs w:val="24"/>
              </w:rPr>
            </w:pPr>
            <w:r>
              <w:t>2</w:t>
            </w:r>
            <w:r w:rsidR="00D817D6" w:rsidRPr="005A530E">
              <w:t xml:space="preserve"> punkte nurodytą kvalifikacijos reikalavimą gali tenkinti tas pats vienas specialistas, jeigu jo kvalifikacija atitinka nustatytus kvalifikacijos reikalavimus.</w:t>
            </w:r>
          </w:p>
        </w:tc>
        <w:tc>
          <w:tcPr>
            <w:tcW w:w="4290" w:type="dxa"/>
          </w:tcPr>
          <w:p w14:paraId="60803A4E" w14:textId="77777777" w:rsidR="00D817D6" w:rsidRPr="00BC32F7" w:rsidRDefault="00D817D6" w:rsidP="00D817D6">
            <w:pPr>
              <w:rPr>
                <w:szCs w:val="24"/>
              </w:rPr>
            </w:pPr>
            <w:r w:rsidRPr="00BC32F7">
              <w:rPr>
                <w:szCs w:val="24"/>
              </w:rPr>
              <w:t>Tiekėjas turi pateikti:</w:t>
            </w:r>
          </w:p>
          <w:p w14:paraId="021260A1" w14:textId="77777777" w:rsidR="008E0C99" w:rsidRDefault="00D817D6" w:rsidP="008E0C99">
            <w:pPr>
              <w:pStyle w:val="Sraopastraipa"/>
              <w:numPr>
                <w:ilvl w:val="0"/>
                <w:numId w:val="26"/>
              </w:numPr>
              <w:ind w:left="316" w:hanging="284"/>
              <w:rPr>
                <w:szCs w:val="24"/>
              </w:rPr>
            </w:pPr>
            <w:r w:rsidRPr="00BD41E2">
              <w:rPr>
                <w:szCs w:val="24"/>
              </w:rPr>
              <w:t xml:space="preserve">specialistų sąrašą pagal SPS priedo Nr. </w:t>
            </w:r>
            <w:r w:rsidRPr="008E0C99">
              <w:rPr>
                <w:szCs w:val="24"/>
              </w:rPr>
              <w:t xml:space="preserve">8 </w:t>
            </w:r>
            <w:r w:rsidRPr="00BD41E2">
              <w:rPr>
                <w:szCs w:val="24"/>
              </w:rPr>
              <w:t>formą</w:t>
            </w:r>
            <w:r w:rsidR="008E0C99">
              <w:rPr>
                <w:szCs w:val="24"/>
              </w:rPr>
              <w:t>;</w:t>
            </w:r>
          </w:p>
          <w:p w14:paraId="4489641A" w14:textId="579ECC59" w:rsidR="008E0C99" w:rsidRPr="008E0C99" w:rsidRDefault="008E0C99" w:rsidP="008E0C99">
            <w:pPr>
              <w:pStyle w:val="Sraopastraipa"/>
              <w:numPr>
                <w:ilvl w:val="0"/>
                <w:numId w:val="26"/>
              </w:numPr>
              <w:ind w:left="316" w:hanging="284"/>
              <w:rPr>
                <w:szCs w:val="24"/>
              </w:rPr>
            </w:pPr>
            <w:r w:rsidRPr="008E0C99">
              <w:rPr>
                <w:color w:val="000000"/>
              </w:rPr>
              <w:t>perkančioji organizacija naudodamasi SSVA (https://www.ssva.lt) duomenų registrais, patikrins atitiktį nustatytam reikalavimui;</w:t>
            </w:r>
          </w:p>
          <w:p w14:paraId="65D2142E" w14:textId="4259C393" w:rsidR="008E0C99" w:rsidRPr="005A530E" w:rsidRDefault="008E0C99" w:rsidP="008E0C99">
            <w:pPr>
              <w:rPr>
                <w:color w:val="000000"/>
              </w:rPr>
            </w:pPr>
            <w:r w:rsidRPr="005A530E">
              <w:rPr>
                <w:color w:val="000000"/>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(susisiekimo komunikacijos (gatvės))  statybos vadovo pareigas, pripažinus jų kilmės valstybėje turimą teisę eiti analogiškų statinių statybos vadovo pareigas. </w:t>
            </w:r>
          </w:p>
          <w:p w14:paraId="5BC68CE0" w14:textId="290FA994" w:rsidR="008E0C99" w:rsidRPr="005A530E" w:rsidRDefault="008E0C99" w:rsidP="008E0C99">
            <w:pPr>
              <w:rPr>
                <w:color w:val="000000"/>
              </w:rPr>
            </w:pPr>
            <w:r w:rsidRPr="005A530E">
              <w:rPr>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dokumentas privalo būti pateiktas iki pirkimo sutarties sudarymo.</w:t>
            </w:r>
          </w:p>
          <w:p w14:paraId="6B176675" w14:textId="243A48EF" w:rsidR="008E0C99" w:rsidRPr="005A530E" w:rsidRDefault="008E0C99" w:rsidP="008E0C99">
            <w:pPr>
              <w:widowControl w:val="0"/>
              <w:suppressAutoHyphens/>
              <w:autoSpaceDN w:val="0"/>
              <w:textAlignment w:val="baseline"/>
              <w:rPr>
                <w:rFonts w:eastAsia="SimSun"/>
                <w:kern w:val="3"/>
              </w:rPr>
            </w:pPr>
            <w:r w:rsidRPr="005A530E">
              <w:rPr>
                <w:color w:val="000000"/>
              </w:rPr>
              <w:t xml:space="preserve">Tiekėjas turi pateikti įrodymus, kad siūlomas specialistas yra tiekėjo ar jo pasitelkiamo kito ūkio subjekto darbuotojas, ar kad bus įdarbintas ar prieinamas kitais pagrindais.  </w:t>
            </w:r>
          </w:p>
          <w:p w14:paraId="4D9A34C7" w14:textId="1FE1809C" w:rsidR="00D817D6" w:rsidRPr="008E0C99" w:rsidRDefault="00D817D6" w:rsidP="008E0C99">
            <w:pPr>
              <w:keepLines/>
            </w:pPr>
          </w:p>
          <w:p w14:paraId="55940045" w14:textId="4A4D08CB" w:rsidR="009806C7" w:rsidRPr="00BC32F7" w:rsidRDefault="009806C7" w:rsidP="00D817D6">
            <w:pPr>
              <w:pStyle w:val="Sraopastraipa"/>
              <w:tabs>
                <w:tab w:val="left" w:pos="366"/>
              </w:tabs>
              <w:ind w:left="63"/>
              <w:rPr>
                <w:szCs w:val="24"/>
              </w:rPr>
            </w:pPr>
          </w:p>
        </w:tc>
      </w:tr>
      <w:tr w:rsidR="00F847A2" w:rsidRPr="00BC32F7" w14:paraId="5A7DA3BE" w14:textId="77777777" w:rsidTr="00220653">
        <w:tc>
          <w:tcPr>
            <w:tcW w:w="10536" w:type="dxa"/>
            <w:gridSpan w:val="5"/>
          </w:tcPr>
          <w:p w14:paraId="1531D795"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jeigu pasiūlymą teikia ūkio subjektų grupė – reikalavimą turi atitikti ūkio subjektų grupės nario (-</w:t>
            </w:r>
            <w:proofErr w:type="spellStart"/>
            <w:r w:rsidRPr="00BC32F7">
              <w:rPr>
                <w:i/>
                <w:iCs/>
                <w:color w:val="000000" w:themeColor="text1"/>
                <w:szCs w:val="24"/>
              </w:rPr>
              <w:t>ių</w:t>
            </w:r>
            <w:proofErr w:type="spellEnd"/>
            <w:r w:rsidRPr="00BC32F7">
              <w:rPr>
                <w:i/>
                <w:iCs/>
                <w:color w:val="000000" w:themeColor="text1"/>
                <w:szCs w:val="24"/>
              </w:rPr>
              <w:t>) specialistai, atsižvelgiant į jų prisiimamus įsipareigojimus pirkimo sutarčiai vykdyti;</w:t>
            </w:r>
          </w:p>
          <w:p w14:paraId="5143B30B"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0"/>
    </w:tbl>
    <w:p w14:paraId="000FFBCD" w14:textId="77777777" w:rsidR="00C1395C" w:rsidRPr="00BC32F7" w:rsidRDefault="00C1395C" w:rsidP="0056029D">
      <w:pPr>
        <w:rPr>
          <w:color w:val="000000" w:themeColor="text1"/>
          <w:szCs w:val="24"/>
        </w:rPr>
      </w:pPr>
    </w:p>
    <w:sectPr w:rsidR="00C1395C" w:rsidRPr="00BC32F7"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33E6" w14:textId="77777777" w:rsidR="00F612D4" w:rsidRPr="00A27E11" w:rsidRDefault="00F612D4" w:rsidP="0075209B">
      <w:r w:rsidRPr="00A27E11">
        <w:separator/>
      </w:r>
    </w:p>
  </w:endnote>
  <w:endnote w:type="continuationSeparator" w:id="0">
    <w:p w14:paraId="14B9BD2E" w14:textId="77777777" w:rsidR="00F612D4" w:rsidRPr="00A27E11" w:rsidRDefault="00F612D4"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3832" w14:textId="77777777" w:rsidR="00F612D4" w:rsidRPr="00A27E11" w:rsidRDefault="00F612D4" w:rsidP="0075209B">
      <w:r w:rsidRPr="00A27E11">
        <w:separator/>
      </w:r>
    </w:p>
  </w:footnote>
  <w:footnote w:type="continuationSeparator" w:id="0">
    <w:p w14:paraId="619E4A61" w14:textId="77777777" w:rsidR="00F612D4" w:rsidRPr="00A27E11" w:rsidRDefault="00F612D4"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8"/>
  </w:num>
  <w:num w:numId="2">
    <w:abstractNumId w:val="15"/>
  </w:num>
  <w:num w:numId="3">
    <w:abstractNumId w:val="11"/>
  </w:num>
  <w:num w:numId="4">
    <w:abstractNumId w:val="14"/>
  </w:num>
  <w:num w:numId="5">
    <w:abstractNumId w:val="9"/>
  </w:num>
  <w:num w:numId="6">
    <w:abstractNumId w:val="12"/>
  </w:num>
  <w:num w:numId="7">
    <w:abstractNumId w:val="5"/>
  </w:num>
  <w:num w:numId="8">
    <w:abstractNumId w:val="24"/>
  </w:num>
  <w:num w:numId="9">
    <w:abstractNumId w:val="10"/>
  </w:num>
  <w:num w:numId="10">
    <w:abstractNumId w:val="25"/>
  </w:num>
  <w:num w:numId="11">
    <w:abstractNumId w:val="2"/>
  </w:num>
  <w:num w:numId="12">
    <w:abstractNumId w:val="3"/>
  </w:num>
  <w:num w:numId="13">
    <w:abstractNumId w:val="20"/>
  </w:num>
  <w:num w:numId="14">
    <w:abstractNumId w:val="21"/>
  </w:num>
  <w:num w:numId="15">
    <w:abstractNumId w:val="22"/>
  </w:num>
  <w:num w:numId="16">
    <w:abstractNumId w:val="1"/>
  </w:num>
  <w:num w:numId="17">
    <w:abstractNumId w:val="4"/>
  </w:num>
  <w:num w:numId="18">
    <w:abstractNumId w:val="7"/>
  </w:num>
  <w:num w:numId="19">
    <w:abstractNumId w:val="18"/>
  </w:num>
  <w:num w:numId="20">
    <w:abstractNumId w:val="23"/>
  </w:num>
  <w:num w:numId="21">
    <w:abstractNumId w:val="19"/>
  </w:num>
  <w:num w:numId="22">
    <w:abstractNumId w:val="17"/>
  </w:num>
  <w:num w:numId="23">
    <w:abstractNumId w:val="6"/>
  </w:num>
  <w:num w:numId="24">
    <w:abstractNumId w:val="0"/>
  </w:num>
  <w:num w:numId="25">
    <w:abstractNumId w:val="16"/>
  </w:num>
  <w:num w:numId="26">
    <w:abstractNumId w:val="26"/>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3314"/>
    <w:rsid w:val="002767B3"/>
    <w:rsid w:val="00276F89"/>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2F43"/>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5C"/>
    <w:rsid w:val="006D5ACA"/>
    <w:rsid w:val="006D71BB"/>
    <w:rsid w:val="006D7258"/>
    <w:rsid w:val="006D7384"/>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0C99"/>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47E0"/>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37A58"/>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4A11"/>
    <w:rsid w:val="00D75609"/>
    <w:rsid w:val="00D75DDA"/>
    <w:rsid w:val="00D77779"/>
    <w:rsid w:val="00D77C34"/>
    <w:rsid w:val="00D817D6"/>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E1"/>
    <w:rsid w:val="00DF56B0"/>
    <w:rsid w:val="00DF6857"/>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2D4"/>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E65374C7-6192-49CE-8847-D15F3F97EB0F}">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D255B3F2-3A2F-4A12-AA3D-6844E849306E}">
  <ds:schemaRefs>
    <ds:schemaRef ds:uri="http://schemas.microsoft.com/sharepoint/v3/contenttype/forms"/>
  </ds:schemaRefs>
</ds:datastoreItem>
</file>

<file path=customXml/itemProps4.xml><?xml version="1.0" encoding="utf-8"?>
<ds:datastoreItem xmlns:ds="http://schemas.openxmlformats.org/officeDocument/2006/customXml" ds:itemID="{404A358B-E2C3-4BAE-93EA-195F11A44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3546</Words>
  <Characters>2022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2025-02-13T12:05:00Z</dcterms:created>
  <dcterms:modified xsi:type="dcterms:W3CDTF">2025-06-13T12:07:00Z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