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290583C6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1C51E1">
        <w:rPr>
          <w:rFonts w:eastAsia="Calibri"/>
          <w:b/>
          <w:bCs/>
          <w:sz w:val="22"/>
          <w:szCs w:val="22"/>
        </w:rPr>
        <w:t>ECHOSKOPO ULTRAGARSINIAMS</w:t>
      </w:r>
      <w:r w:rsidR="00071E3B">
        <w:rPr>
          <w:rFonts w:eastAsia="Calibri"/>
          <w:b/>
          <w:bCs/>
          <w:sz w:val="22"/>
          <w:szCs w:val="22"/>
        </w:rPr>
        <w:t xml:space="preserve"> 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0EE00D24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1C51E1" w:rsidRPr="001C51E1">
        <w:rPr>
          <w:b/>
          <w:bCs/>
          <w:sz w:val="22"/>
          <w:szCs w:val="22"/>
        </w:rPr>
        <w:t>Echoskopo ultragarsiniams</w:t>
      </w:r>
      <w:r w:rsidR="00B92241" w:rsidRPr="00FD412B">
        <w:rPr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2FAEA2BD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 xml:space="preserve">alyvius susipažinti su skelbiamu </w:t>
      </w:r>
      <w:r w:rsidR="007D4D60">
        <w:rPr>
          <w:rFonts w:eastAsia="Calibri"/>
          <w:sz w:val="22"/>
          <w:szCs w:val="22"/>
        </w:rPr>
        <w:t>T</w:t>
      </w:r>
      <w:r w:rsidRPr="00A7060E">
        <w:rPr>
          <w:rFonts w:eastAsia="Calibri"/>
          <w:sz w:val="22"/>
          <w:szCs w:val="22"/>
        </w:rPr>
        <w:t>echnin</w:t>
      </w:r>
      <w:r w:rsidR="007D4D60">
        <w:rPr>
          <w:rFonts w:eastAsia="Calibri"/>
          <w:sz w:val="22"/>
          <w:szCs w:val="22"/>
        </w:rPr>
        <w:t>e</w:t>
      </w:r>
      <w:r w:rsidRPr="00A7060E">
        <w:rPr>
          <w:rFonts w:eastAsia="Calibri"/>
          <w:sz w:val="22"/>
          <w:szCs w:val="22"/>
        </w:rPr>
        <w:t xml:space="preserve"> specifikacij</w:t>
      </w:r>
      <w:r w:rsidR="007D4D60">
        <w:rPr>
          <w:rFonts w:eastAsia="Calibri"/>
          <w:sz w:val="22"/>
          <w:szCs w:val="22"/>
        </w:rPr>
        <w:t>a (1 priedas)</w:t>
      </w:r>
      <w:r w:rsidRPr="00A7060E">
        <w:rPr>
          <w:rFonts w:eastAsia="Calibri"/>
          <w:sz w:val="22"/>
          <w:szCs w:val="22"/>
        </w:rPr>
        <w:t xml:space="preserve"> </w:t>
      </w:r>
      <w:r w:rsidR="007D4D60">
        <w:rPr>
          <w:rFonts w:eastAsia="Calibri"/>
          <w:sz w:val="22"/>
          <w:szCs w:val="22"/>
        </w:rPr>
        <w:t xml:space="preserve"> ir Pasiūlymų vertinimo kriterijais </w:t>
      </w:r>
      <w:r w:rsidR="007D4D60" w:rsidRPr="007D4D60">
        <w:rPr>
          <w:rFonts w:eastAsia="Calibri"/>
          <w:i/>
          <w:iCs/>
          <w:sz w:val="22"/>
          <w:szCs w:val="22"/>
        </w:rPr>
        <w:t>(2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="007D4D60">
        <w:rPr>
          <w:rFonts w:eastAsia="Calibri"/>
          <w:b/>
          <w:bCs/>
          <w:sz w:val="22"/>
          <w:szCs w:val="22"/>
        </w:rPr>
        <w:t>,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Prašome pateikti nuorodą (-as) į technines charakteristikas ir/arba pateikti gamintojo dokumentaciją; 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50FDA471" w:rsidR="00100CC2" w:rsidRDefault="001B4A17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 w:themeColor="text1"/>
          <w:sz w:val="22"/>
          <w:szCs w:val="22"/>
          <w:lang w:eastAsia="lt-LT"/>
        </w:rPr>
        <w:t>Echoskopo ultragarsiniams</w:t>
      </w:r>
      <w:r w:rsidR="00FD412B" w:rsidRPr="000E40C7">
        <w:rPr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>
        <w:rPr>
          <w:color w:val="000000"/>
          <w:sz w:val="22"/>
          <w:szCs w:val="22"/>
          <w:lang w:eastAsia="lt-LT"/>
        </w:rPr>
        <w:t>5</w:t>
      </w:r>
      <w:r w:rsidR="004A03D9">
        <w:rPr>
          <w:color w:val="000000"/>
          <w:sz w:val="22"/>
          <w:szCs w:val="22"/>
          <w:lang w:eastAsia="lt-LT"/>
        </w:rPr>
        <w:t xml:space="preserve"> lapa</w:t>
      </w:r>
      <w:r w:rsidR="00071E3B">
        <w:rPr>
          <w:color w:val="000000"/>
          <w:sz w:val="22"/>
          <w:szCs w:val="22"/>
          <w:lang w:eastAsia="lt-LT"/>
        </w:rPr>
        <w:t>i.</w:t>
      </w:r>
    </w:p>
    <w:p w14:paraId="2702E6A0" w14:textId="2D9A5E64" w:rsidR="001B4A17" w:rsidRDefault="001B4A17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 w:themeColor="text1"/>
          <w:sz w:val="22"/>
          <w:szCs w:val="22"/>
          <w:lang w:eastAsia="lt-LT"/>
        </w:rPr>
        <w:t>Pasiūlym</w:t>
      </w:r>
      <w:r w:rsidR="00071E3B">
        <w:rPr>
          <w:color w:val="000000" w:themeColor="text1"/>
          <w:sz w:val="22"/>
          <w:szCs w:val="22"/>
          <w:lang w:eastAsia="lt-LT"/>
        </w:rPr>
        <w:t>ų</w:t>
      </w:r>
      <w:r>
        <w:rPr>
          <w:color w:val="000000" w:themeColor="text1"/>
          <w:sz w:val="22"/>
          <w:szCs w:val="22"/>
          <w:lang w:eastAsia="lt-LT"/>
        </w:rPr>
        <w:t xml:space="preserve"> vertinim</w:t>
      </w:r>
      <w:r w:rsidR="00071E3B">
        <w:rPr>
          <w:color w:val="000000" w:themeColor="text1"/>
          <w:sz w:val="22"/>
          <w:szCs w:val="22"/>
          <w:lang w:eastAsia="lt-LT"/>
        </w:rPr>
        <w:t>o kriterijai</w:t>
      </w:r>
      <w:r>
        <w:rPr>
          <w:color w:val="000000" w:themeColor="text1"/>
          <w:sz w:val="22"/>
          <w:szCs w:val="22"/>
          <w:lang w:eastAsia="lt-LT"/>
        </w:rPr>
        <w:t>, 1 lapas</w:t>
      </w:r>
      <w:r w:rsidR="00071E3B">
        <w:rPr>
          <w:color w:val="000000" w:themeColor="text1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C9AB" w14:textId="77777777" w:rsidR="009C20AC" w:rsidRDefault="009C20AC" w:rsidP="00CC2050">
      <w:r>
        <w:separator/>
      </w:r>
    </w:p>
  </w:endnote>
  <w:endnote w:type="continuationSeparator" w:id="0">
    <w:p w14:paraId="18A4E501" w14:textId="77777777" w:rsidR="009C20AC" w:rsidRDefault="009C20AC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7EA7" w14:textId="77777777" w:rsidR="009C20AC" w:rsidRDefault="009C20AC" w:rsidP="00CC2050">
      <w:r>
        <w:separator/>
      </w:r>
    </w:p>
  </w:footnote>
  <w:footnote w:type="continuationSeparator" w:id="0">
    <w:p w14:paraId="42A5F0E2" w14:textId="77777777" w:rsidR="009C20AC" w:rsidRDefault="009C20AC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25CC"/>
    <w:rsid w:val="00065D80"/>
    <w:rsid w:val="00071E3B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722F"/>
    <w:rsid w:val="001B0D3C"/>
    <w:rsid w:val="001B4A17"/>
    <w:rsid w:val="001B7444"/>
    <w:rsid w:val="001B7E5D"/>
    <w:rsid w:val="001C0163"/>
    <w:rsid w:val="001C51E1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81A3F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4D60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20AC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4F14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0E26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6</cp:revision>
  <cp:lastPrinted>2024-01-10T06:25:00Z</cp:lastPrinted>
  <dcterms:created xsi:type="dcterms:W3CDTF">2025-06-13T12:13:00Z</dcterms:created>
  <dcterms:modified xsi:type="dcterms:W3CDTF">2025-06-13T12:17:00Z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