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B028" w14:textId="751D267F" w:rsidR="00067B3C" w:rsidRPr="000F467D" w:rsidRDefault="00067B3C" w:rsidP="5748C3B8">
      <w:pPr>
        <w:pStyle w:val="FreeForm"/>
        <w:spacing w:line="300" w:lineRule="atLeast"/>
        <w:ind w:left="1098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i/>
          <w:iCs/>
          <w:color w:val="auto"/>
          <w:sz w:val="24"/>
          <w:szCs w:val="24"/>
          <w:lang w:val="lt-LT"/>
        </w:rPr>
        <w:t>Priedas Nr. 2</w:t>
      </w:r>
    </w:p>
    <w:p w14:paraId="2F0C5D27" w14:textId="4AA255CD" w:rsidR="00067B3C" w:rsidRPr="000F467D" w:rsidRDefault="00067B3C" w:rsidP="5748C3B8">
      <w:pPr>
        <w:pStyle w:val="FreeForm"/>
        <w:ind w:left="1098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>PATVIRTINTA</w:t>
      </w:r>
    </w:p>
    <w:p w14:paraId="085E6C53" w14:textId="53B2ACC4" w:rsidR="00067B3C" w:rsidRPr="000F467D" w:rsidRDefault="00067B3C" w:rsidP="4A93269E">
      <w:pPr>
        <w:ind w:left="11016"/>
        <w:rPr>
          <w:lang w:val="lt-LT"/>
        </w:rPr>
      </w:pPr>
      <w:r w:rsidRPr="000F467D">
        <w:rPr>
          <w:lang w:val="lt-LT"/>
        </w:rPr>
        <w:t>Aplinkos apsaugos departamento prie Aplinkos ministerijos Nuolatinės viešųjų pirkimų komisijos 2025-06-</w:t>
      </w:r>
      <w:r w:rsidR="000800A1">
        <w:rPr>
          <w:lang w:val="lt-LT"/>
        </w:rPr>
        <w:t>13</w:t>
      </w:r>
      <w:r w:rsidRPr="000F467D">
        <w:rPr>
          <w:lang w:val="lt-LT"/>
        </w:rPr>
        <w:t xml:space="preserve"> protokolu Nr.</w:t>
      </w:r>
      <w:r w:rsidR="000800A1">
        <w:rPr>
          <w:lang w:val="lt-LT"/>
        </w:rPr>
        <w:t xml:space="preserve"> VP3-39</w:t>
      </w:r>
    </w:p>
    <w:p w14:paraId="296E66BF" w14:textId="77777777" w:rsidR="00067B3C" w:rsidRPr="000F467D" w:rsidRDefault="00067B3C" w:rsidP="00067B3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B6888E1" w14:textId="77777777" w:rsidR="00067B3C" w:rsidRPr="000F467D" w:rsidRDefault="00067B3C" w:rsidP="00067B3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>Pirkimo dalyviams</w:t>
      </w:r>
    </w:p>
    <w:p w14:paraId="4457CAE6" w14:textId="77777777" w:rsidR="00067B3C" w:rsidRPr="000F467D" w:rsidRDefault="00067B3C" w:rsidP="00067B3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>(siunčiama Centrinės viešųjų pirkimų informacinės sistemos (toliau – CVP IS) priemonėmis)</w:t>
      </w:r>
    </w:p>
    <w:p w14:paraId="770FA501" w14:textId="77777777" w:rsidR="00067B3C" w:rsidRPr="000F467D" w:rsidRDefault="00067B3C" w:rsidP="00067B3C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7DDCD732" w14:textId="33D6EDD8" w:rsidR="159F3BF9" w:rsidRPr="000F467D" w:rsidRDefault="00067B3C" w:rsidP="159F3BF9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DĖL GAUTŲ TIEKĖJO PAKLAUSIMŲ</w:t>
      </w:r>
    </w:p>
    <w:p w14:paraId="05258D52" w14:textId="77777777" w:rsidR="00067B3C" w:rsidRPr="000F467D" w:rsidRDefault="00067B3C" w:rsidP="00067B3C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</w:p>
    <w:p w14:paraId="0CAB3D63" w14:textId="1E8C6AF6" w:rsidR="00067B3C" w:rsidRPr="000F467D" w:rsidRDefault="00067B3C" w:rsidP="00067B3C">
      <w:pPr>
        <w:pStyle w:val="FreeForm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Informuojame, kad Aplinkos apsaugos departamentas prie Aplinkos ministerijos (toliau – Perkančioji organizacija), vykdydamas tarptautinį viešąjį pirkimą „Aplinkos apsaugos valstybės kontrolės pareigūnų uniformų dalys“ (pirkimo ID 2866738, toliau – pirkimas), 2025-06-06 CVP IS priemonėmis gavo tiekėjo paklausimus (pranešimo ID 231396 ir pranešimo ID </w:t>
      </w:r>
      <w:r w:rsidR="006664FC"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>231434</w:t>
      </w: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). Perkančioji organizacija išnagrinėjo minėtus paklausimus ir teikia atsakymus: </w:t>
      </w:r>
    </w:p>
    <w:p w14:paraId="205EB417" w14:textId="723A147F" w:rsidR="00067B3C" w:rsidRPr="000F467D" w:rsidRDefault="00176EF4" w:rsidP="00176EF4">
      <w:pPr>
        <w:pStyle w:val="FreeForm"/>
        <w:spacing w:line="300" w:lineRule="atLeast"/>
        <w:jc w:val="right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0F467D">
        <w:rPr>
          <w:rFonts w:ascii="Times New Roman" w:hAnsi="Times New Roman" w:cs="Times New Roman"/>
          <w:color w:val="auto"/>
          <w:sz w:val="24"/>
          <w:szCs w:val="24"/>
          <w:lang w:val="lt-LT"/>
        </w:rPr>
        <w:t>1 lentelė</w:t>
      </w:r>
    </w:p>
    <w:tbl>
      <w:tblPr>
        <w:tblStyle w:val="Lentelstinklelis"/>
        <w:tblW w:w="15525" w:type="dxa"/>
        <w:tblLook w:val="04A0" w:firstRow="1" w:lastRow="0" w:firstColumn="1" w:lastColumn="0" w:noHBand="0" w:noVBand="1"/>
      </w:tblPr>
      <w:tblGrid>
        <w:gridCol w:w="570"/>
        <w:gridCol w:w="2175"/>
        <w:gridCol w:w="3585"/>
        <w:gridCol w:w="3225"/>
        <w:gridCol w:w="2970"/>
        <w:gridCol w:w="3000"/>
      </w:tblGrid>
      <w:tr w:rsidR="00622E40" w:rsidRPr="000F467D" w14:paraId="03068A27" w14:textId="77777777" w:rsidTr="25CE57F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4BA4F95" w14:textId="0E5AA8B9" w:rsidR="00545A34" w:rsidRPr="000F467D" w:rsidRDefault="00545A34" w:rsidP="00065646">
            <w:pPr>
              <w:pStyle w:val="FreeForm"/>
              <w:spacing w:line="300" w:lineRule="atLeas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8004256" w14:textId="55E430E8" w:rsidR="00545A34" w:rsidRPr="000F467D" w:rsidRDefault="00545A34" w:rsidP="00067B3C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Tiekėjo klausimai</w:t>
            </w:r>
          </w:p>
          <w:p w14:paraId="7A8BA792" w14:textId="6CFDBA00" w:rsidR="00545A34" w:rsidRPr="00EB3D0E" w:rsidRDefault="00545A34" w:rsidP="4A93269E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EB3D0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(kalba netaisyta)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A87ED4" w14:textId="109CA10F" w:rsidR="00545A34" w:rsidRPr="000F467D" w:rsidRDefault="00882D04" w:rsidP="00067B3C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A</w:t>
            </w:r>
            <w:r w:rsidR="00545A3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tsakymai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BA6520" w14:textId="642DCB1C" w:rsidR="00545A34" w:rsidRPr="000F467D" w:rsidRDefault="00DE7EA7" w:rsidP="00067B3C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Pirkimo d</w:t>
            </w:r>
            <w:r w:rsidR="00545A3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okumentas</w:t>
            </w:r>
            <w:r w:rsidR="3B351E12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(punktas</w:t>
            </w:r>
            <w:r w:rsidR="4DA5C28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, </w:t>
            </w:r>
            <w:r w:rsidR="3B351E12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lentelė, eilutė),</w:t>
            </w:r>
            <w:r w:rsidR="00545A3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kuriame keičiama</w:t>
            </w:r>
            <w:r w:rsidR="7DB49FE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/tikslinama</w:t>
            </w:r>
            <w:r w:rsidR="00545A34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informacija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6FFC1A" w14:textId="4930C4EA" w:rsidR="2738A5A3" w:rsidRPr="000F467D" w:rsidRDefault="2738A5A3" w:rsidP="5363DF24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Prieš patikslinimą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B16678" w14:textId="496DD3A8" w:rsidR="00545A34" w:rsidRPr="000F467D" w:rsidRDefault="08B7AE36" w:rsidP="793AB3A9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Po patikslinimo </w:t>
            </w:r>
          </w:p>
          <w:p w14:paraId="79C65483" w14:textId="7ED858D3" w:rsidR="00545A34" w:rsidRPr="000F467D" w:rsidRDefault="08B7AE36" w:rsidP="4A93269E">
            <w:pPr>
              <w:pStyle w:val="FreeForm"/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(tikslinama vieta pa</w:t>
            </w:r>
            <w:r w:rsidR="2F876B76"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ryškinta</w:t>
            </w: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)</w:t>
            </w:r>
          </w:p>
        </w:tc>
      </w:tr>
      <w:tr w:rsidR="00622E40" w:rsidRPr="000F467D" w14:paraId="66C19265" w14:textId="77777777" w:rsidTr="25CE57F0">
        <w:trPr>
          <w:trHeight w:val="300"/>
        </w:trPr>
        <w:tc>
          <w:tcPr>
            <w:tcW w:w="1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E8E60C" w14:textId="3DD154F1" w:rsidR="00732565" w:rsidRPr="000F467D" w:rsidRDefault="00685448">
            <w:pPr>
              <w:rPr>
                <w:lang w:val="lt-LT"/>
              </w:rPr>
            </w:pPr>
            <w:r w:rsidRPr="000F467D">
              <w:rPr>
                <w:sz w:val="24"/>
                <w:szCs w:val="24"/>
                <w:lang w:val="lt-LT"/>
              </w:rPr>
              <w:t>Pranešimas ID 231396</w:t>
            </w:r>
          </w:p>
        </w:tc>
      </w:tr>
      <w:tr w:rsidR="00622E40" w:rsidRPr="000F467D" w14:paraId="406C3286" w14:textId="77777777" w:rsidTr="25CE57F0">
        <w:trPr>
          <w:trHeight w:val="6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BEA7" w14:textId="03709A91" w:rsidR="00E61705" w:rsidRPr="000F467D" w:rsidRDefault="00E61705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2CBF5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Prašome</w:t>
            </w:r>
          </w:p>
          <w:p w14:paraId="5D372881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-patikslinti</w:t>
            </w:r>
          </w:p>
          <w:p w14:paraId="2819C70A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užsakomos</w:t>
            </w:r>
          </w:p>
          <w:p w14:paraId="7FF58CDE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uniformos gaminių</w:t>
            </w:r>
          </w:p>
          <w:p w14:paraId="0A2A105F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spalvas pagal</w:t>
            </w:r>
          </w:p>
          <w:p w14:paraId="0AC2B966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tekstilės Pantone</w:t>
            </w:r>
          </w:p>
          <w:p w14:paraId="6B4F29F6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spalvas, medžiagų</w:t>
            </w:r>
          </w:p>
          <w:p w14:paraId="5709AD24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tiekėjai ne visi</w:t>
            </w:r>
          </w:p>
          <w:p w14:paraId="294411C6" w14:textId="77777777" w:rsidR="00E61705" w:rsidRPr="000F467D" w:rsidRDefault="00E61705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supranta spalvų</w:t>
            </w:r>
          </w:p>
          <w:p w14:paraId="0B0AC3E4" w14:textId="77777777" w:rsidR="00E61705" w:rsidRPr="000F467D" w:rsidRDefault="00E61705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  <w:lang w:val="lt-LT"/>
                <w14:ligatures w14:val="standardContextual"/>
              </w:rPr>
              <w:t>koordinates.</w:t>
            </w:r>
          </w:p>
          <w:p w14:paraId="5E14E742" w14:textId="3709B647" w:rsidR="00E61705" w:rsidRPr="000F467D" w:rsidRDefault="00E61705" w:rsidP="0B379B4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A6851" w14:textId="6F2E461C" w:rsidR="00E61705" w:rsidRPr="000F467D" w:rsidRDefault="00E61705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Specialiųjų pirkimo sąlygų 2 priede „Techninė specifikacija“ (I-VI dalys) nurodytos uniformų dalių spalvų koordinatės yra nurodytos pagal CIELAB sistemą. CIELAB yra</w:t>
            </w:r>
          </w:p>
          <w:p w14:paraId="4DD11C53" w14:textId="77777777" w:rsidR="00E61705" w:rsidRPr="000F467D" w:rsidRDefault="00E61705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tarptautinis spalvų modelis, kurį sukūrė CIE (</w:t>
            </w:r>
            <w:proofErr w:type="spellStart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Commission</w:t>
            </w:r>
            <w:proofErr w:type="spellEnd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Internationale</w:t>
            </w:r>
            <w:proofErr w:type="spellEnd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de </w:t>
            </w:r>
            <w:proofErr w:type="spellStart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l'Éclairage</w:t>
            </w:r>
            <w:proofErr w:type="spellEnd"/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). Uniformos dalių spalvos pagal tekstilės Pantone spalvų paletę nebus tikslinamos, nes uniformos dalių spalvos turi atitikti nurodytas spalvų koordinates pagal CIELAB sistemą.</w:t>
            </w:r>
          </w:p>
          <w:p w14:paraId="62F8B09B" w14:textId="6A38746A" w:rsidR="00E61705" w:rsidRPr="000F467D" w:rsidRDefault="00E61705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AEE29" w14:textId="3AC16BAD" w:rsidR="00E61705" w:rsidRPr="000F467D" w:rsidDel="009C6008" w:rsidRDefault="350A139A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1.1. 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2B49C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</w:t>
            </w:r>
            <w:r w:rsidR="00045D27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(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 dalis</w:t>
            </w:r>
            <w:r w:rsidR="00045D27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)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 </w:t>
            </w:r>
            <w:r w:rsidR="00030D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skyriaus 1.3 lentelės 14 eilutės antras stulpelis</w:t>
            </w:r>
            <w:r w:rsidR="00D726D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; </w:t>
            </w:r>
            <w:r w:rsidR="00030D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skyriaus 2.2. lentelės 13 eilutės antras stulpelis ir </w:t>
            </w:r>
            <w:r w:rsidR="00030D6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2B49CE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skyriaus 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2.3.</w:t>
            </w:r>
            <w:r w:rsidR="00E87014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E6170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lentelės 14 eilutės antras stulpelis</w:t>
            </w:r>
            <w:r w:rsidR="00E47AE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1951" w14:textId="0869302A" w:rsidR="5363DF24" w:rsidRPr="000F467D" w:rsidRDefault="526328FC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631" w14:textId="345A1C05" w:rsidR="00E61705" w:rsidRPr="000F467D" w:rsidRDefault="00622E40" w:rsidP="168ACB4B">
            <w:pPr>
              <w:pStyle w:val="FreeForm"/>
              <w:widowControl w:val="0"/>
              <w:tabs>
                <w:tab w:val="left" w:pos="1418"/>
              </w:tabs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168ACB4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Spalvų koordinatės </w:t>
            </w:r>
            <w:r w:rsidRPr="168AC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pagal CIELAB sistemą</w:t>
            </w:r>
          </w:p>
        </w:tc>
      </w:tr>
      <w:tr w:rsidR="00622E40" w:rsidRPr="000F467D" w14:paraId="759AD23A" w14:textId="77777777" w:rsidTr="25CE57F0">
        <w:trPr>
          <w:trHeight w:val="300"/>
        </w:trPr>
        <w:tc>
          <w:tcPr>
            <w:tcW w:w="570" w:type="dxa"/>
            <w:vMerge/>
          </w:tcPr>
          <w:p w14:paraId="0E09B9E9" w14:textId="2927ADB1" w:rsidR="0095357D" w:rsidRPr="000F467D" w:rsidRDefault="0095357D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262DDFA3" w14:textId="77777777" w:rsidR="0095357D" w:rsidRPr="000F467D" w:rsidRDefault="0095357D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48E92856" w14:textId="77777777" w:rsidR="0095357D" w:rsidRPr="000F467D" w:rsidRDefault="0095357D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6F5" w14:textId="7CC1A5DA" w:rsidR="0095357D" w:rsidRPr="000F467D" w:rsidRDefault="3E29DA30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1.2. 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2B49C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(II dalis) 4 skyriaus  1.3. lentelės 10 eilutė</w:t>
            </w:r>
            <w:r w:rsidR="00B7347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antras stulpelis</w:t>
            </w:r>
            <w:r w:rsidR="008C5AA0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F00" w14:textId="12635DF5" w:rsidR="5363DF24" w:rsidRPr="000F467D" w:rsidRDefault="6596CB18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E510" w14:textId="775E450A" w:rsidR="0095357D" w:rsidRPr="000F467D" w:rsidRDefault="0095357D" w:rsidP="168ACB4B">
            <w:pPr>
              <w:pStyle w:val="Antrat"/>
              <w:jc w:val="both"/>
              <w:rPr>
                <w:sz w:val="24"/>
                <w:szCs w:val="24"/>
              </w:rPr>
            </w:pPr>
            <w:r w:rsidRPr="168ACB4B">
              <w:rPr>
                <w:b w:val="0"/>
                <w:bCs w:val="0"/>
                <w:sz w:val="24"/>
                <w:szCs w:val="24"/>
              </w:rPr>
              <w:t>Spalvų koordinatės p</w:t>
            </w:r>
            <w:r w:rsidRPr="168ACB4B">
              <w:rPr>
                <w:sz w:val="24"/>
                <w:szCs w:val="24"/>
              </w:rPr>
              <w:t>agal CIELAB sistemą</w:t>
            </w:r>
          </w:p>
        </w:tc>
      </w:tr>
      <w:tr w:rsidR="00622E40" w:rsidRPr="000F467D" w14:paraId="463EAEED" w14:textId="77777777" w:rsidTr="25CE57F0">
        <w:trPr>
          <w:trHeight w:val="300"/>
        </w:trPr>
        <w:tc>
          <w:tcPr>
            <w:tcW w:w="570" w:type="dxa"/>
            <w:vMerge/>
          </w:tcPr>
          <w:p w14:paraId="7D4015E7" w14:textId="3C07FB53" w:rsidR="0095357D" w:rsidRPr="000F467D" w:rsidRDefault="0095357D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1E95366E" w14:textId="77777777" w:rsidR="0095357D" w:rsidRPr="000F467D" w:rsidRDefault="0095357D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5D55E902" w14:textId="77777777" w:rsidR="0095357D" w:rsidRPr="000F467D" w:rsidRDefault="0095357D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3C4" w14:textId="1A5EBA1E" w:rsidR="0095357D" w:rsidRPr="000F467D" w:rsidRDefault="5DDE1BD0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1.3. 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D726D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(III dalis) </w:t>
            </w:r>
            <w:r w:rsidR="00F44011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 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skyriaus </w:t>
            </w:r>
            <w:r w:rsidR="00F44011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1.3. lentelės</w:t>
            </w:r>
            <w:r w:rsidR="00114D6F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12 eilutė</w:t>
            </w:r>
            <w:r w:rsidR="00B7347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antras stulpelis</w:t>
            </w:r>
            <w:r w:rsidR="00114D6F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; 5</w:t>
            </w:r>
            <w:r w:rsidR="00145E19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skyriaus 2.3. lentelės 12 eilutė</w:t>
            </w:r>
            <w:r w:rsidR="00B7347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="00A14DE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antras stulpelis</w:t>
            </w:r>
            <w:r w:rsidR="00145E19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</w:t>
            </w:r>
            <w:r w:rsidR="00D726D7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5 skyriaus </w:t>
            </w:r>
            <w:r w:rsidR="00CF0D9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2.4. lentelės 5 eilutė</w:t>
            </w:r>
            <w:r w:rsidR="00B7347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antras stulpelis</w:t>
            </w:r>
            <w:r w:rsidR="008C5AA0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ED4" w14:textId="522018AD" w:rsidR="6FDC11CC" w:rsidRPr="000F467D" w:rsidRDefault="6FDC11CC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193" w14:textId="619C865E" w:rsidR="0095357D" w:rsidRPr="000F467D" w:rsidRDefault="0095357D" w:rsidP="168ACB4B">
            <w:pPr>
              <w:suppressAutoHyphens/>
              <w:jc w:val="both"/>
              <w:outlineLvl w:val="4"/>
              <w:rPr>
                <w:rFonts w:eastAsia="Times New Roman"/>
                <w:b/>
                <w:bCs/>
                <w:sz w:val="24"/>
                <w:szCs w:val="24"/>
                <w:lang w:val="lt-LT"/>
              </w:rPr>
            </w:pPr>
            <w:r w:rsidRPr="168ACB4B">
              <w:rPr>
                <w:rFonts w:eastAsia="Times New Roman"/>
                <w:sz w:val="24"/>
                <w:szCs w:val="24"/>
                <w:lang w:val="lt-LT"/>
              </w:rPr>
              <w:t xml:space="preserve">Spalvų koordinatės </w:t>
            </w:r>
            <w:r w:rsidRPr="168ACB4B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>pagal CIELAB sistemą</w:t>
            </w:r>
          </w:p>
        </w:tc>
      </w:tr>
      <w:tr w:rsidR="00622E40" w:rsidRPr="000F467D" w14:paraId="001716DC" w14:textId="77777777" w:rsidTr="25CE57F0">
        <w:trPr>
          <w:trHeight w:val="300"/>
        </w:trPr>
        <w:tc>
          <w:tcPr>
            <w:tcW w:w="570" w:type="dxa"/>
            <w:vMerge/>
          </w:tcPr>
          <w:p w14:paraId="1BA5DE90" w14:textId="19418535" w:rsidR="0095357D" w:rsidRPr="000F467D" w:rsidRDefault="0095357D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4557ED1D" w14:textId="77777777" w:rsidR="0095357D" w:rsidRPr="000F467D" w:rsidRDefault="0095357D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59305138" w14:textId="77777777" w:rsidR="0095357D" w:rsidRPr="000F467D" w:rsidRDefault="0095357D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A976" w14:textId="4A72720A" w:rsidR="0095357D" w:rsidRPr="000F467D" w:rsidRDefault="56B28DF6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1.4. 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D726D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95357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(IV dalis)</w:t>
            </w:r>
            <w:r w:rsidR="00FF5F0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4 skyriaus 1.3. lentelės 14 eilutė</w:t>
            </w:r>
            <w:r w:rsidR="00B7347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antras stulpelis</w:t>
            </w:r>
            <w:r w:rsidR="00FF5F0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 </w:t>
            </w:r>
            <w:r w:rsidR="00D726D7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 skyriaus </w:t>
            </w:r>
            <w:r w:rsidR="00FF5F0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1.4. lentelės 14 eilutė</w:t>
            </w:r>
            <w:r w:rsidR="000640C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 antras stulpelis</w:t>
            </w:r>
            <w:r w:rsidR="00FF5F0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; </w:t>
            </w:r>
            <w:r w:rsidR="006E029D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="00FF5F0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skyriaus </w:t>
            </w:r>
            <w:r w:rsidR="00FF5F0C" w:rsidRPr="000F467D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lt-LT" w:eastAsia="ar-SA"/>
              </w:rPr>
              <w:t>2.2. lentelės  12 eilutė</w:t>
            </w:r>
            <w:r w:rsidR="000640CC" w:rsidRPr="000F467D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lt-LT" w:eastAsia="ar-SA"/>
              </w:rPr>
              <w:t xml:space="preserve">s </w:t>
            </w:r>
            <w:r w:rsidR="000640C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antras stulpelis</w:t>
            </w:r>
            <w:r w:rsidR="008C5AA0" w:rsidRPr="000F467D">
              <w:rPr>
                <w:rFonts w:ascii="Times New Roman" w:hAnsi="Times New Roman" w:cs="Times New Roman"/>
                <w:color w:val="auto"/>
                <w:kern w:val="1"/>
                <w:sz w:val="24"/>
                <w:szCs w:val="24"/>
                <w:lang w:val="lt-LT" w:eastAsia="ar-SA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E3E9" w14:textId="70F7DEF0" w:rsidR="0CE3C436" w:rsidRPr="000F467D" w:rsidRDefault="0CE3C436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EB9" w14:textId="2533CBF0" w:rsidR="0095357D" w:rsidRPr="000F467D" w:rsidRDefault="0095357D" w:rsidP="168ACB4B">
            <w:pPr>
              <w:widowControl w:val="0"/>
              <w:suppressAutoHyphens/>
              <w:autoSpaceDE w:val="0"/>
              <w:jc w:val="both"/>
              <w:rPr>
                <w:rFonts w:eastAsia="Times New Roman"/>
                <w:b/>
                <w:bCs/>
                <w:kern w:val="1"/>
                <w:sz w:val="24"/>
                <w:szCs w:val="24"/>
                <w:lang w:val="lt-LT"/>
              </w:rPr>
            </w:pPr>
            <w:r w:rsidRPr="168ACB4B">
              <w:rPr>
                <w:rFonts w:eastAsia="Times New Roman"/>
                <w:sz w:val="24"/>
                <w:szCs w:val="24"/>
                <w:lang w:val="lt-LT"/>
              </w:rPr>
              <w:t xml:space="preserve">Spalvų koordinatės </w:t>
            </w:r>
            <w:r w:rsidRPr="168ACB4B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>pagal CIELAB sistemą</w:t>
            </w:r>
          </w:p>
        </w:tc>
      </w:tr>
      <w:tr w:rsidR="00622E40" w:rsidRPr="000F467D" w14:paraId="6AC3964E" w14:textId="77777777" w:rsidTr="25CE57F0">
        <w:trPr>
          <w:trHeight w:val="992"/>
        </w:trPr>
        <w:tc>
          <w:tcPr>
            <w:tcW w:w="570" w:type="dxa"/>
            <w:vMerge/>
          </w:tcPr>
          <w:p w14:paraId="36C8B037" w14:textId="004D7EA5" w:rsidR="0095357D" w:rsidRPr="000F467D" w:rsidRDefault="0095357D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4C1D00B3" w14:textId="77777777" w:rsidR="0095357D" w:rsidRPr="000F467D" w:rsidRDefault="0095357D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0FB0C140" w14:textId="77777777" w:rsidR="0095357D" w:rsidRPr="000F467D" w:rsidRDefault="0095357D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F26" w14:textId="13D1A8F8" w:rsidR="0095357D" w:rsidRPr="000F467D" w:rsidRDefault="3CF96AEF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168ACB4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1.5. </w:t>
            </w:r>
            <w:r w:rsidR="0095357D" w:rsidRPr="168ACB4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D726D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95357D" w:rsidRPr="168ACB4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(V dalis)</w:t>
            </w:r>
            <w:r w:rsidR="006E029D" w:rsidRPr="168ACB4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1 skyriaus 1.3. punktas</w:t>
            </w:r>
            <w:r w:rsidR="00D726D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995" w14:textId="6C7D3C62" w:rsidR="5363DF24" w:rsidRPr="000F467D" w:rsidRDefault="09A63EA2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AF71" w14:textId="21FD325B" w:rsidR="0095357D" w:rsidRPr="000F467D" w:rsidRDefault="0095357D" w:rsidP="168ACB4B">
            <w:pPr>
              <w:pStyle w:val="Betarp"/>
              <w:jc w:val="both"/>
              <w:rPr>
                <w:rFonts w:eastAsia="Times New Roman"/>
                <w:b/>
                <w:bCs/>
                <w:sz w:val="24"/>
                <w:szCs w:val="24"/>
                <w:lang w:val="lt-LT"/>
              </w:rPr>
            </w:pPr>
            <w:r w:rsidRPr="168ACB4B">
              <w:rPr>
                <w:rFonts w:eastAsia="Times New Roman"/>
                <w:sz w:val="24"/>
                <w:szCs w:val="24"/>
                <w:lang w:val="lt-LT"/>
              </w:rPr>
              <w:t xml:space="preserve">Spalvų koordinatės </w:t>
            </w:r>
            <w:r w:rsidRPr="168ACB4B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>pagal CIELAB sistemą</w:t>
            </w:r>
          </w:p>
        </w:tc>
      </w:tr>
      <w:tr w:rsidR="006A69F3" w:rsidRPr="000F467D" w14:paraId="0334427B" w14:textId="77777777" w:rsidTr="25CE57F0">
        <w:trPr>
          <w:trHeight w:val="992"/>
        </w:trPr>
        <w:tc>
          <w:tcPr>
            <w:tcW w:w="570" w:type="dxa"/>
            <w:vMerge/>
          </w:tcPr>
          <w:p w14:paraId="32ACE283" w14:textId="77777777" w:rsidR="006A69F3" w:rsidRPr="000F467D" w:rsidRDefault="006A69F3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2D7A8F36" w14:textId="77777777" w:rsidR="006A69F3" w:rsidRPr="000F467D" w:rsidRDefault="006A69F3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51D4D95E" w14:textId="77777777" w:rsidR="006A69F3" w:rsidRPr="000F467D" w:rsidRDefault="006A69F3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150" w14:textId="648A7BA8" w:rsidR="006A69F3" w:rsidRPr="168ACB4B" w:rsidRDefault="23C5351D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1.6. </w:t>
            </w:r>
            <w:r w:rsidR="006A69F3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D726D7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6A69F3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(V dalis) 4 </w:t>
            </w:r>
            <w:r w:rsidR="006A69F3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 xml:space="preserve"> </w:t>
            </w:r>
            <w:r w:rsidR="006A69F3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skyriaus 1.1. lentelės 12 eilutės antras stulpelis.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04A" w14:textId="77777777" w:rsidR="004E3FEC" w:rsidRPr="000F467D" w:rsidRDefault="004E3FEC" w:rsidP="004E3FE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44325C8A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Spalva - turi atitikti spalvų koordinatės: L= 31,78; a = 0,80; b = 7,42.</w:t>
            </w:r>
          </w:p>
          <w:p w14:paraId="3E3C15EB" w14:textId="77777777" w:rsidR="006A69F3" w:rsidRPr="000F467D" w:rsidRDefault="006A69F3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BF4" w14:textId="0809E62F" w:rsidR="006A69F3" w:rsidRPr="004E3FEC" w:rsidRDefault="004E3FEC" w:rsidP="168ACB4B">
            <w:pPr>
              <w:pStyle w:val="Betarp"/>
              <w:jc w:val="both"/>
              <w:rPr>
                <w:rFonts w:eastAsia="Times New Roman"/>
                <w:sz w:val="24"/>
                <w:szCs w:val="24"/>
                <w:lang w:val="lt-LT"/>
              </w:rPr>
            </w:pPr>
            <w:r w:rsidRPr="004E3FEC">
              <w:rPr>
                <w:rFonts w:eastAsia="Times New Roman"/>
                <w:sz w:val="24"/>
                <w:szCs w:val="24"/>
                <w:lang w:val="lt-LT"/>
              </w:rPr>
              <w:t>Spalva - turi atitikti spalvų koordinates: L= 31,78; a = 0,80; b = 7,42</w:t>
            </w:r>
            <w:r>
              <w:rPr>
                <w:rFonts w:eastAsia="Times New Roman"/>
                <w:sz w:val="24"/>
                <w:szCs w:val="24"/>
                <w:lang w:val="lt-LT"/>
              </w:rPr>
              <w:t xml:space="preserve"> </w:t>
            </w:r>
            <w:r w:rsidRPr="000F564F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 xml:space="preserve">(spalvų koordinatės </w:t>
            </w:r>
            <w:r w:rsidRPr="004E3FEC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>pagal CIELAB sistemą).</w:t>
            </w:r>
          </w:p>
        </w:tc>
      </w:tr>
      <w:tr w:rsidR="00622E40" w:rsidRPr="000F467D" w14:paraId="2416F44F" w14:textId="77777777" w:rsidTr="25CE57F0">
        <w:trPr>
          <w:trHeight w:val="300"/>
        </w:trPr>
        <w:tc>
          <w:tcPr>
            <w:tcW w:w="570" w:type="dxa"/>
            <w:vMerge/>
          </w:tcPr>
          <w:p w14:paraId="614FFA1A" w14:textId="1652C8DC" w:rsidR="0095357D" w:rsidRPr="000F467D" w:rsidRDefault="0095357D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2175" w:type="dxa"/>
            <w:vMerge/>
          </w:tcPr>
          <w:p w14:paraId="543A9302" w14:textId="77777777" w:rsidR="0095357D" w:rsidRPr="000F467D" w:rsidRDefault="0095357D" w:rsidP="00067B3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85" w:type="dxa"/>
            <w:vMerge/>
          </w:tcPr>
          <w:p w14:paraId="66268C37" w14:textId="77777777" w:rsidR="0095357D" w:rsidRPr="000F467D" w:rsidRDefault="0095357D" w:rsidP="00067B3C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7AC" w14:textId="12B63824" w:rsidR="0095357D" w:rsidRPr="000F467D" w:rsidRDefault="20B2E2E8" w:rsidP="0076097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  <w:r w:rsidR="6949EE8B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0095357D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Pirkimo sąlygų 2 pried</w:t>
            </w:r>
            <w:r w:rsidR="00D726D7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o</w:t>
            </w:r>
            <w:r w:rsidR="0095357D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„Techninė specifikacija“ (VI dalis)</w:t>
            </w:r>
            <w:r w:rsidR="008C5AA0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4 skyriaus 1.2. lentelės 5 eilutė</w:t>
            </w:r>
            <w:r w:rsidR="000F5510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="00A37AE1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0F5510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antras stulpelis</w:t>
            </w:r>
            <w:r w:rsidR="008C5AA0" w:rsidRPr="25CE57F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8E1" w14:textId="46F4D3D1" w:rsidR="5363DF24" w:rsidRPr="000F467D" w:rsidRDefault="53B65BAC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Spalvų koordinatės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EB1" w14:textId="4A9F7D3F" w:rsidR="0095357D" w:rsidRPr="000F467D" w:rsidRDefault="0095357D" w:rsidP="168ACB4B">
            <w:pPr>
              <w:pStyle w:val="Betarp"/>
              <w:jc w:val="both"/>
              <w:rPr>
                <w:rFonts w:eastAsia="Times New Roman"/>
                <w:b/>
                <w:bCs/>
                <w:sz w:val="24"/>
                <w:szCs w:val="24"/>
                <w:lang w:val="lt-LT"/>
              </w:rPr>
            </w:pPr>
            <w:r w:rsidRPr="168ACB4B">
              <w:rPr>
                <w:rFonts w:eastAsia="Times New Roman"/>
                <w:sz w:val="24"/>
                <w:szCs w:val="24"/>
                <w:lang w:val="lt-LT"/>
              </w:rPr>
              <w:t xml:space="preserve">Spalvų koordinatės </w:t>
            </w:r>
            <w:r w:rsidRPr="168ACB4B">
              <w:rPr>
                <w:rFonts w:eastAsia="Times New Roman"/>
                <w:b/>
                <w:bCs/>
                <w:sz w:val="24"/>
                <w:szCs w:val="24"/>
                <w:lang w:val="lt-LT"/>
              </w:rPr>
              <w:t>pagal CIELAB sistemą</w:t>
            </w:r>
          </w:p>
        </w:tc>
      </w:tr>
      <w:tr w:rsidR="00622E40" w:rsidRPr="000F467D" w14:paraId="7188EFFC" w14:textId="77777777" w:rsidTr="25CE57F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FCE" w14:textId="1249C3AC" w:rsidR="00545A34" w:rsidRPr="000F467D" w:rsidRDefault="00545A34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B7F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-patikslinkite kaip</w:t>
            </w:r>
          </w:p>
          <w:p w14:paraId="625D9896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vyksta pavyzdžių</w:t>
            </w:r>
          </w:p>
          <w:p w14:paraId="3BB3AE33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derinimas su</w:t>
            </w:r>
          </w:p>
          <w:p w14:paraId="772EB018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užsakovu ( terminus,</w:t>
            </w:r>
          </w:p>
          <w:p w14:paraId="55267331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pavyzdžius ir pan.),</w:t>
            </w:r>
          </w:p>
          <w:p w14:paraId="3F1DFCFC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nepastebėjau tokios</w:t>
            </w:r>
          </w:p>
          <w:p w14:paraId="05936E25" w14:textId="7C7F35BF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info</w:t>
            </w:r>
            <w:proofErr w:type="spellEnd"/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 xml:space="preserve"> dokumentuose.-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21C" w14:textId="6563844E" w:rsidR="00545A34" w:rsidRPr="000F467D" w:rsidRDefault="40B1C6D9" w:rsidP="00095E4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Tarptautinio viešojo pirkimo „Aplinkos apsaugos valstybės kontrolės pareigūnų uniformų dalys“ atviro konkurso specialiųjų sąlygų 4.1. punkte nurodyta, kad siūlomo pirkimo objekto pavyzdžiai nereikalaujami.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524" w14:textId="60383EBD" w:rsidR="00545A34" w:rsidRPr="000F467D" w:rsidRDefault="005F7F3F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  <w:t>Nekeičiama/netikslinama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95C" w14:textId="5E0D48E6" w:rsidR="5363DF24" w:rsidRPr="000F467D" w:rsidRDefault="417D170E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Nekeičiama/netikslinama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FF3" w14:textId="68CBB040" w:rsidR="00545A34" w:rsidRPr="000F467D" w:rsidRDefault="005F7F3F" w:rsidP="168ACB4B">
            <w:pPr>
              <w:pStyle w:val="FreeForm"/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168ACB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Nekeičiama/netikslinama</w:t>
            </w:r>
          </w:p>
        </w:tc>
      </w:tr>
      <w:tr w:rsidR="00622E40" w:rsidRPr="000F467D" w14:paraId="071F8C5C" w14:textId="77777777" w:rsidTr="25CE57F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E64" w14:textId="3CBE05BD" w:rsidR="00545A34" w:rsidRPr="000F467D" w:rsidRDefault="00545A34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68A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 xml:space="preserve">-patikslinkite </w:t>
            </w:r>
            <w:proofErr w:type="spellStart"/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polo</w:t>
            </w:r>
            <w:proofErr w:type="spellEnd"/>
          </w:p>
          <w:p w14:paraId="63FC51AC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marškinėlių</w:t>
            </w:r>
          </w:p>
          <w:p w14:paraId="61D60D66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rankogalių</w:t>
            </w:r>
          </w:p>
          <w:p w14:paraId="6BCCDAB1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pasiuvimo mazgą:</w:t>
            </w:r>
          </w:p>
          <w:p w14:paraId="2CEEB3EF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eskize nupiešta</w:t>
            </w:r>
          </w:p>
          <w:p w14:paraId="5C79A693" w14:textId="06BAF2C4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rankogalio</w:t>
            </w:r>
            <w:r w:rsidR="004B0909"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centrine</w:t>
            </w:r>
          </w:p>
          <w:p w14:paraId="41F82B92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detalė, tačiau jos</w:t>
            </w:r>
          </w:p>
          <w:p w14:paraId="68AC5588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nėra aprašyta</w:t>
            </w:r>
          </w:p>
          <w:p w14:paraId="365A25E9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specifikacijoje, ar ją</w:t>
            </w:r>
          </w:p>
          <w:p w14:paraId="3B6D3DE0" w14:textId="77777777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ignoruoti, jei nepatikslinkite</w:t>
            </w:r>
          </w:p>
          <w:p w14:paraId="038D9DF8" w14:textId="070C591D" w:rsidR="00545A34" w:rsidRPr="000F467D" w:rsidRDefault="00545A34" w:rsidP="00095E4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</w:pP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jos</w:t>
            </w:r>
            <w:r w:rsidR="004B0909"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Pr="000F467D">
              <w:rPr>
                <w:rFonts w:eastAsiaTheme="minorHAnsi"/>
                <w:i/>
                <w:iCs/>
                <w:sz w:val="24"/>
                <w:szCs w:val="24"/>
                <w:lang w:val="lt-LT"/>
                <w14:ligatures w14:val="standardContextual"/>
              </w:rPr>
              <w:t>išmatavimus.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EC30" w14:textId="03C941A3" w:rsidR="00545A34" w:rsidRPr="000F467D" w:rsidRDefault="00545A34" w:rsidP="00095E4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Reikalavimai</w:t>
            </w:r>
            <w:r w:rsidR="00D14F43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marškinėlių rankovėms nurodyti specialiųjų pirkimo sąlygų 2 priedo „Techninė specifikacija“ (VI dalis) </w:t>
            </w:r>
            <w:r w:rsidR="00684098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 </w:t>
            </w: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skyriaus </w:t>
            </w:r>
            <w:r w:rsidR="00684098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4.17 punkte, </w:t>
            </w:r>
            <w:r w:rsidR="00880B4C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ir</w:t>
            </w: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1.3. lentelėje.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562" w14:textId="4EA2580D" w:rsidR="00545A34" w:rsidRPr="000F467D" w:rsidRDefault="6FD38956" w:rsidP="005F7F3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  <w:t>Nekeičiama</w:t>
            </w:r>
            <w:r w:rsidR="32413F6F" w:rsidRPr="000F46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  <w:t>/netikslinama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0F55" w14:textId="0302783A" w:rsidR="5363DF24" w:rsidRPr="000F467D" w:rsidRDefault="11E4E9AA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Nekeičiama/netikslinama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2B88" w14:textId="4518C443" w:rsidR="00545A34" w:rsidRPr="000F467D" w:rsidRDefault="1E08C46A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  <w:t>Nekeičiama</w:t>
            </w:r>
            <w:r w:rsidR="07C32145" w:rsidRPr="000F467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t-LT"/>
              </w:rPr>
              <w:t>/netikslinama</w:t>
            </w:r>
          </w:p>
        </w:tc>
      </w:tr>
      <w:tr w:rsidR="00622E40" w:rsidRPr="000F467D" w14:paraId="1F283C98" w14:textId="77777777" w:rsidTr="25CE57F0">
        <w:trPr>
          <w:trHeight w:val="300"/>
        </w:trPr>
        <w:tc>
          <w:tcPr>
            <w:tcW w:w="1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08BA21" w14:textId="38FB9A52" w:rsidR="00732565" w:rsidRPr="000F467D" w:rsidRDefault="00685448">
            <w:pPr>
              <w:rPr>
                <w:highlight w:val="yellow"/>
                <w:lang w:val="lt-LT"/>
              </w:rPr>
            </w:pPr>
            <w:r w:rsidRPr="000F467D">
              <w:rPr>
                <w:sz w:val="24"/>
                <w:szCs w:val="24"/>
                <w:lang w:val="lt-LT"/>
              </w:rPr>
              <w:t>Pranešimas ID 231434</w:t>
            </w:r>
          </w:p>
        </w:tc>
      </w:tr>
      <w:tr w:rsidR="00622E40" w:rsidRPr="000F467D" w14:paraId="5637F494" w14:textId="77777777" w:rsidTr="25CE57F0">
        <w:trPr>
          <w:trHeight w:val="30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EF6" w14:textId="4368407F" w:rsidR="00545A34" w:rsidRPr="000F467D" w:rsidRDefault="00545A34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DA2" w14:textId="77777777" w:rsidR="00545A34" w:rsidRPr="000F467D" w:rsidRDefault="00545A34" w:rsidP="00095E4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Prašome patikslinti ar galima pasiūlyti</w:t>
            </w:r>
          </w:p>
          <w:p w14:paraId="3D9071DD" w14:textId="0BECF9D5" w:rsidR="00545A34" w:rsidRPr="000F467D" w:rsidRDefault="00545A34" w:rsidP="00095E4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ne emblemą Lietuvos</w:t>
            </w:r>
            <w:r w:rsidR="0F579E80" w:rsidRPr="6229B9C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 xml:space="preserve"> </w:t>
            </w:r>
            <w:r w:rsidRPr="000F46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Aplinkos apsauga o</w:t>
            </w:r>
            <w:r w:rsidR="798E9F3E" w:rsidRPr="6229B9C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 xml:space="preserve"> </w:t>
            </w:r>
            <w:r w:rsidRPr="000F46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transferą. Būtų</w:t>
            </w:r>
          </w:p>
          <w:p w14:paraId="3D84C771" w14:textId="696D09D8" w:rsidR="00545A34" w:rsidRPr="000F467D" w:rsidRDefault="00545A34" w:rsidP="00095E4F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ploniau ir dailiau.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D1C" w14:textId="5371FC41" w:rsidR="00517028" w:rsidRPr="000F467D" w:rsidRDefault="63876DEF" w:rsidP="002D76E6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Reikalavimai antsiuvui nurodyti </w:t>
            </w:r>
            <w:r w:rsidR="7EAD0B09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Specialiųjų pirkimo sąlygų 2 priede "Techninė specifikacija" (I-IV</w:t>
            </w:r>
            <w:r w:rsidR="4928CE95" w:rsidRPr="000F467D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4928CE9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dalys ir VI dalis)</w:t>
            </w:r>
            <w:r w:rsidR="358E55C2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  <w:r w:rsidR="4928CE95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Kitos alternatyvos nenumatytos.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F70" w14:textId="3AB1676B" w:rsidR="00545A34" w:rsidRPr="000F467D" w:rsidRDefault="34A9EE72" w:rsidP="004648F1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Nekeičiama</w:t>
            </w:r>
            <w:r w:rsidR="3868C772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/netikslinama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E28" w14:textId="218E4AD9" w:rsidR="5363DF24" w:rsidRPr="000F467D" w:rsidRDefault="2B42346A" w:rsidP="5363DF24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Nekeičiama/netikslinama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7FF" w14:textId="06C5A4E7" w:rsidR="00545A34" w:rsidRPr="000F467D" w:rsidRDefault="34A9EE72" w:rsidP="00DE6686">
            <w:pPr>
              <w:pStyle w:val="FreeForm"/>
              <w:spacing w:line="30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Nekeičiama</w:t>
            </w:r>
            <w:r w:rsidR="4713C08A" w:rsidRPr="000F467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/netikslinama</w:t>
            </w:r>
          </w:p>
        </w:tc>
      </w:tr>
    </w:tbl>
    <w:p w14:paraId="2F55B08E" w14:textId="7B68E893" w:rsidR="00C732DE" w:rsidRPr="000F467D" w:rsidRDefault="52DB4F4B" w:rsidP="3FE7AD16">
      <w:pPr>
        <w:ind w:firstLine="540"/>
        <w:jc w:val="both"/>
        <w:rPr>
          <w:rFonts w:eastAsia="Times New Roman"/>
          <w:lang w:val="lt-LT"/>
        </w:rPr>
      </w:pPr>
      <w:r w:rsidRPr="000F467D">
        <w:rPr>
          <w:rFonts w:eastAsia="Times New Roman"/>
          <w:lang w:val="lt-LT"/>
        </w:rPr>
        <w:t>Pirkimo dokumentai, kuriuose buvo atlikt</w:t>
      </w:r>
      <w:r w:rsidR="007C62B1">
        <w:rPr>
          <w:rFonts w:eastAsia="Times New Roman"/>
          <w:lang w:val="lt-LT"/>
        </w:rPr>
        <w:t>i</w:t>
      </w:r>
      <w:r w:rsidRPr="000F467D">
        <w:rPr>
          <w:rFonts w:eastAsia="Times New Roman"/>
          <w:lang w:val="lt-LT"/>
        </w:rPr>
        <w:t xml:space="preserve"> </w:t>
      </w:r>
      <w:r w:rsidR="007C62B1" w:rsidRPr="00C879FD">
        <w:rPr>
          <w:rFonts w:eastAsia="Times New Roman"/>
          <w:lang w:val="lt-LT"/>
        </w:rPr>
        <w:t>patikslinimai</w:t>
      </w:r>
      <w:r w:rsidRPr="00C879FD">
        <w:rPr>
          <w:rFonts w:eastAsia="Times New Roman"/>
          <w:lang w:val="lt-LT"/>
        </w:rPr>
        <w:t>,</w:t>
      </w:r>
      <w:r w:rsidRPr="000F467D">
        <w:rPr>
          <w:rFonts w:eastAsia="Times New Roman"/>
          <w:lang w:val="lt-LT"/>
        </w:rPr>
        <w:t xml:space="preserve"> bus paskelbti CVP IS nauja redakcija prie Pirkimo dokumentų.</w:t>
      </w:r>
    </w:p>
    <w:p w14:paraId="4581D848" w14:textId="77777777" w:rsidR="00BE7EB2" w:rsidRPr="000F467D" w:rsidRDefault="00BE7EB2" w:rsidP="00BE7EB2">
      <w:pPr>
        <w:jc w:val="both"/>
        <w:rPr>
          <w:rFonts w:eastAsia="Times New Roman"/>
          <w:lang w:val="lt-LT"/>
        </w:rPr>
      </w:pPr>
    </w:p>
    <w:p w14:paraId="6E0AFD1F" w14:textId="77777777" w:rsidR="00C732DE" w:rsidRPr="000F467D" w:rsidRDefault="00C732DE" w:rsidP="00444C0C">
      <w:pPr>
        <w:jc w:val="both"/>
        <w:rPr>
          <w:rFonts w:eastAsia="Times New Roman"/>
          <w:lang w:val="lt-LT"/>
        </w:rPr>
      </w:pPr>
    </w:p>
    <w:p w14:paraId="4736D7BB" w14:textId="6015534A" w:rsidR="00067B3C" w:rsidRPr="000F467D" w:rsidRDefault="00067B3C" w:rsidP="00444C0C">
      <w:pPr>
        <w:ind w:firstLine="540"/>
        <w:jc w:val="both"/>
        <w:rPr>
          <w:rFonts w:eastAsia="Times New Roman"/>
          <w:lang w:val="lt-LT"/>
        </w:rPr>
      </w:pPr>
      <w:r w:rsidRPr="000F467D">
        <w:rPr>
          <w:rFonts w:eastAsia="Times New Roman"/>
          <w:lang w:val="lt-LT"/>
        </w:rPr>
        <w:t>Viešojo pirkimo komisija</w:t>
      </w:r>
    </w:p>
    <w:p w14:paraId="1DFEE964" w14:textId="77777777" w:rsidR="00067B3C" w:rsidRPr="000F467D" w:rsidRDefault="00067B3C" w:rsidP="00067B3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74C6D9B" w14:textId="77777777" w:rsidR="00067B3C" w:rsidRPr="000F467D" w:rsidRDefault="00067B3C" w:rsidP="00067B3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A15A9B4" w14:textId="77777777" w:rsidR="00067B3C" w:rsidRPr="000F467D" w:rsidRDefault="00067B3C" w:rsidP="00067B3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6F20C51" w14:textId="77777777" w:rsidR="00067B3C" w:rsidRPr="000F467D" w:rsidRDefault="00067B3C">
      <w:pPr>
        <w:rPr>
          <w:lang w:val="lt-LT"/>
        </w:rPr>
      </w:pPr>
    </w:p>
    <w:sectPr w:rsidR="00067B3C" w:rsidRPr="000F467D" w:rsidSect="00067B3C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8AC9" w14:textId="77777777" w:rsidR="00B267CF" w:rsidRDefault="00B267CF" w:rsidP="00444C0C">
      <w:r>
        <w:separator/>
      </w:r>
    </w:p>
  </w:endnote>
  <w:endnote w:type="continuationSeparator" w:id="0">
    <w:p w14:paraId="60D6C9BB" w14:textId="77777777" w:rsidR="00B267CF" w:rsidRDefault="00B267CF" w:rsidP="0044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C2ED" w14:textId="77777777" w:rsidR="00B267CF" w:rsidRDefault="00B267CF" w:rsidP="00444C0C">
      <w:r>
        <w:separator/>
      </w:r>
    </w:p>
  </w:footnote>
  <w:footnote w:type="continuationSeparator" w:id="0">
    <w:p w14:paraId="655A3F13" w14:textId="77777777" w:rsidR="00B267CF" w:rsidRDefault="00B267CF" w:rsidP="0044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94A1"/>
    <w:multiLevelType w:val="hybridMultilevel"/>
    <w:tmpl w:val="C452271A"/>
    <w:lvl w:ilvl="0" w:tplc="6DD4B8A6">
      <w:start w:val="1"/>
      <w:numFmt w:val="decimal"/>
      <w:lvlText w:val="%1."/>
      <w:lvlJc w:val="left"/>
      <w:pPr>
        <w:ind w:left="720" w:hanging="360"/>
      </w:pPr>
    </w:lvl>
    <w:lvl w:ilvl="1" w:tplc="43AED546">
      <w:start w:val="1"/>
      <w:numFmt w:val="lowerLetter"/>
      <w:lvlText w:val="%2."/>
      <w:lvlJc w:val="left"/>
      <w:pPr>
        <w:ind w:left="1440" w:hanging="360"/>
      </w:pPr>
    </w:lvl>
    <w:lvl w:ilvl="2" w:tplc="8C04F0CC">
      <w:start w:val="1"/>
      <w:numFmt w:val="lowerRoman"/>
      <w:lvlText w:val="%3."/>
      <w:lvlJc w:val="right"/>
      <w:pPr>
        <w:ind w:left="2160" w:hanging="180"/>
      </w:pPr>
    </w:lvl>
    <w:lvl w:ilvl="3" w:tplc="82E4FA90">
      <w:start w:val="1"/>
      <w:numFmt w:val="decimal"/>
      <w:lvlText w:val="%4."/>
      <w:lvlJc w:val="left"/>
      <w:pPr>
        <w:ind w:left="2880" w:hanging="360"/>
      </w:pPr>
    </w:lvl>
    <w:lvl w:ilvl="4" w:tplc="F7FAE610">
      <w:start w:val="1"/>
      <w:numFmt w:val="lowerLetter"/>
      <w:lvlText w:val="%5."/>
      <w:lvlJc w:val="left"/>
      <w:pPr>
        <w:ind w:left="3600" w:hanging="360"/>
      </w:pPr>
    </w:lvl>
    <w:lvl w:ilvl="5" w:tplc="AF108AC6">
      <w:start w:val="1"/>
      <w:numFmt w:val="lowerRoman"/>
      <w:lvlText w:val="%6."/>
      <w:lvlJc w:val="right"/>
      <w:pPr>
        <w:ind w:left="4320" w:hanging="180"/>
      </w:pPr>
    </w:lvl>
    <w:lvl w:ilvl="6" w:tplc="70145304">
      <w:start w:val="1"/>
      <w:numFmt w:val="decimal"/>
      <w:lvlText w:val="%7."/>
      <w:lvlJc w:val="left"/>
      <w:pPr>
        <w:ind w:left="5040" w:hanging="360"/>
      </w:pPr>
    </w:lvl>
    <w:lvl w:ilvl="7" w:tplc="308EFE16">
      <w:start w:val="1"/>
      <w:numFmt w:val="lowerLetter"/>
      <w:lvlText w:val="%8."/>
      <w:lvlJc w:val="left"/>
      <w:pPr>
        <w:ind w:left="5760" w:hanging="360"/>
      </w:pPr>
    </w:lvl>
    <w:lvl w:ilvl="8" w:tplc="2E1AF4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50205"/>
    <w:multiLevelType w:val="hybridMultilevel"/>
    <w:tmpl w:val="B3404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B1483"/>
    <w:multiLevelType w:val="multilevel"/>
    <w:tmpl w:val="33BC1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0F3F60"/>
    <w:multiLevelType w:val="multilevel"/>
    <w:tmpl w:val="40E4CD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941643346">
    <w:abstractNumId w:val="0"/>
  </w:num>
  <w:num w:numId="2" w16cid:durableId="1815641815">
    <w:abstractNumId w:val="1"/>
  </w:num>
  <w:num w:numId="3" w16cid:durableId="1398167659">
    <w:abstractNumId w:val="2"/>
  </w:num>
  <w:num w:numId="4" w16cid:durableId="130516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3C"/>
    <w:rsid w:val="00007A9E"/>
    <w:rsid w:val="00030D67"/>
    <w:rsid w:val="00036E90"/>
    <w:rsid w:val="0004382C"/>
    <w:rsid w:val="000457B5"/>
    <w:rsid w:val="00045D27"/>
    <w:rsid w:val="000640CC"/>
    <w:rsid w:val="00065646"/>
    <w:rsid w:val="00066C58"/>
    <w:rsid w:val="00067B3C"/>
    <w:rsid w:val="000800A1"/>
    <w:rsid w:val="000816D7"/>
    <w:rsid w:val="00085B8B"/>
    <w:rsid w:val="00090860"/>
    <w:rsid w:val="00095E4F"/>
    <w:rsid w:val="000A2140"/>
    <w:rsid w:val="000B67AC"/>
    <w:rsid w:val="000F3567"/>
    <w:rsid w:val="000F467D"/>
    <w:rsid w:val="000F5510"/>
    <w:rsid w:val="000F564F"/>
    <w:rsid w:val="0011163E"/>
    <w:rsid w:val="00114D6F"/>
    <w:rsid w:val="001238D1"/>
    <w:rsid w:val="00145E19"/>
    <w:rsid w:val="00176EF4"/>
    <w:rsid w:val="001774CC"/>
    <w:rsid w:val="001A3E51"/>
    <w:rsid w:val="001A5EC9"/>
    <w:rsid w:val="001B341C"/>
    <w:rsid w:val="001B627A"/>
    <w:rsid w:val="001E04F9"/>
    <w:rsid w:val="001E50B9"/>
    <w:rsid w:val="001F4885"/>
    <w:rsid w:val="0022705A"/>
    <w:rsid w:val="00246845"/>
    <w:rsid w:val="00252E9A"/>
    <w:rsid w:val="002627B2"/>
    <w:rsid w:val="002627E8"/>
    <w:rsid w:val="00272AEA"/>
    <w:rsid w:val="002A7661"/>
    <w:rsid w:val="002B49CE"/>
    <w:rsid w:val="002B547C"/>
    <w:rsid w:val="002D2CD1"/>
    <w:rsid w:val="002D76E6"/>
    <w:rsid w:val="0036307F"/>
    <w:rsid w:val="00373834"/>
    <w:rsid w:val="0037759C"/>
    <w:rsid w:val="003A3533"/>
    <w:rsid w:val="003C3E44"/>
    <w:rsid w:val="003D0517"/>
    <w:rsid w:val="003D24E6"/>
    <w:rsid w:val="003E19D7"/>
    <w:rsid w:val="003E47FD"/>
    <w:rsid w:val="003E5672"/>
    <w:rsid w:val="003F1C7F"/>
    <w:rsid w:val="003F53E0"/>
    <w:rsid w:val="003F6D33"/>
    <w:rsid w:val="00413047"/>
    <w:rsid w:val="0042147B"/>
    <w:rsid w:val="00444C0C"/>
    <w:rsid w:val="00455280"/>
    <w:rsid w:val="004703AA"/>
    <w:rsid w:val="00475568"/>
    <w:rsid w:val="004B0909"/>
    <w:rsid w:val="004E3FEC"/>
    <w:rsid w:val="004E4E1A"/>
    <w:rsid w:val="004E701F"/>
    <w:rsid w:val="00517028"/>
    <w:rsid w:val="00536EC6"/>
    <w:rsid w:val="00545A34"/>
    <w:rsid w:val="005803A9"/>
    <w:rsid w:val="00596844"/>
    <w:rsid w:val="00596BB6"/>
    <w:rsid w:val="005B6EA3"/>
    <w:rsid w:val="005C35C4"/>
    <w:rsid w:val="005F4541"/>
    <w:rsid w:val="005F7F3F"/>
    <w:rsid w:val="00601462"/>
    <w:rsid w:val="00622E40"/>
    <w:rsid w:val="00642FD6"/>
    <w:rsid w:val="00645292"/>
    <w:rsid w:val="0066052E"/>
    <w:rsid w:val="006664FC"/>
    <w:rsid w:val="00684098"/>
    <w:rsid w:val="00685448"/>
    <w:rsid w:val="006944FF"/>
    <w:rsid w:val="006A69F3"/>
    <w:rsid w:val="006B4658"/>
    <w:rsid w:val="006B70C8"/>
    <w:rsid w:val="006E029D"/>
    <w:rsid w:val="006E5750"/>
    <w:rsid w:val="006F3B50"/>
    <w:rsid w:val="0071729F"/>
    <w:rsid w:val="00732565"/>
    <w:rsid w:val="0076097F"/>
    <w:rsid w:val="0077100E"/>
    <w:rsid w:val="00775DE1"/>
    <w:rsid w:val="00780195"/>
    <w:rsid w:val="0078639A"/>
    <w:rsid w:val="00791BEE"/>
    <w:rsid w:val="007B6484"/>
    <w:rsid w:val="007C62B1"/>
    <w:rsid w:val="008044C3"/>
    <w:rsid w:val="00812F08"/>
    <w:rsid w:val="00817F92"/>
    <w:rsid w:val="00842996"/>
    <w:rsid w:val="00847BAB"/>
    <w:rsid w:val="0085097E"/>
    <w:rsid w:val="008545F7"/>
    <w:rsid w:val="008738CB"/>
    <w:rsid w:val="00874730"/>
    <w:rsid w:val="00880B4C"/>
    <w:rsid w:val="00882D04"/>
    <w:rsid w:val="008A606A"/>
    <w:rsid w:val="008C5AA0"/>
    <w:rsid w:val="008E5E04"/>
    <w:rsid w:val="008F1547"/>
    <w:rsid w:val="008F1877"/>
    <w:rsid w:val="008F5528"/>
    <w:rsid w:val="00924C8F"/>
    <w:rsid w:val="00944B54"/>
    <w:rsid w:val="009467A9"/>
    <w:rsid w:val="00951168"/>
    <w:rsid w:val="0095357D"/>
    <w:rsid w:val="009909DD"/>
    <w:rsid w:val="009916E5"/>
    <w:rsid w:val="009A4664"/>
    <w:rsid w:val="009A4BDA"/>
    <w:rsid w:val="009A4E6B"/>
    <w:rsid w:val="009C6008"/>
    <w:rsid w:val="009D2B51"/>
    <w:rsid w:val="009D3AD1"/>
    <w:rsid w:val="00A04BDA"/>
    <w:rsid w:val="00A061D4"/>
    <w:rsid w:val="00A124BA"/>
    <w:rsid w:val="00A14DEA"/>
    <w:rsid w:val="00A37AE1"/>
    <w:rsid w:val="00A417E5"/>
    <w:rsid w:val="00A56688"/>
    <w:rsid w:val="00A64EF4"/>
    <w:rsid w:val="00A84BF2"/>
    <w:rsid w:val="00AC50F7"/>
    <w:rsid w:val="00AD63B4"/>
    <w:rsid w:val="00AE3D4E"/>
    <w:rsid w:val="00B12DC0"/>
    <w:rsid w:val="00B14140"/>
    <w:rsid w:val="00B22CE2"/>
    <w:rsid w:val="00B24A7B"/>
    <w:rsid w:val="00B267CF"/>
    <w:rsid w:val="00B27BD6"/>
    <w:rsid w:val="00B27F58"/>
    <w:rsid w:val="00B7347A"/>
    <w:rsid w:val="00B970D6"/>
    <w:rsid w:val="00BA7414"/>
    <w:rsid w:val="00BC0260"/>
    <w:rsid w:val="00BC2ABB"/>
    <w:rsid w:val="00BE521B"/>
    <w:rsid w:val="00BE7EB2"/>
    <w:rsid w:val="00C2502C"/>
    <w:rsid w:val="00C31121"/>
    <w:rsid w:val="00C42640"/>
    <w:rsid w:val="00C504C9"/>
    <w:rsid w:val="00C70FB7"/>
    <w:rsid w:val="00C732DE"/>
    <w:rsid w:val="00C7427D"/>
    <w:rsid w:val="00C879FD"/>
    <w:rsid w:val="00C93356"/>
    <w:rsid w:val="00CA404F"/>
    <w:rsid w:val="00CA46DA"/>
    <w:rsid w:val="00CA6D8A"/>
    <w:rsid w:val="00CB4DF8"/>
    <w:rsid w:val="00CB574C"/>
    <w:rsid w:val="00CF0D9C"/>
    <w:rsid w:val="00D14F43"/>
    <w:rsid w:val="00D25C07"/>
    <w:rsid w:val="00D328F7"/>
    <w:rsid w:val="00D32F06"/>
    <w:rsid w:val="00D3349D"/>
    <w:rsid w:val="00D55099"/>
    <w:rsid w:val="00D575E1"/>
    <w:rsid w:val="00D726D7"/>
    <w:rsid w:val="00DB2360"/>
    <w:rsid w:val="00DB6DDF"/>
    <w:rsid w:val="00DD4C1A"/>
    <w:rsid w:val="00DE6686"/>
    <w:rsid w:val="00DE7EA7"/>
    <w:rsid w:val="00E14505"/>
    <w:rsid w:val="00E16604"/>
    <w:rsid w:val="00E16635"/>
    <w:rsid w:val="00E31C8E"/>
    <w:rsid w:val="00E33DBB"/>
    <w:rsid w:val="00E461B9"/>
    <w:rsid w:val="00E46C99"/>
    <w:rsid w:val="00E47AEC"/>
    <w:rsid w:val="00E5349B"/>
    <w:rsid w:val="00E61705"/>
    <w:rsid w:val="00E6657E"/>
    <w:rsid w:val="00E8140D"/>
    <w:rsid w:val="00E87014"/>
    <w:rsid w:val="00EA3F13"/>
    <w:rsid w:val="00EB3D0E"/>
    <w:rsid w:val="00EB59F9"/>
    <w:rsid w:val="00EC7B22"/>
    <w:rsid w:val="00EE1BD7"/>
    <w:rsid w:val="00EE202F"/>
    <w:rsid w:val="00EE3DBA"/>
    <w:rsid w:val="00EE40EE"/>
    <w:rsid w:val="00EF0BEE"/>
    <w:rsid w:val="00EF13CE"/>
    <w:rsid w:val="00EF3867"/>
    <w:rsid w:val="00F21E27"/>
    <w:rsid w:val="00F33913"/>
    <w:rsid w:val="00F348EA"/>
    <w:rsid w:val="00F44011"/>
    <w:rsid w:val="00F50DDE"/>
    <w:rsid w:val="00F5407F"/>
    <w:rsid w:val="00FD4320"/>
    <w:rsid w:val="00FD5C23"/>
    <w:rsid w:val="00FF1FD5"/>
    <w:rsid w:val="00FF5F0C"/>
    <w:rsid w:val="024D78E5"/>
    <w:rsid w:val="03104814"/>
    <w:rsid w:val="04046578"/>
    <w:rsid w:val="044FBA89"/>
    <w:rsid w:val="04DA12C0"/>
    <w:rsid w:val="053B4936"/>
    <w:rsid w:val="054B8558"/>
    <w:rsid w:val="064C6437"/>
    <w:rsid w:val="0682C831"/>
    <w:rsid w:val="06B06D2C"/>
    <w:rsid w:val="06B88A84"/>
    <w:rsid w:val="07B55011"/>
    <w:rsid w:val="07B6D617"/>
    <w:rsid w:val="07BB4503"/>
    <w:rsid w:val="07C32145"/>
    <w:rsid w:val="0852AF35"/>
    <w:rsid w:val="08B1B03A"/>
    <w:rsid w:val="08B7AE36"/>
    <w:rsid w:val="091C0628"/>
    <w:rsid w:val="09A63EA2"/>
    <w:rsid w:val="09A8806B"/>
    <w:rsid w:val="09EF95CE"/>
    <w:rsid w:val="0A029A58"/>
    <w:rsid w:val="0A7AC6BB"/>
    <w:rsid w:val="0AB884B6"/>
    <w:rsid w:val="0B379B40"/>
    <w:rsid w:val="0CE3C436"/>
    <w:rsid w:val="0D758032"/>
    <w:rsid w:val="0DA71862"/>
    <w:rsid w:val="0F579E80"/>
    <w:rsid w:val="0FF6154B"/>
    <w:rsid w:val="102FABF7"/>
    <w:rsid w:val="11E4E9AA"/>
    <w:rsid w:val="12D83587"/>
    <w:rsid w:val="132B5FE6"/>
    <w:rsid w:val="14DE0905"/>
    <w:rsid w:val="1577F6AE"/>
    <w:rsid w:val="159F3BF9"/>
    <w:rsid w:val="16393B99"/>
    <w:rsid w:val="168ACB4B"/>
    <w:rsid w:val="16A3A93C"/>
    <w:rsid w:val="1AB96002"/>
    <w:rsid w:val="1C3BC36B"/>
    <w:rsid w:val="1C490AAF"/>
    <w:rsid w:val="1DD1247F"/>
    <w:rsid w:val="1E08C46A"/>
    <w:rsid w:val="1E596710"/>
    <w:rsid w:val="1E76815E"/>
    <w:rsid w:val="1E85DA06"/>
    <w:rsid w:val="1F46B451"/>
    <w:rsid w:val="1F579C3C"/>
    <w:rsid w:val="201FA80E"/>
    <w:rsid w:val="2088301B"/>
    <w:rsid w:val="2091985D"/>
    <w:rsid w:val="20B2E2E8"/>
    <w:rsid w:val="21C56C09"/>
    <w:rsid w:val="228E3B16"/>
    <w:rsid w:val="22F64F1D"/>
    <w:rsid w:val="2334A1DA"/>
    <w:rsid w:val="239C63C5"/>
    <w:rsid w:val="23C5351D"/>
    <w:rsid w:val="2486C9AD"/>
    <w:rsid w:val="25CE57F0"/>
    <w:rsid w:val="26C5E51E"/>
    <w:rsid w:val="2738A5A3"/>
    <w:rsid w:val="279A57C8"/>
    <w:rsid w:val="28745BD5"/>
    <w:rsid w:val="2909D872"/>
    <w:rsid w:val="29322579"/>
    <w:rsid w:val="2A0C8E58"/>
    <w:rsid w:val="2B42346A"/>
    <w:rsid w:val="2BACB4E4"/>
    <w:rsid w:val="2BF4DAA7"/>
    <w:rsid w:val="2C3DCD47"/>
    <w:rsid w:val="2C6EBC64"/>
    <w:rsid w:val="2D0ABDCA"/>
    <w:rsid w:val="2D972F19"/>
    <w:rsid w:val="2E35BACE"/>
    <w:rsid w:val="2F876B76"/>
    <w:rsid w:val="2FA4FA0A"/>
    <w:rsid w:val="32413F6F"/>
    <w:rsid w:val="32B8FBDA"/>
    <w:rsid w:val="34A9EE72"/>
    <w:rsid w:val="350A139A"/>
    <w:rsid w:val="358E55C2"/>
    <w:rsid w:val="381FCE96"/>
    <w:rsid w:val="3868C772"/>
    <w:rsid w:val="399CE54A"/>
    <w:rsid w:val="3A657CE7"/>
    <w:rsid w:val="3A9FC598"/>
    <w:rsid w:val="3B351E12"/>
    <w:rsid w:val="3B6C49F8"/>
    <w:rsid w:val="3C7E7E40"/>
    <w:rsid w:val="3CE27736"/>
    <w:rsid w:val="3CF96AEF"/>
    <w:rsid w:val="3DCB45F1"/>
    <w:rsid w:val="3E29DA30"/>
    <w:rsid w:val="3F1F2B4A"/>
    <w:rsid w:val="3FD7E983"/>
    <w:rsid w:val="3FE7AD16"/>
    <w:rsid w:val="407ABFC9"/>
    <w:rsid w:val="40B1C6D9"/>
    <w:rsid w:val="40CBD92D"/>
    <w:rsid w:val="40F94036"/>
    <w:rsid w:val="417D170E"/>
    <w:rsid w:val="41CCC166"/>
    <w:rsid w:val="43936367"/>
    <w:rsid w:val="44750D2B"/>
    <w:rsid w:val="44BAFC07"/>
    <w:rsid w:val="4502FA4D"/>
    <w:rsid w:val="4654B979"/>
    <w:rsid w:val="4684FD7A"/>
    <w:rsid w:val="4713C08A"/>
    <w:rsid w:val="4928CE95"/>
    <w:rsid w:val="492EE83F"/>
    <w:rsid w:val="495CE0D1"/>
    <w:rsid w:val="4A0DEB43"/>
    <w:rsid w:val="4A0FEC89"/>
    <w:rsid w:val="4A93269E"/>
    <w:rsid w:val="4BD6477A"/>
    <w:rsid w:val="4BE98210"/>
    <w:rsid w:val="4C2B6ED6"/>
    <w:rsid w:val="4C6C6CF6"/>
    <w:rsid w:val="4DA5C284"/>
    <w:rsid w:val="4DBF1528"/>
    <w:rsid w:val="4F311F3C"/>
    <w:rsid w:val="50830DC5"/>
    <w:rsid w:val="50CD867D"/>
    <w:rsid w:val="50FC06C2"/>
    <w:rsid w:val="517C1FE0"/>
    <w:rsid w:val="51DCEDD0"/>
    <w:rsid w:val="526328FC"/>
    <w:rsid w:val="52DB4F4B"/>
    <w:rsid w:val="52F0C156"/>
    <w:rsid w:val="53541A33"/>
    <w:rsid w:val="5363DF24"/>
    <w:rsid w:val="53AF3048"/>
    <w:rsid w:val="53B65BAC"/>
    <w:rsid w:val="54F6960D"/>
    <w:rsid w:val="5535E9FD"/>
    <w:rsid w:val="56221C9E"/>
    <w:rsid w:val="5677ACBE"/>
    <w:rsid w:val="56B28DF6"/>
    <w:rsid w:val="56D1DFC2"/>
    <w:rsid w:val="5748C3B8"/>
    <w:rsid w:val="57A4633C"/>
    <w:rsid w:val="595A27AF"/>
    <w:rsid w:val="5976361B"/>
    <w:rsid w:val="5B4469BB"/>
    <w:rsid w:val="5B8099A7"/>
    <w:rsid w:val="5D26FF86"/>
    <w:rsid w:val="5DDE1BD0"/>
    <w:rsid w:val="5E0E3292"/>
    <w:rsid w:val="5E89C39F"/>
    <w:rsid w:val="5EC00297"/>
    <w:rsid w:val="6077BBA7"/>
    <w:rsid w:val="60C87CAD"/>
    <w:rsid w:val="6229B9C6"/>
    <w:rsid w:val="625E0F76"/>
    <w:rsid w:val="63876DEF"/>
    <w:rsid w:val="638DAA0D"/>
    <w:rsid w:val="64DE945C"/>
    <w:rsid w:val="657F02D2"/>
    <w:rsid w:val="6596CB18"/>
    <w:rsid w:val="66116FC8"/>
    <w:rsid w:val="675690FA"/>
    <w:rsid w:val="6876B26B"/>
    <w:rsid w:val="688D4F52"/>
    <w:rsid w:val="6926AFC6"/>
    <w:rsid w:val="6949EE8B"/>
    <w:rsid w:val="6C0A419E"/>
    <w:rsid w:val="6C204618"/>
    <w:rsid w:val="6D881874"/>
    <w:rsid w:val="6F78FFAF"/>
    <w:rsid w:val="6FD38956"/>
    <w:rsid w:val="6FDC11CC"/>
    <w:rsid w:val="7033BC2C"/>
    <w:rsid w:val="70FF9058"/>
    <w:rsid w:val="716BC1DE"/>
    <w:rsid w:val="71759E6D"/>
    <w:rsid w:val="72103F5A"/>
    <w:rsid w:val="730969BF"/>
    <w:rsid w:val="73671A43"/>
    <w:rsid w:val="751D3072"/>
    <w:rsid w:val="751EB86F"/>
    <w:rsid w:val="7607A4E7"/>
    <w:rsid w:val="77E4D634"/>
    <w:rsid w:val="78235872"/>
    <w:rsid w:val="788E1883"/>
    <w:rsid w:val="7899F321"/>
    <w:rsid w:val="793AB3A9"/>
    <w:rsid w:val="798E9F3E"/>
    <w:rsid w:val="7C98EA81"/>
    <w:rsid w:val="7D51EEBF"/>
    <w:rsid w:val="7DB49FE4"/>
    <w:rsid w:val="7E11AF80"/>
    <w:rsid w:val="7E733071"/>
    <w:rsid w:val="7EAD0B09"/>
    <w:rsid w:val="7F706DD7"/>
    <w:rsid w:val="7FF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A129"/>
  <w15:chartTrackingRefBased/>
  <w15:docId w15:val="{F49B2C90-2197-4D4A-A07E-09B594F8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B3C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7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7B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7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7B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7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7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7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7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7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7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7B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7B3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7B3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7B3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7B3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7B3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7B3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7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7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7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7B3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067B3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7B3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7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7B3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7B3C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rsid w:val="00067B3C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lang w:val="en-US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7B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7B3C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7B3C"/>
    <w:rPr>
      <w:sz w:val="16"/>
      <w:szCs w:val="16"/>
    </w:rPr>
  </w:style>
  <w:style w:type="table" w:styleId="Lentelstinklelis">
    <w:name w:val="Table Grid"/>
    <w:basedOn w:val="prastojilentel"/>
    <w:uiPriority w:val="39"/>
    <w:rsid w:val="00067B3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qFormat/>
    <w:rsid w:val="00065646"/>
    <w:rPr>
      <w:rFonts w:eastAsia="Times New Roman"/>
      <w:b/>
      <w:bCs/>
      <w:sz w:val="20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D55099"/>
    <w:pPr>
      <w:spacing w:after="120"/>
      <w:ind w:left="283"/>
    </w:pPr>
    <w:rPr>
      <w:rFonts w:eastAsia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55099"/>
    <w:rPr>
      <w:rFonts w:ascii="Times New Roman" w:eastAsia="Times New Roman" w:hAnsi="Times New Roman" w:cs="Times New Roman"/>
      <w:kern w:val="0"/>
      <w14:ligatures w14:val="none"/>
    </w:rPr>
  </w:style>
  <w:style w:type="paragraph" w:styleId="Betarp">
    <w:name w:val="No Spacing"/>
    <w:uiPriority w:val="1"/>
    <w:qFormat/>
    <w:rsid w:val="00601462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B6DD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B6DDF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44C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4C0C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44C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C0C"/>
    <w:rPr>
      <w:rFonts w:ascii="Times New Roman" w:eastAsia="Arial Unicode MS" w:hAnsi="Times New Roman" w:cs="Times New Roman"/>
      <w:kern w:val="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63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639A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CB4DF8"/>
    <w:pPr>
      <w:spacing w:after="0" w:line="240" w:lineRule="auto"/>
    </w:pPr>
    <w:rPr>
      <w:rFonts w:ascii="Times New Roman" w:eastAsia="Arial Unicode MS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8989-7EC5-47EF-BA25-A3EB1B98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2942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Grušelionytė</dc:creator>
  <cp:lastModifiedBy>Evelina Šerpetauskienė</cp:lastModifiedBy>
  <cp:revision>3</cp:revision>
  <dcterms:created xsi:type="dcterms:W3CDTF">2025-06-13T07:50:00Z</dcterms:created>
  <dcterms:modified xsi:type="dcterms:W3CDTF">2025-06-16T11:09:00Z</dcterms:modified>
</cp:coreProperties>
</file>