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98CF3" w14:textId="7BCD2940" w:rsidR="00CE675C" w:rsidRDefault="00CE675C" w:rsidP="00B42204">
      <w:pPr>
        <w:tabs>
          <w:tab w:val="left" w:pos="0"/>
          <w:tab w:val="left" w:pos="709"/>
          <w:tab w:val="left" w:pos="1134"/>
        </w:tabs>
        <w:spacing w:line="320" w:lineRule="atLeast"/>
        <w:ind w:firstLine="709"/>
        <w:rPr>
          <w:rFonts w:asciiTheme="minorHAnsi" w:hAnsiTheme="minorHAnsi" w:cstheme="minorHAnsi"/>
          <w:b/>
          <w:bCs/>
          <w:iCs/>
          <w:szCs w:val="24"/>
        </w:rPr>
      </w:pPr>
      <w:bookmarkStart w:id="0" w:name="r18"/>
      <w:r w:rsidRPr="00E37073">
        <w:rPr>
          <w:rFonts w:asciiTheme="minorHAnsi" w:hAnsiTheme="minorHAnsi" w:cstheme="minorHAnsi"/>
          <w:b/>
          <w:bCs/>
          <w:iCs/>
          <w:szCs w:val="24"/>
        </w:rPr>
        <w:t>2025-0</w:t>
      </w:r>
      <w:r w:rsidR="00114D2F">
        <w:rPr>
          <w:rFonts w:asciiTheme="minorHAnsi" w:hAnsiTheme="minorHAnsi" w:cstheme="minorHAnsi"/>
          <w:b/>
          <w:bCs/>
          <w:iCs/>
          <w:szCs w:val="24"/>
        </w:rPr>
        <w:t>6-11</w:t>
      </w:r>
      <w:r w:rsidRPr="00E37073">
        <w:rPr>
          <w:rFonts w:asciiTheme="minorHAnsi" w:hAnsiTheme="minorHAnsi" w:cstheme="minorHAnsi"/>
          <w:b/>
          <w:bCs/>
          <w:iCs/>
          <w:szCs w:val="24"/>
        </w:rPr>
        <w:t xml:space="preserve"> 1</w:t>
      </w:r>
      <w:r w:rsidR="000007B3" w:rsidRPr="00E37073">
        <w:rPr>
          <w:rFonts w:asciiTheme="minorHAnsi" w:hAnsiTheme="minorHAnsi" w:cstheme="minorHAnsi"/>
          <w:b/>
          <w:bCs/>
          <w:iCs/>
          <w:szCs w:val="24"/>
        </w:rPr>
        <w:t>0:00</w:t>
      </w:r>
      <w:r w:rsidRPr="00E37073">
        <w:rPr>
          <w:rFonts w:asciiTheme="minorHAnsi" w:hAnsiTheme="minorHAnsi" w:cstheme="minorHAnsi"/>
          <w:b/>
          <w:bCs/>
          <w:iCs/>
          <w:szCs w:val="24"/>
        </w:rPr>
        <w:t xml:space="preserve"> val. pasibaigė</w:t>
      </w:r>
      <w:r w:rsidRPr="00E37073">
        <w:rPr>
          <w:rFonts w:asciiTheme="minorHAnsi" w:hAnsiTheme="minorHAnsi" w:cstheme="minorHAnsi"/>
          <w:szCs w:val="24"/>
        </w:rPr>
        <w:t xml:space="preserve"> pasiūlymų ir pastabų pateikimas išankstinei rinkos konsultacijai.</w:t>
      </w:r>
      <w:r w:rsidRPr="00E37073">
        <w:rPr>
          <w:rFonts w:asciiTheme="minorHAnsi" w:hAnsiTheme="minorHAnsi" w:cstheme="minorHAnsi"/>
          <w:b/>
          <w:bCs/>
          <w:iCs/>
          <w:szCs w:val="24"/>
        </w:rPr>
        <w:t xml:space="preserve"> Gaut</w:t>
      </w:r>
      <w:r w:rsidR="001E3FDF">
        <w:rPr>
          <w:rFonts w:asciiTheme="minorHAnsi" w:hAnsiTheme="minorHAnsi" w:cstheme="minorHAnsi"/>
          <w:b/>
          <w:bCs/>
          <w:iCs/>
          <w:szCs w:val="24"/>
        </w:rPr>
        <w:t>i</w:t>
      </w:r>
      <w:r w:rsidRPr="00E37073">
        <w:rPr>
          <w:rFonts w:asciiTheme="minorHAnsi" w:hAnsiTheme="minorHAnsi" w:cstheme="minorHAnsi"/>
          <w:b/>
          <w:bCs/>
          <w:iCs/>
          <w:szCs w:val="24"/>
        </w:rPr>
        <w:t xml:space="preserve"> pasiūlym</w:t>
      </w:r>
      <w:r w:rsidR="001E3FDF">
        <w:rPr>
          <w:rFonts w:asciiTheme="minorHAnsi" w:hAnsiTheme="minorHAnsi" w:cstheme="minorHAnsi"/>
          <w:b/>
          <w:bCs/>
          <w:iCs/>
          <w:szCs w:val="24"/>
        </w:rPr>
        <w:t>ai</w:t>
      </w:r>
      <w:r w:rsidRPr="00E37073">
        <w:rPr>
          <w:rFonts w:asciiTheme="minorHAnsi" w:hAnsiTheme="minorHAnsi" w:cstheme="minorHAnsi"/>
          <w:b/>
          <w:bCs/>
          <w:iCs/>
          <w:szCs w:val="24"/>
        </w:rPr>
        <w:t xml:space="preserve"> ir (ar) pastab</w:t>
      </w:r>
      <w:r w:rsidR="001E3FDF">
        <w:rPr>
          <w:rFonts w:asciiTheme="minorHAnsi" w:hAnsiTheme="minorHAnsi" w:cstheme="minorHAnsi"/>
          <w:b/>
          <w:bCs/>
          <w:iCs/>
          <w:szCs w:val="24"/>
        </w:rPr>
        <w:t>os</w:t>
      </w:r>
      <w:r w:rsidRPr="00E37073">
        <w:rPr>
          <w:rFonts w:asciiTheme="minorHAnsi" w:hAnsiTheme="minorHAnsi" w:cstheme="minorHAnsi"/>
          <w:b/>
          <w:bCs/>
          <w:iCs/>
          <w:szCs w:val="24"/>
        </w:rPr>
        <w:t>:</w:t>
      </w:r>
    </w:p>
    <w:tbl>
      <w:tblPr>
        <w:tblStyle w:val="Lentelstinklelis"/>
        <w:tblW w:w="9639" w:type="dxa"/>
        <w:tblInd w:w="-5" w:type="dxa"/>
        <w:tblLook w:val="04A0" w:firstRow="1" w:lastRow="0" w:firstColumn="1" w:lastColumn="0" w:noHBand="0" w:noVBand="1"/>
      </w:tblPr>
      <w:tblGrid>
        <w:gridCol w:w="9639"/>
      </w:tblGrid>
      <w:tr w:rsidR="001E3FDF" w:rsidRPr="0084415E" w14:paraId="56BF4A42" w14:textId="77777777" w:rsidTr="00884B66">
        <w:trPr>
          <w:trHeight w:val="699"/>
        </w:trPr>
        <w:tc>
          <w:tcPr>
            <w:tcW w:w="9639" w:type="dxa"/>
            <w:tcBorders>
              <w:bottom w:val="dotted" w:sz="4" w:space="0" w:color="auto"/>
            </w:tcBorders>
          </w:tcPr>
          <w:p w14:paraId="3F35EF7D" w14:textId="77777777" w:rsidR="001E3FDF" w:rsidRPr="001E3FDF" w:rsidRDefault="001E3FDF" w:rsidP="00884B66">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Pr>
                <w:rFonts w:eastAsia="Times New Roman" w:cstheme="minorHAnsi"/>
                <w:color w:val="000000"/>
                <w:sz w:val="24"/>
                <w:szCs w:val="24"/>
                <w:lang w:eastAsia="lt-LT"/>
              </w:rPr>
              <w:t>Ar pirkimui skirtų lėšų suma, nurodyta specialiųjų pirkimo sąlygų 6.6 punkte, yra pakankama tinkamam darbų atlikimui?</w:t>
            </w:r>
          </w:p>
          <w:p w14:paraId="0352DA88" w14:textId="0A817B15" w:rsidR="001E3FDF" w:rsidRPr="001E3FDF" w:rsidRDefault="001E3FDF" w:rsidP="00884B66">
            <w:pPr>
              <w:pStyle w:val="Sraopastraipa"/>
              <w:numPr>
                <w:ilvl w:val="0"/>
                <w:numId w:val="3"/>
              </w:numPr>
              <w:spacing w:after="0" w:line="276" w:lineRule="auto"/>
              <w:ind w:left="0"/>
              <w:jc w:val="both"/>
              <w:rPr>
                <w:rFonts w:cstheme="minorHAnsi"/>
                <w:sz w:val="24"/>
                <w:szCs w:val="24"/>
              </w:rPr>
            </w:pPr>
            <w:r w:rsidRPr="001E3FDF">
              <w:rPr>
                <w:rFonts w:eastAsia="Times New Roman" w:cstheme="minorHAnsi"/>
                <w:b/>
                <w:bCs/>
                <w:color w:val="000000"/>
                <w:sz w:val="24"/>
                <w:szCs w:val="24"/>
                <w:lang w:eastAsia="lt-LT"/>
              </w:rPr>
              <w:t>Pastabos</w:t>
            </w:r>
            <w:r>
              <w:rPr>
                <w:rFonts w:eastAsia="Times New Roman" w:cstheme="minorHAnsi"/>
                <w:color w:val="000000"/>
                <w:sz w:val="24"/>
                <w:szCs w:val="24"/>
                <w:lang w:eastAsia="lt-LT"/>
              </w:rPr>
              <w:t xml:space="preserve">: </w:t>
            </w:r>
            <w:r w:rsidR="00114D2F">
              <w:rPr>
                <w:rFonts w:eastAsia="Times New Roman" w:cstheme="minorHAnsi"/>
                <w:color w:val="000000"/>
                <w:sz w:val="24"/>
                <w:szCs w:val="24"/>
                <w:lang w:eastAsia="lt-LT"/>
              </w:rPr>
              <w:t>Nepakankama</w:t>
            </w:r>
          </w:p>
          <w:p w14:paraId="24CFE635" w14:textId="23D482E9" w:rsidR="001E3FDF" w:rsidRPr="00114D2F" w:rsidRDefault="00114D2F" w:rsidP="00884B66">
            <w:pPr>
              <w:pStyle w:val="Sraopastraipa"/>
              <w:numPr>
                <w:ilvl w:val="0"/>
                <w:numId w:val="3"/>
              </w:numPr>
              <w:spacing w:after="0" w:line="276" w:lineRule="auto"/>
              <w:ind w:left="0"/>
              <w:jc w:val="both"/>
              <w:rPr>
                <w:rFonts w:cstheme="minorHAnsi"/>
                <w:sz w:val="24"/>
                <w:szCs w:val="24"/>
              </w:rPr>
            </w:pPr>
            <w:r w:rsidRPr="00114D2F">
              <w:rPr>
                <w:rFonts w:cstheme="minorHAnsi"/>
                <w:b/>
                <w:bCs/>
                <w:iCs/>
                <w:sz w:val="24"/>
                <w:szCs w:val="24"/>
              </w:rPr>
              <w:t>Atsakymas:</w:t>
            </w:r>
            <w:r>
              <w:rPr>
                <w:rFonts w:cstheme="minorHAnsi"/>
                <w:iCs/>
                <w:sz w:val="24"/>
                <w:szCs w:val="24"/>
              </w:rPr>
              <w:t xml:space="preserve"> </w:t>
            </w:r>
            <w:r w:rsidRPr="00114D2F">
              <w:rPr>
                <w:rFonts w:cstheme="minorHAnsi"/>
                <w:iCs/>
                <w:sz w:val="24"/>
                <w:szCs w:val="24"/>
              </w:rPr>
              <w:t>Atsakant į minėt</w:t>
            </w:r>
            <w:r>
              <w:rPr>
                <w:rFonts w:cstheme="minorHAnsi"/>
                <w:iCs/>
                <w:sz w:val="24"/>
                <w:szCs w:val="24"/>
              </w:rPr>
              <w:t>ą</w:t>
            </w:r>
            <w:r w:rsidRPr="00114D2F">
              <w:rPr>
                <w:rFonts w:cstheme="minorHAnsi"/>
                <w:iCs/>
                <w:sz w:val="24"/>
                <w:szCs w:val="24"/>
              </w:rPr>
              <w:t xml:space="preserve"> pastab</w:t>
            </w:r>
            <w:r>
              <w:rPr>
                <w:rFonts w:cstheme="minorHAnsi"/>
                <w:iCs/>
                <w:sz w:val="24"/>
                <w:szCs w:val="24"/>
              </w:rPr>
              <w:t>ą</w:t>
            </w:r>
            <w:r w:rsidRPr="00114D2F">
              <w:rPr>
                <w:rFonts w:cstheme="minorHAnsi"/>
                <w:iCs/>
                <w:sz w:val="24"/>
                <w:szCs w:val="24"/>
              </w:rPr>
              <w:t xml:space="preserve"> pažymėtina, kad projekto įgyvendinimui skirta lėšų suma pirkimo dokumentuose nurodyta vadovaujantis projekto skaičiuojamosios kainos dalimi, kurioje kainos perskaičiuotos pagal 2024 m. spalio mėnesio kainas, todėl pirkimui skirta lėšų suma yra reali, atspindinti realią rinkos situaciją ir nebus koreguojama.</w:t>
            </w:r>
          </w:p>
        </w:tc>
      </w:tr>
      <w:tr w:rsidR="001E3FDF" w:rsidRPr="0084415E" w14:paraId="5D4A525D" w14:textId="77777777" w:rsidTr="00884B66">
        <w:trPr>
          <w:trHeight w:val="861"/>
        </w:trPr>
        <w:tc>
          <w:tcPr>
            <w:tcW w:w="9639" w:type="dxa"/>
            <w:tcBorders>
              <w:bottom w:val="dotted" w:sz="4" w:space="0" w:color="auto"/>
            </w:tcBorders>
          </w:tcPr>
          <w:p w14:paraId="545E7295" w14:textId="77777777" w:rsidR="001E3FDF" w:rsidRDefault="001E3FDF" w:rsidP="00884B66">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p w14:paraId="0BB6635B" w14:textId="73ECE801" w:rsidR="000204F0" w:rsidRPr="000204F0" w:rsidRDefault="001E3FDF" w:rsidP="000204F0">
            <w:pPr>
              <w:spacing w:line="300" w:lineRule="atLeast"/>
              <w:jc w:val="both"/>
              <w:rPr>
                <w:rFonts w:eastAsia="Calibri" w:cstheme="minorHAnsi"/>
                <w:i/>
                <w:sz w:val="24"/>
                <w:szCs w:val="24"/>
              </w:rPr>
            </w:pPr>
            <w:r w:rsidRPr="001E3FDF">
              <w:rPr>
                <w:rFonts w:eastAsia="Times New Roman" w:cstheme="minorHAnsi"/>
                <w:b/>
                <w:bCs/>
                <w:color w:val="000000"/>
                <w:sz w:val="24"/>
                <w:szCs w:val="24"/>
                <w:lang w:eastAsia="lt-LT"/>
              </w:rPr>
              <w:t>Pastaba</w:t>
            </w:r>
            <w:r>
              <w:rPr>
                <w:rFonts w:eastAsia="Times New Roman" w:cstheme="minorHAnsi"/>
                <w:color w:val="000000"/>
                <w:sz w:val="24"/>
                <w:szCs w:val="24"/>
                <w:lang w:eastAsia="lt-LT"/>
              </w:rPr>
              <w:t xml:space="preserve">: </w:t>
            </w:r>
            <w:r w:rsidR="000204F0" w:rsidRPr="000204F0">
              <w:rPr>
                <w:rFonts w:eastAsia="Calibri" w:cstheme="minorHAnsi"/>
                <w:sz w:val="24"/>
                <w:szCs w:val="24"/>
              </w:rPr>
              <w:t xml:space="preserve">Perkančioji organizacija </w:t>
            </w:r>
            <w:r w:rsidR="000204F0">
              <w:rPr>
                <w:rFonts w:eastAsia="Calibri" w:cstheme="minorHAnsi"/>
                <w:sz w:val="24"/>
                <w:szCs w:val="24"/>
              </w:rPr>
              <w:t xml:space="preserve">Sutarties </w:t>
            </w:r>
            <w:r w:rsidR="000204F0" w:rsidRPr="000204F0">
              <w:rPr>
                <w:rFonts w:eastAsia="Calibri" w:cstheme="minorHAnsi"/>
                <w:sz w:val="24"/>
                <w:szCs w:val="24"/>
              </w:rPr>
              <w:t xml:space="preserve">54.2 punkte nurodė, kad </w:t>
            </w:r>
            <w:r w:rsidR="000204F0" w:rsidRPr="000204F0">
              <w:rPr>
                <w:rFonts w:eastAsia="Calibri" w:cstheme="minorHAnsi"/>
                <w:i/>
                <w:sz w:val="24"/>
                <w:szCs w:val="24"/>
              </w:rPr>
              <w:t xml:space="preserve">„&lt;...&gt;  54.2. &lt;...&gt; Rangovas, atlikęs Darbus, ir, jeigu reikia, atlikęs baigiamuosius bandymus, pateikia Užsakovui parengtą ir su Statinio statybos techninės priežiūros vadovu ir Statinio Projekto vykdymo priežiūros vadovu suderintą Rangovo atliktų Darbų perdavimo ir priėmimo aktą, </w:t>
            </w:r>
            <w:r w:rsidR="000204F0" w:rsidRPr="000204F0">
              <w:rPr>
                <w:rFonts w:eastAsia="Calibri" w:cstheme="minorHAnsi"/>
                <w:b/>
                <w:i/>
                <w:sz w:val="24"/>
                <w:szCs w:val="24"/>
              </w:rPr>
              <w:t xml:space="preserve">kartu </w:t>
            </w:r>
            <w:r w:rsidR="000204F0" w:rsidRPr="000204F0">
              <w:rPr>
                <w:rFonts w:eastAsia="Calibri" w:cstheme="minorHAnsi"/>
                <w:i/>
                <w:sz w:val="24"/>
                <w:szCs w:val="24"/>
              </w:rPr>
              <w:t>pateikdamas ir garantinio laikotarpio prievolių įvykdymo užtikrinimo dokumentą (kartu su jo apmokėjimą įrodančia dokumento kopija), kuriuo užtikrinamas garantinio laikotarpio prievolių įvykdymas pagal Sutartį, tokios formos ir iš tokios trečiosios šalies, kaip nurodyta Sutarties 7.12 papunktyje. Šis dokumentas Rangovo nemokumo ar bankroto atveju turi užtikrinti, kad bus apmokėtos dėl Rangovo kaltės atsiradusių defektų šalinimo išlaidos. Reikalavimai garantinio laikotarpio prievolių įvykdymo užtikrinimo dokumentui:&lt;...&gt;“.</w:t>
            </w:r>
            <w:r w:rsidR="000204F0" w:rsidRPr="000204F0">
              <w:rPr>
                <w:rFonts w:eastAsia="Calibri" w:cstheme="minorHAnsi"/>
                <w:sz w:val="24"/>
                <w:szCs w:val="24"/>
              </w:rPr>
              <w:t xml:space="preserve"> </w:t>
            </w:r>
          </w:p>
          <w:p w14:paraId="6F0E4D28" w14:textId="77777777" w:rsidR="000204F0" w:rsidRPr="000204F0" w:rsidRDefault="000204F0" w:rsidP="000204F0">
            <w:pPr>
              <w:spacing w:line="300" w:lineRule="atLeast"/>
              <w:ind w:firstLine="567"/>
              <w:jc w:val="both"/>
              <w:rPr>
                <w:rFonts w:cstheme="minorHAnsi"/>
                <w:sz w:val="24"/>
                <w:szCs w:val="24"/>
                <w:lang w:eastAsia="lt-LT"/>
              </w:rPr>
            </w:pPr>
            <w:r w:rsidRPr="000204F0">
              <w:rPr>
                <w:rFonts w:cstheme="minorHAnsi"/>
                <w:sz w:val="24"/>
                <w:szCs w:val="24"/>
                <w:lang w:eastAsia="lt-LT"/>
              </w:rPr>
              <w:t xml:space="preserve">Tiekėjas, turėdamas ilgametę patirtį rangos darbų atlikime bei turėdamas didelę patirtį sutarčių administravime ir santykiuose su draudimo bendrovėmis ar įvairiomis kredito įstaigomis, informuoja, kad Perkančiosios organizacijos reikalaujama garantinio laikotarpio prievolių įvykdymo užtikrinimą nėra galimybės pateikti nepasirašius darbų perdavimo statytojui akto, kadangi garantinio laikotarpio prievolių įvykdymo užtikrinime turi būti pateikta sekanti informacija: </w:t>
            </w:r>
          </w:p>
          <w:p w14:paraId="12B2F317" w14:textId="77777777" w:rsidR="000204F0" w:rsidRPr="000204F0" w:rsidRDefault="000204F0" w:rsidP="000204F0">
            <w:pPr>
              <w:numPr>
                <w:ilvl w:val="0"/>
                <w:numId w:val="8"/>
              </w:numPr>
              <w:spacing w:line="300" w:lineRule="atLeast"/>
              <w:ind w:hanging="11"/>
              <w:contextualSpacing/>
              <w:jc w:val="both"/>
              <w:rPr>
                <w:rFonts w:eastAsia="Calibri" w:cstheme="minorHAnsi"/>
                <w:sz w:val="24"/>
                <w:szCs w:val="24"/>
              </w:rPr>
            </w:pPr>
            <w:r w:rsidRPr="000204F0">
              <w:rPr>
                <w:rFonts w:cstheme="minorHAnsi"/>
                <w:sz w:val="24"/>
                <w:szCs w:val="24"/>
                <w:lang w:eastAsia="lt-LT"/>
              </w:rPr>
              <w:t>laidavimo suma, kuri apskaičiuojama proporcingai nuo statybos darbų kainos;</w:t>
            </w:r>
          </w:p>
          <w:p w14:paraId="7624810F" w14:textId="77777777" w:rsidR="000204F0" w:rsidRPr="000204F0" w:rsidRDefault="000204F0" w:rsidP="000204F0">
            <w:pPr>
              <w:numPr>
                <w:ilvl w:val="0"/>
                <w:numId w:val="8"/>
              </w:numPr>
              <w:spacing w:line="300" w:lineRule="atLeast"/>
              <w:ind w:hanging="11"/>
              <w:contextualSpacing/>
              <w:jc w:val="both"/>
              <w:rPr>
                <w:rFonts w:eastAsia="Calibri" w:cstheme="minorHAnsi"/>
                <w:sz w:val="24"/>
                <w:szCs w:val="24"/>
              </w:rPr>
            </w:pPr>
            <w:r w:rsidRPr="000204F0">
              <w:rPr>
                <w:rFonts w:cstheme="minorHAnsi"/>
                <w:sz w:val="24"/>
                <w:szCs w:val="24"/>
                <w:lang w:eastAsia="lt-LT"/>
              </w:rPr>
              <w:t>nuo kada dokumentas įsigalioja (t.y. atliktų statybos darbų perdavimo statytojui data);</w:t>
            </w:r>
          </w:p>
          <w:p w14:paraId="71781621" w14:textId="66648798" w:rsidR="000204F0" w:rsidRPr="000204F0" w:rsidRDefault="000204F0" w:rsidP="000204F0">
            <w:pPr>
              <w:spacing w:line="300" w:lineRule="atLeast"/>
              <w:ind w:firstLine="567"/>
              <w:jc w:val="both"/>
              <w:rPr>
                <w:rFonts w:eastAsia="Calibri" w:cstheme="minorHAnsi"/>
                <w:sz w:val="24"/>
                <w:szCs w:val="24"/>
              </w:rPr>
            </w:pPr>
            <w:r w:rsidRPr="000204F0">
              <w:rPr>
                <w:rFonts w:cstheme="minorHAnsi"/>
                <w:sz w:val="24"/>
                <w:szCs w:val="24"/>
                <w:lang w:eastAsia="lt-LT"/>
              </w:rPr>
              <w:t xml:space="preserve">Perkančiosios organizacijos reikalavimas nurodytas konkurso sąlygų priedo „Sutarties projektas“ 54.2 punkte kartu pateikti ir darbų perdavimo ir priėmimo aktą ir </w:t>
            </w:r>
            <w:r w:rsidRPr="000204F0">
              <w:rPr>
                <w:rFonts w:eastAsia="Calibri" w:cstheme="minorHAnsi"/>
                <w:sz w:val="24"/>
                <w:szCs w:val="24"/>
              </w:rPr>
              <w:t xml:space="preserve">garantinio laikotarpio prievolių įvykdymo užtikrinimo dokumentą (kartu su jo apmokėjimą įrodančia dokumento kopija) yra praktiškai neįgyvendinamas, nes iki statybos darbų perdavimo statytojui akto pasirašymo dienos nėra aiški data, kada statytojas perims atliktus statybos darbus. </w:t>
            </w:r>
            <w:r w:rsidRPr="000204F0">
              <w:rPr>
                <w:rFonts w:eastAsia="Calibri" w:cstheme="minorHAnsi"/>
                <w:b/>
                <w:i/>
                <w:sz w:val="24"/>
                <w:szCs w:val="24"/>
              </w:rPr>
              <w:t xml:space="preserve"> </w:t>
            </w:r>
          </w:p>
          <w:p w14:paraId="26F5EF98" w14:textId="77777777" w:rsidR="000204F0" w:rsidRPr="000204F0" w:rsidRDefault="000204F0" w:rsidP="000204F0">
            <w:pPr>
              <w:spacing w:line="300" w:lineRule="atLeast"/>
              <w:ind w:firstLine="567"/>
              <w:jc w:val="both"/>
              <w:rPr>
                <w:rFonts w:eastAsia="Calibri" w:cstheme="minorHAnsi"/>
                <w:sz w:val="24"/>
                <w:szCs w:val="24"/>
              </w:rPr>
            </w:pPr>
            <w:r w:rsidRPr="000204F0">
              <w:rPr>
                <w:rFonts w:eastAsia="Calibri" w:cstheme="minorHAnsi"/>
                <w:sz w:val="24"/>
                <w:szCs w:val="24"/>
              </w:rPr>
              <w:t>Atsižvelgiant į aukščiau paminėtą, Tiekėjas prašo:</w:t>
            </w:r>
          </w:p>
          <w:p w14:paraId="43F55A95" w14:textId="192E8E37" w:rsidR="000204F0" w:rsidRPr="000204F0" w:rsidRDefault="000204F0" w:rsidP="000204F0">
            <w:pPr>
              <w:spacing w:line="300" w:lineRule="atLeast"/>
              <w:ind w:firstLine="567"/>
              <w:jc w:val="both"/>
              <w:rPr>
                <w:rFonts w:cstheme="minorHAnsi"/>
                <w:sz w:val="24"/>
                <w:szCs w:val="24"/>
                <w:lang w:eastAsia="lt-LT"/>
              </w:rPr>
            </w:pPr>
            <w:r w:rsidRPr="000204F0">
              <w:rPr>
                <w:rFonts w:eastAsia="Calibri" w:cstheme="minorHAnsi"/>
                <w:sz w:val="24"/>
                <w:szCs w:val="24"/>
              </w:rPr>
              <w:t xml:space="preserve">a) patikslinti </w:t>
            </w:r>
            <w:r w:rsidRPr="000204F0">
              <w:rPr>
                <w:rFonts w:cstheme="minorHAnsi"/>
                <w:sz w:val="24"/>
                <w:szCs w:val="24"/>
                <w:lang w:eastAsia="lt-LT"/>
              </w:rPr>
              <w:t>konkurso sąlygų priedo „Sutarties projektas“ 54.2 punktą, išdėstant taip:</w:t>
            </w:r>
          </w:p>
          <w:p w14:paraId="36A0E118" w14:textId="77777777" w:rsidR="000204F0" w:rsidRPr="000204F0" w:rsidRDefault="000204F0" w:rsidP="000204F0">
            <w:pPr>
              <w:spacing w:line="300" w:lineRule="atLeast"/>
              <w:ind w:firstLine="567"/>
              <w:jc w:val="both"/>
              <w:rPr>
                <w:rFonts w:eastAsia="Calibri" w:cstheme="minorHAnsi"/>
                <w:i/>
                <w:sz w:val="24"/>
                <w:szCs w:val="24"/>
              </w:rPr>
            </w:pPr>
            <w:r w:rsidRPr="000204F0">
              <w:rPr>
                <w:rFonts w:eastAsia="Calibri" w:cstheme="minorHAnsi"/>
                <w:i/>
                <w:sz w:val="24"/>
                <w:szCs w:val="24"/>
              </w:rPr>
              <w:t>54.2. kai pasirašomas Darbų perdavimo ir priėmimo aktas.</w:t>
            </w:r>
          </w:p>
          <w:p w14:paraId="54E81CD3" w14:textId="77777777" w:rsidR="000204F0" w:rsidRPr="000204F0" w:rsidRDefault="000204F0" w:rsidP="000204F0">
            <w:pPr>
              <w:spacing w:line="300" w:lineRule="atLeast"/>
              <w:ind w:firstLine="567"/>
              <w:jc w:val="both"/>
              <w:rPr>
                <w:rFonts w:eastAsia="Calibri" w:cstheme="minorHAnsi"/>
                <w:i/>
                <w:sz w:val="24"/>
                <w:szCs w:val="24"/>
              </w:rPr>
            </w:pPr>
            <w:r w:rsidRPr="000204F0">
              <w:rPr>
                <w:rFonts w:eastAsia="Calibri" w:cstheme="minorHAnsi"/>
                <w:i/>
                <w:sz w:val="24"/>
                <w:szCs w:val="24"/>
              </w:rPr>
              <w:t xml:space="preserve">Rangovas, atlikęs Darbus, ir, jeigu reikia, atlikęs baigiamuosius bandymus, pateikia Užsakovui parengtą ir su Statinio statybos techninės priežiūros vadovu ir Statinio Projekto vykdymo priežiūros vadovu suderintą Rangovo atliktų Darbų perdavimo ir priėmimo aktą. </w:t>
            </w:r>
          </w:p>
          <w:p w14:paraId="67A6B2F3" w14:textId="77777777" w:rsidR="000204F0" w:rsidRPr="000204F0" w:rsidRDefault="000204F0" w:rsidP="000204F0">
            <w:pPr>
              <w:spacing w:line="300" w:lineRule="atLeast"/>
              <w:ind w:firstLine="567"/>
              <w:jc w:val="both"/>
              <w:rPr>
                <w:rFonts w:eastAsia="Calibri" w:cstheme="minorHAnsi"/>
                <w:i/>
                <w:sz w:val="24"/>
                <w:szCs w:val="24"/>
              </w:rPr>
            </w:pPr>
            <w:r w:rsidRPr="000204F0">
              <w:rPr>
                <w:rFonts w:eastAsia="Calibri" w:cstheme="minorHAnsi"/>
                <w:i/>
                <w:sz w:val="24"/>
                <w:szCs w:val="24"/>
              </w:rPr>
              <w:t xml:space="preserve">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Sutarties 7.12 papunktyje. Šis dokumentas Rangovo nemokumo ar bankroto atveju turi užtikrinti, kad bus </w:t>
            </w:r>
            <w:r w:rsidRPr="000204F0">
              <w:rPr>
                <w:rFonts w:eastAsia="Calibri" w:cstheme="minorHAnsi"/>
                <w:i/>
                <w:sz w:val="24"/>
                <w:szCs w:val="24"/>
              </w:rPr>
              <w:lastRenderedPageBreak/>
              <w:t>apmokėtos dėl Rangovo kaltės atsiradusių defektų šalinimo išlaidos. Reikalavimai garantinio laikotarpio prievolių įvykdymo užtikrinimo dokumentui:&lt;...&gt;“.</w:t>
            </w:r>
          </w:p>
          <w:p w14:paraId="012C0E7D" w14:textId="2A129385" w:rsidR="000204F0" w:rsidRPr="000204F0" w:rsidRDefault="000204F0" w:rsidP="000204F0">
            <w:pPr>
              <w:spacing w:line="300" w:lineRule="atLeast"/>
              <w:ind w:firstLine="567"/>
              <w:jc w:val="both"/>
              <w:rPr>
                <w:rFonts w:cstheme="minorHAnsi"/>
                <w:sz w:val="24"/>
                <w:szCs w:val="24"/>
                <w:lang w:eastAsia="lt-LT"/>
              </w:rPr>
            </w:pPr>
            <w:r w:rsidRPr="000204F0">
              <w:rPr>
                <w:rFonts w:eastAsia="Calibri" w:cstheme="minorHAnsi"/>
                <w:sz w:val="24"/>
                <w:szCs w:val="24"/>
              </w:rPr>
              <w:t xml:space="preserve">b) patikslinti </w:t>
            </w:r>
            <w:r w:rsidRPr="000204F0">
              <w:rPr>
                <w:rFonts w:cstheme="minorHAnsi"/>
                <w:sz w:val="24"/>
                <w:szCs w:val="24"/>
                <w:lang w:eastAsia="lt-LT"/>
              </w:rPr>
              <w:t>konkurso sąlygų priedo „Sutarties projektas“ 81 punktą, išdėstant taip:</w:t>
            </w:r>
          </w:p>
          <w:p w14:paraId="12348EB4" w14:textId="25B2305B" w:rsidR="000204F0" w:rsidRDefault="000204F0" w:rsidP="000204F0">
            <w:pPr>
              <w:spacing w:after="160" w:line="300" w:lineRule="atLeast"/>
              <w:ind w:left="720"/>
              <w:jc w:val="both"/>
              <w:rPr>
                <w:rFonts w:eastAsia="Calibri" w:cstheme="minorHAnsi"/>
                <w:i/>
                <w:sz w:val="24"/>
                <w:szCs w:val="24"/>
              </w:rPr>
            </w:pPr>
            <w:r w:rsidRPr="000204F0">
              <w:rPr>
                <w:rFonts w:eastAsia="Calibri" w:cstheme="minorHAnsi"/>
                <w:i/>
                <w:sz w:val="24"/>
                <w:szCs w:val="24"/>
              </w:rPr>
              <w:t>Rangovas turi pateikti Darbų perdavimo ir priėmimo aktą ir garantinio laikotarpio įvykdymo užtikrinimo dokumentą, vadovaujantis Sutarties 54.2 p. Šis dokumentas Rangovo nemokumo ar bankroto atveju turi užtikrinti dėl Rangovo kaltės atsiradusių defektų, nustatytų per pirmuosius 3 Sutarties 80 punkte nurodyto statinio garantinio termino metus, šalinimo išlaidų apmokėjimą Užsakovui. Defektų šalinimo užtikrinimo suma statinio garantiniu 3 metų laikotarpiu turi būti ne mažesnė kaip 5 proc. nuo Kainos (Sutarties 7.12 p.).</w:t>
            </w:r>
          </w:p>
          <w:p w14:paraId="56CAB988" w14:textId="671FCABF" w:rsidR="000204F0" w:rsidRDefault="000204F0" w:rsidP="000204F0">
            <w:pPr>
              <w:spacing w:after="160" w:line="300" w:lineRule="atLeast"/>
              <w:ind w:left="720"/>
              <w:jc w:val="both"/>
              <w:rPr>
                <w:rFonts w:eastAsia="Calibri" w:cstheme="minorHAnsi"/>
                <w:i/>
                <w:sz w:val="24"/>
                <w:szCs w:val="24"/>
              </w:rPr>
            </w:pPr>
            <w:r>
              <w:rPr>
                <w:rFonts w:eastAsia="Calibri" w:cstheme="minorHAnsi"/>
                <w:i/>
                <w:sz w:val="24"/>
                <w:szCs w:val="24"/>
              </w:rPr>
              <w:t>Taip pat Tiekėjas supranta</w:t>
            </w:r>
            <w:r w:rsidR="00A126E9">
              <w:rPr>
                <w:rFonts w:eastAsia="Calibri" w:cstheme="minorHAnsi"/>
                <w:i/>
                <w:sz w:val="24"/>
                <w:szCs w:val="24"/>
              </w:rPr>
              <w:t xml:space="preserve"> Perkančiosios organizacijos tikslą užsitikrinti, kad sulaikyta sumą būtų išmokėta ne anksčiau nei Tiekėjas pateiks garantinio laikotarpio įvykdymo užtikrinimo dokumentą (kartu su jo apmokėjimą įrodančia dokumento kopija), todėl siūlo patikslinti konkurso sąlygų 5 priedo „Sutarties projektas“ 65 punktą, išdėstant taip:</w:t>
            </w:r>
          </w:p>
          <w:p w14:paraId="4CB7723E" w14:textId="7361F922" w:rsidR="00A126E9" w:rsidRPr="000204F0" w:rsidRDefault="00A126E9" w:rsidP="000204F0">
            <w:pPr>
              <w:spacing w:after="160" w:line="300" w:lineRule="atLeast"/>
              <w:ind w:left="720"/>
              <w:jc w:val="both"/>
              <w:rPr>
                <w:rFonts w:eastAsia="Calibri" w:cstheme="minorHAnsi"/>
                <w:i/>
                <w:sz w:val="24"/>
                <w:szCs w:val="24"/>
              </w:rPr>
            </w:pPr>
            <w:r>
              <w:rPr>
                <w:rFonts w:eastAsia="Calibri" w:cstheme="minorHAnsi"/>
                <w:i/>
                <w:sz w:val="24"/>
                <w:szCs w:val="24"/>
              </w:rPr>
              <w:t xml:space="preserve">65. Galutinio mokėjimo sumą Rangovas gali gauti tik tada, kai Šalys pasirašo Darbų perdavimo ir priėmimo aktą ir Rangovas ištaiso visus defektus, įvardintus </w:t>
            </w:r>
            <w:r>
              <w:rPr>
                <w:rFonts w:eastAsia="Calibri" w:cstheme="minorHAnsi"/>
                <w:i/>
                <w:sz w:val="24"/>
                <w:szCs w:val="24"/>
              </w:rPr>
              <w:t>Darbų perdavimo ir priėmimo</w:t>
            </w:r>
            <w:r>
              <w:rPr>
                <w:rFonts w:eastAsia="Calibri" w:cstheme="minorHAnsi"/>
                <w:i/>
                <w:sz w:val="24"/>
                <w:szCs w:val="24"/>
              </w:rPr>
              <w:t xml:space="preserve"> metu, o Užsakovas raštu patvirtina apie tokį defektų ištaisymą, bei Rangovas pateikia </w:t>
            </w:r>
            <w:r>
              <w:rPr>
                <w:rFonts w:eastAsia="Calibri" w:cstheme="minorHAnsi"/>
                <w:i/>
                <w:sz w:val="24"/>
                <w:szCs w:val="24"/>
              </w:rPr>
              <w:t>garantinio laikotarpio įvykdymo užtikrinimo dokumentą</w:t>
            </w:r>
            <w:r>
              <w:rPr>
                <w:rFonts w:eastAsia="Calibri" w:cstheme="minorHAnsi"/>
                <w:i/>
                <w:sz w:val="24"/>
                <w:szCs w:val="24"/>
              </w:rPr>
              <w:t xml:space="preserve"> (</w:t>
            </w:r>
            <w:r>
              <w:rPr>
                <w:rFonts w:eastAsia="Calibri" w:cstheme="minorHAnsi"/>
                <w:i/>
                <w:sz w:val="24"/>
                <w:szCs w:val="24"/>
              </w:rPr>
              <w:t>kartu su jo apmokėjimą įrodančia dokumento kopija</w:t>
            </w:r>
            <w:r>
              <w:rPr>
                <w:rFonts w:eastAsia="Calibri" w:cstheme="minorHAnsi"/>
                <w:i/>
                <w:sz w:val="24"/>
                <w:szCs w:val="24"/>
              </w:rPr>
              <w:t xml:space="preserve">). Šalims pasirašius </w:t>
            </w:r>
            <w:r>
              <w:rPr>
                <w:rFonts w:eastAsia="Calibri" w:cstheme="minorHAnsi"/>
                <w:i/>
                <w:sz w:val="24"/>
                <w:szCs w:val="24"/>
              </w:rPr>
              <w:t>perdavimo ir priėmimo</w:t>
            </w:r>
            <w:r>
              <w:rPr>
                <w:rFonts w:eastAsia="Calibri" w:cstheme="minorHAnsi"/>
                <w:i/>
                <w:sz w:val="24"/>
                <w:szCs w:val="24"/>
              </w:rPr>
              <w:t xml:space="preserve"> aktą, surašomas Statybos užbaigimo dokumentas (elektroninis doku</w:t>
            </w:r>
            <w:r w:rsidR="003F18C9">
              <w:rPr>
                <w:rFonts w:eastAsia="Calibri" w:cstheme="minorHAnsi"/>
                <w:i/>
                <w:sz w:val="24"/>
                <w:szCs w:val="24"/>
              </w:rPr>
              <w:t>me</w:t>
            </w:r>
            <w:r>
              <w:rPr>
                <w:rFonts w:eastAsia="Calibri" w:cstheme="minorHAnsi"/>
                <w:i/>
                <w:sz w:val="24"/>
                <w:szCs w:val="24"/>
              </w:rPr>
              <w:t>ntas</w:t>
            </w:r>
            <w:r w:rsidR="003F18C9">
              <w:rPr>
                <w:rFonts w:eastAsia="Calibri" w:cstheme="minorHAnsi"/>
                <w:i/>
                <w:sz w:val="24"/>
                <w:szCs w:val="24"/>
              </w:rPr>
              <w:t>.</w:t>
            </w:r>
            <w:r>
              <w:rPr>
                <w:rFonts w:eastAsia="Calibri" w:cstheme="minorHAnsi"/>
                <w:i/>
                <w:sz w:val="24"/>
                <w:szCs w:val="24"/>
              </w:rPr>
              <w:t>)</w:t>
            </w:r>
          </w:p>
          <w:p w14:paraId="03909900" w14:textId="01AD917E" w:rsidR="001E3FDF" w:rsidRPr="001E3FDF" w:rsidRDefault="000204F0" w:rsidP="001E3FDF">
            <w:pPr>
              <w:autoSpaceDE w:val="0"/>
              <w:autoSpaceDN w:val="0"/>
              <w:adjustRightInd w:val="0"/>
              <w:jc w:val="both"/>
              <w:rPr>
                <w:rFonts w:ascii="Calibri" w:hAnsi="Calibri"/>
                <w:sz w:val="24"/>
                <w:szCs w:val="24"/>
              </w:rPr>
            </w:pPr>
            <w:r w:rsidRPr="00114D2F">
              <w:rPr>
                <w:rFonts w:cstheme="minorHAnsi"/>
                <w:b/>
                <w:bCs/>
                <w:iCs/>
                <w:sz w:val="24"/>
                <w:szCs w:val="24"/>
              </w:rPr>
              <w:t>Atsakymas:</w:t>
            </w:r>
            <w:r>
              <w:rPr>
                <w:rFonts w:cstheme="minorHAnsi"/>
                <w:b/>
                <w:bCs/>
                <w:iCs/>
                <w:sz w:val="24"/>
                <w:szCs w:val="24"/>
              </w:rPr>
              <w:t xml:space="preserve"> </w:t>
            </w:r>
            <w:r w:rsidRPr="000204F0">
              <w:rPr>
                <w:rFonts w:eastAsia="Calibri" w:cstheme="minorHAnsi"/>
                <w:iCs/>
                <w:sz w:val="24"/>
                <w:szCs w:val="24"/>
              </w:rPr>
              <w:t>Sutarties projekto sąlygos koreguojamos nebus. Sutarties projektas atitinka galiojančius teisės aktus, tarp kurių ir Lietuvos Respublikos statybos įstatymo 41 straipsnio 2 dalį, kuri numato, kad „Rangovas kartu su rangovo atliktų statybos darbų perdavimo statytojui (užsakovui) aktu turi pateikti dokumentą, kuriuo užtikrinamas garantinio laikotarpio prievolių įvykdymas pagal pasirašytą rangos sutartį.&lt;...&gt;“.</w:t>
            </w:r>
          </w:p>
        </w:tc>
      </w:tr>
    </w:tbl>
    <w:p w14:paraId="69FC5D01" w14:textId="1B46878C" w:rsidR="001E3FDF" w:rsidRPr="001E3FDF" w:rsidRDefault="001E3FDF" w:rsidP="00B42204">
      <w:pPr>
        <w:tabs>
          <w:tab w:val="left" w:pos="0"/>
          <w:tab w:val="left" w:pos="709"/>
          <w:tab w:val="left" w:pos="1134"/>
        </w:tabs>
        <w:spacing w:line="320" w:lineRule="atLeast"/>
        <w:ind w:firstLine="709"/>
        <w:rPr>
          <w:rFonts w:asciiTheme="minorHAnsi" w:hAnsiTheme="minorHAnsi" w:cstheme="minorHAnsi"/>
          <w:iCs/>
          <w:szCs w:val="24"/>
        </w:rPr>
      </w:pPr>
    </w:p>
    <w:p w14:paraId="4F57E8CF" w14:textId="709BD3D4" w:rsidR="00CE675C" w:rsidRPr="00E37073" w:rsidRDefault="00B07790" w:rsidP="00B42204">
      <w:pPr>
        <w:pStyle w:val="Sraopastraipa"/>
        <w:spacing w:line="320" w:lineRule="atLeast"/>
        <w:ind w:left="0" w:firstLine="709"/>
        <w:jc w:val="both"/>
        <w:rPr>
          <w:rFonts w:cstheme="minorHAnsi"/>
          <w:sz w:val="24"/>
          <w:szCs w:val="24"/>
          <w:lang w:eastAsia="zh-CN"/>
        </w:rPr>
      </w:pPr>
      <w:r>
        <w:rPr>
          <w:rFonts w:cstheme="minorHAnsi"/>
          <w:b/>
          <w:bCs/>
          <w:iCs/>
          <w:sz w:val="24"/>
          <w:szCs w:val="24"/>
          <w:u w:val="single"/>
        </w:rPr>
        <w:t>A</w:t>
      </w:r>
      <w:r w:rsidR="00CE675C" w:rsidRPr="00E37073">
        <w:rPr>
          <w:rFonts w:cstheme="minorHAnsi"/>
          <w:b/>
          <w:bCs/>
          <w:iCs/>
          <w:sz w:val="24"/>
          <w:szCs w:val="24"/>
          <w:u w:val="single"/>
        </w:rPr>
        <w:t xml:space="preserve">tkreipiame dėmesį, kad </w:t>
      </w:r>
      <w:r w:rsidR="001E3FDF">
        <w:rPr>
          <w:rFonts w:cstheme="minorHAnsi"/>
          <w:b/>
          <w:bCs/>
          <w:iCs/>
          <w:sz w:val="24"/>
          <w:szCs w:val="24"/>
          <w:u w:val="single"/>
        </w:rPr>
        <w:t xml:space="preserve">kai kurie </w:t>
      </w:r>
      <w:r w:rsidR="00CE675C" w:rsidRPr="00E37073">
        <w:rPr>
          <w:rFonts w:cstheme="minorHAnsi"/>
          <w:b/>
          <w:bCs/>
          <w:iCs/>
          <w:sz w:val="24"/>
          <w:szCs w:val="24"/>
          <w:u w:val="single"/>
        </w:rPr>
        <w:t xml:space="preserve">pirkimo dokumentai </w:t>
      </w:r>
      <w:r w:rsidR="00114D2F">
        <w:rPr>
          <w:rFonts w:cstheme="minorHAnsi"/>
          <w:b/>
          <w:bCs/>
          <w:iCs/>
          <w:sz w:val="24"/>
          <w:szCs w:val="24"/>
          <w:u w:val="single"/>
        </w:rPr>
        <w:t>gali būti</w:t>
      </w:r>
      <w:r w:rsidR="00CE675C" w:rsidRPr="00E37073">
        <w:rPr>
          <w:rFonts w:cstheme="minorHAnsi"/>
          <w:b/>
          <w:bCs/>
          <w:iCs/>
          <w:sz w:val="24"/>
          <w:szCs w:val="24"/>
          <w:u w:val="single"/>
        </w:rPr>
        <w:t xml:space="preserve"> tikslinami, todėl paskelbus pirkimą prašome tiekėjus atidžiai susipažinti su visais pirkimo dokumentais. </w:t>
      </w:r>
    </w:p>
    <w:bookmarkEnd w:id="0"/>
    <w:p w14:paraId="7A8B3A84" w14:textId="77777777" w:rsidR="00CE675C" w:rsidRPr="00E37073" w:rsidRDefault="00CE675C" w:rsidP="00B42204">
      <w:pPr>
        <w:pStyle w:val="Pagrindinistekstas"/>
        <w:tabs>
          <w:tab w:val="left" w:pos="851"/>
        </w:tabs>
        <w:spacing w:line="320" w:lineRule="atLeast"/>
        <w:ind w:firstLine="709"/>
        <w:rPr>
          <w:rFonts w:asciiTheme="minorHAnsi" w:hAnsiTheme="minorHAnsi" w:cstheme="minorHAnsi"/>
          <w:b/>
          <w:szCs w:val="24"/>
          <w:lang w:val="en-US"/>
        </w:rPr>
      </w:pPr>
      <w:r w:rsidRPr="00E37073">
        <w:rPr>
          <w:rFonts w:asciiTheme="minorHAnsi" w:hAnsiTheme="minorHAnsi" w:cstheme="minorHAnsi"/>
          <w:b/>
          <w:szCs w:val="24"/>
        </w:rPr>
        <w:t>Dėkojame dalyvavusiems rinkos konsultacijoje</w:t>
      </w:r>
      <w:r w:rsidRPr="00E37073">
        <w:rPr>
          <w:rFonts w:asciiTheme="minorHAnsi" w:hAnsiTheme="minorHAnsi" w:cstheme="minorHAnsi"/>
          <w:b/>
          <w:szCs w:val="24"/>
          <w:lang w:val="en-US"/>
        </w:rPr>
        <w:t>!</w:t>
      </w:r>
    </w:p>
    <w:p w14:paraId="4A50DAAE" w14:textId="77777777" w:rsidR="00CE4639" w:rsidRPr="00D630E0" w:rsidRDefault="00CE4639" w:rsidP="00E37073">
      <w:pPr>
        <w:spacing w:line="340" w:lineRule="atLeast"/>
        <w:jc w:val="center"/>
        <w:rPr>
          <w:rFonts w:eastAsia="Calibri" w:cs="Times New Roman"/>
          <w:szCs w:val="24"/>
        </w:rPr>
      </w:pPr>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506F0" w14:textId="77777777" w:rsidR="00CA7521" w:rsidRDefault="00CA7521" w:rsidP="005F2C09">
      <w:pPr>
        <w:spacing w:line="240" w:lineRule="auto"/>
      </w:pPr>
      <w:r>
        <w:separator/>
      </w:r>
    </w:p>
  </w:endnote>
  <w:endnote w:type="continuationSeparator" w:id="0">
    <w:p w14:paraId="5A284862" w14:textId="77777777" w:rsidR="00CA7521" w:rsidRDefault="00CA752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0341" w14:textId="77777777" w:rsidR="00CA7521" w:rsidRDefault="00CA7521" w:rsidP="005F2C09">
      <w:pPr>
        <w:spacing w:line="240" w:lineRule="auto"/>
      </w:pPr>
      <w:r>
        <w:separator/>
      </w:r>
    </w:p>
  </w:footnote>
  <w:footnote w:type="continuationSeparator" w:id="0">
    <w:p w14:paraId="221B056B" w14:textId="77777777" w:rsidR="00CA7521" w:rsidRDefault="00CA752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4A4581D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B63F31">
          <w:rPr>
            <w:noProof/>
            <w:sz w:val="20"/>
            <w:szCs w:val="20"/>
          </w:rPr>
          <w:t>3</w:t>
        </w:r>
        <w:r w:rsidRPr="00014401">
          <w:rPr>
            <w:sz w:val="20"/>
            <w:szCs w:val="20"/>
          </w:rPr>
          <w:fldChar w:fldCharType="end"/>
        </w:r>
      </w:p>
    </w:sdtContent>
  </w:sdt>
  <w:p w14:paraId="67925989"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0C9025F8"/>
    <w:multiLevelType w:val="multilevel"/>
    <w:tmpl w:val="AD7C22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AA3282"/>
    <w:multiLevelType w:val="hybridMultilevel"/>
    <w:tmpl w:val="80467B66"/>
    <w:lvl w:ilvl="0" w:tplc="A622DC1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C17B57"/>
    <w:multiLevelType w:val="multilevel"/>
    <w:tmpl w:val="2CE83488"/>
    <w:lvl w:ilvl="0">
      <w:start w:val="1"/>
      <w:numFmt w:val="decimal"/>
      <w:lvlText w:val="%1."/>
      <w:lvlJc w:val="left"/>
      <w:pPr>
        <w:tabs>
          <w:tab w:val="num" w:pos="0"/>
        </w:tabs>
        <w:ind w:left="720" w:hanging="360"/>
      </w:pPr>
    </w:lvl>
    <w:lvl w:ilvl="1">
      <w:start w:val="6"/>
      <w:numFmt w:val="decimal"/>
      <w:isLgl/>
      <w:lvlText w:val="%1.%2"/>
      <w:lvlJc w:val="left"/>
      <w:pPr>
        <w:tabs>
          <w:tab w:val="num" w:pos="0"/>
        </w:tabs>
        <w:ind w:left="1060" w:hanging="700"/>
      </w:pPr>
      <w:rPr>
        <w:b/>
      </w:rPr>
    </w:lvl>
    <w:lvl w:ilvl="2">
      <w:start w:val="1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3C3E4BEF"/>
    <w:multiLevelType w:val="multilevel"/>
    <w:tmpl w:val="A10E05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EAF7095"/>
    <w:multiLevelType w:val="hybridMultilevel"/>
    <w:tmpl w:val="62469B00"/>
    <w:lvl w:ilvl="0" w:tplc="E17866C8">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26110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5767104">
    <w:abstractNumId w:val="4"/>
  </w:num>
  <w:num w:numId="3" w16cid:durableId="609632995">
    <w:abstractNumId w:val="0"/>
  </w:num>
  <w:num w:numId="4" w16cid:durableId="1064379794">
    <w:abstractNumId w:val="5"/>
  </w:num>
  <w:num w:numId="5" w16cid:durableId="1287733802">
    <w:abstractNumId w:val="1"/>
  </w:num>
  <w:num w:numId="6" w16cid:durableId="1216938415">
    <w:abstractNumId w:val="3"/>
  </w:num>
  <w:num w:numId="7" w16cid:durableId="418644479">
    <w:abstractNumId w:val="2"/>
  </w:num>
  <w:num w:numId="8" w16cid:durableId="18662136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07B3"/>
    <w:rsid w:val="00005F32"/>
    <w:rsid w:val="00014401"/>
    <w:rsid w:val="00015630"/>
    <w:rsid w:val="000204F0"/>
    <w:rsid w:val="00043B41"/>
    <w:rsid w:val="000938C7"/>
    <w:rsid w:val="000B4E41"/>
    <w:rsid w:val="00107A6F"/>
    <w:rsid w:val="00114D2F"/>
    <w:rsid w:val="00121B8C"/>
    <w:rsid w:val="001357E9"/>
    <w:rsid w:val="001373E2"/>
    <w:rsid w:val="00152D56"/>
    <w:rsid w:val="00155DBD"/>
    <w:rsid w:val="00157379"/>
    <w:rsid w:val="0017087F"/>
    <w:rsid w:val="00183C48"/>
    <w:rsid w:val="001A5407"/>
    <w:rsid w:val="001E3FDF"/>
    <w:rsid w:val="001F29B7"/>
    <w:rsid w:val="00216AD5"/>
    <w:rsid w:val="00253348"/>
    <w:rsid w:val="002A084A"/>
    <w:rsid w:val="002A1961"/>
    <w:rsid w:val="002A1B77"/>
    <w:rsid w:val="002B0038"/>
    <w:rsid w:val="002B498B"/>
    <w:rsid w:val="002B7641"/>
    <w:rsid w:val="002C3EEB"/>
    <w:rsid w:val="002C5C78"/>
    <w:rsid w:val="002D0A7F"/>
    <w:rsid w:val="002F07D8"/>
    <w:rsid w:val="00323B0E"/>
    <w:rsid w:val="00340BC8"/>
    <w:rsid w:val="00361C9F"/>
    <w:rsid w:val="003701F9"/>
    <w:rsid w:val="00385044"/>
    <w:rsid w:val="00386618"/>
    <w:rsid w:val="00386978"/>
    <w:rsid w:val="003B23ED"/>
    <w:rsid w:val="003D6ED8"/>
    <w:rsid w:val="003E2A55"/>
    <w:rsid w:val="003F18C9"/>
    <w:rsid w:val="003F7443"/>
    <w:rsid w:val="00407C86"/>
    <w:rsid w:val="00447859"/>
    <w:rsid w:val="00457319"/>
    <w:rsid w:val="00463C04"/>
    <w:rsid w:val="004724B7"/>
    <w:rsid w:val="00474535"/>
    <w:rsid w:val="00480BB8"/>
    <w:rsid w:val="004B66E7"/>
    <w:rsid w:val="004C089D"/>
    <w:rsid w:val="004C17DC"/>
    <w:rsid w:val="004C7738"/>
    <w:rsid w:val="00531E61"/>
    <w:rsid w:val="00553C29"/>
    <w:rsid w:val="005674F3"/>
    <w:rsid w:val="00571031"/>
    <w:rsid w:val="0057677F"/>
    <w:rsid w:val="00583FB2"/>
    <w:rsid w:val="005A114A"/>
    <w:rsid w:val="005B3A6A"/>
    <w:rsid w:val="005B590D"/>
    <w:rsid w:val="005C3686"/>
    <w:rsid w:val="005C7214"/>
    <w:rsid w:val="005E181F"/>
    <w:rsid w:val="005E18FC"/>
    <w:rsid w:val="005E70FA"/>
    <w:rsid w:val="005F0F75"/>
    <w:rsid w:val="005F2C09"/>
    <w:rsid w:val="00604F19"/>
    <w:rsid w:val="0060724D"/>
    <w:rsid w:val="0061183E"/>
    <w:rsid w:val="00631345"/>
    <w:rsid w:val="006718ED"/>
    <w:rsid w:val="00671C8B"/>
    <w:rsid w:val="00671E98"/>
    <w:rsid w:val="0068103F"/>
    <w:rsid w:val="00685C9A"/>
    <w:rsid w:val="006C0FC3"/>
    <w:rsid w:val="006D1E41"/>
    <w:rsid w:val="006E47F5"/>
    <w:rsid w:val="00700E63"/>
    <w:rsid w:val="0070131E"/>
    <w:rsid w:val="00711E17"/>
    <w:rsid w:val="00724905"/>
    <w:rsid w:val="00733FF1"/>
    <w:rsid w:val="00740FD7"/>
    <w:rsid w:val="007645A7"/>
    <w:rsid w:val="007A4E1C"/>
    <w:rsid w:val="007E4BE6"/>
    <w:rsid w:val="007E7988"/>
    <w:rsid w:val="00807C45"/>
    <w:rsid w:val="0081625A"/>
    <w:rsid w:val="00843C73"/>
    <w:rsid w:val="00851886"/>
    <w:rsid w:val="00861927"/>
    <w:rsid w:val="0088653F"/>
    <w:rsid w:val="008B29DA"/>
    <w:rsid w:val="008D02FB"/>
    <w:rsid w:val="008E76CF"/>
    <w:rsid w:val="0091100A"/>
    <w:rsid w:val="00977648"/>
    <w:rsid w:val="00980616"/>
    <w:rsid w:val="00981FBE"/>
    <w:rsid w:val="009B0BC4"/>
    <w:rsid w:val="009B3AE5"/>
    <w:rsid w:val="00A06CE6"/>
    <w:rsid w:val="00A126E9"/>
    <w:rsid w:val="00A128DA"/>
    <w:rsid w:val="00A14F0B"/>
    <w:rsid w:val="00A23D67"/>
    <w:rsid w:val="00A40365"/>
    <w:rsid w:val="00A661BF"/>
    <w:rsid w:val="00A75500"/>
    <w:rsid w:val="00AA1D3A"/>
    <w:rsid w:val="00AA2BC7"/>
    <w:rsid w:val="00AB70E7"/>
    <w:rsid w:val="00B07790"/>
    <w:rsid w:val="00B10872"/>
    <w:rsid w:val="00B148F8"/>
    <w:rsid w:val="00B151B1"/>
    <w:rsid w:val="00B16C43"/>
    <w:rsid w:val="00B23532"/>
    <w:rsid w:val="00B274BF"/>
    <w:rsid w:val="00B27B5F"/>
    <w:rsid w:val="00B42204"/>
    <w:rsid w:val="00B53B4A"/>
    <w:rsid w:val="00B63F31"/>
    <w:rsid w:val="00B66EC5"/>
    <w:rsid w:val="00B769D4"/>
    <w:rsid w:val="00BA3B26"/>
    <w:rsid w:val="00BC7930"/>
    <w:rsid w:val="00C05324"/>
    <w:rsid w:val="00C108E8"/>
    <w:rsid w:val="00C14F81"/>
    <w:rsid w:val="00C419F8"/>
    <w:rsid w:val="00C53D01"/>
    <w:rsid w:val="00C91DAB"/>
    <w:rsid w:val="00C954D7"/>
    <w:rsid w:val="00CA7521"/>
    <w:rsid w:val="00CE4639"/>
    <w:rsid w:val="00CE675C"/>
    <w:rsid w:val="00D15C4A"/>
    <w:rsid w:val="00D36754"/>
    <w:rsid w:val="00D43F00"/>
    <w:rsid w:val="00D71A6C"/>
    <w:rsid w:val="00D7617E"/>
    <w:rsid w:val="00D862AE"/>
    <w:rsid w:val="00D9224F"/>
    <w:rsid w:val="00DD1240"/>
    <w:rsid w:val="00DF3C14"/>
    <w:rsid w:val="00E02924"/>
    <w:rsid w:val="00E03AEF"/>
    <w:rsid w:val="00E37073"/>
    <w:rsid w:val="00E417B7"/>
    <w:rsid w:val="00E60CA9"/>
    <w:rsid w:val="00E92D0A"/>
    <w:rsid w:val="00E94DD2"/>
    <w:rsid w:val="00EA75D6"/>
    <w:rsid w:val="00EB53F7"/>
    <w:rsid w:val="00ED42B8"/>
    <w:rsid w:val="00EF6205"/>
    <w:rsid w:val="00F12721"/>
    <w:rsid w:val="00F1282C"/>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1A5D"/>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 w:type="paragraph" w:customStyle="1" w:styleId="Pagrindinistekstas1">
    <w:name w:val="Pagrindinis tekstas1"/>
    <w:link w:val="BodytextChar"/>
    <w:rsid w:val="00B42204"/>
    <w:pPr>
      <w:autoSpaceDE w:val="0"/>
      <w:autoSpaceDN w:val="0"/>
      <w:adjustRightInd w:val="0"/>
      <w:spacing w:line="240" w:lineRule="auto"/>
      <w:ind w:firstLine="312"/>
    </w:pPr>
    <w:rPr>
      <w:rFonts w:ascii="TimesLT" w:eastAsia="Times New Roman" w:hAnsi="TimesLT" w:cs="Times New Roman"/>
      <w:sz w:val="20"/>
      <w:szCs w:val="20"/>
      <w:lang w:val="en-US"/>
    </w:rPr>
  </w:style>
  <w:style w:type="character" w:customStyle="1" w:styleId="BodytextChar">
    <w:name w:val="Body text Char"/>
    <w:link w:val="Pagrindinistekstas1"/>
    <w:rsid w:val="00B42204"/>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091508948">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6630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D6968-5EB5-4A56-85B2-647DE097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3822</Words>
  <Characters>2179</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Asta Kudirkienė</cp:lastModifiedBy>
  <cp:revision>4</cp:revision>
  <dcterms:created xsi:type="dcterms:W3CDTF">2025-06-16T10:40:00Z</dcterms:created>
  <dcterms:modified xsi:type="dcterms:W3CDTF">2025-06-16T11:14:00Z</dcterms:modified>
</cp:coreProperties>
</file>